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0399DFB7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CA4217" w:rsidRPr="00CA4217">
        <w:rPr>
          <w:b w:val="0"/>
          <w:bCs/>
        </w:rPr>
        <w:t>Fibromyalgia Agents PDL Edit</w:t>
      </w:r>
    </w:p>
    <w:p w14:paraId="7AD7FFCE" w14:textId="64D0BDC2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CA4217" w:rsidRPr="00CA4217">
        <w:rPr>
          <w:b w:val="0"/>
          <w:bCs/>
        </w:rPr>
        <w:t>June 2, 2010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proofErr w:type="gramStart"/>
      <w:r>
        <w:t>Propo</w:t>
      </w:r>
      <w:r w:rsidR="004C5767">
        <w:t>sed Date</w:t>
      </w:r>
      <w:proofErr w:type="gramEnd"/>
      <w:r w:rsidR="004C5767">
        <w:t>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B8BAE07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922DEB7" w14:textId="77777777" w:rsidR="00BE1F25" w:rsidRPr="00BE1F25" w:rsidRDefault="00BE1F25" w:rsidP="00BE1F25">
      <w:r w:rsidRPr="00BE1F25">
        <w:t>Fibromyalgia is characterized by chronic widespread pain and heightened painful response to pressure. The underlying cause of fibromyalgia is unknown. Diagnosis is based on expert opinions. It affects 0.5% to 5% of the general population and up to 15.7% in a clinic setting. Clinical guidelines recommend a multidisciplinary approach with short-term use of medication for relief. There are three FDA approved medications for management of fibromyalgia: pregabalin, duloxetine and milnacipran. Current evidence supports the safety and efficacy of the approved agents as monotherapy for up to 6 months for Cymbalta</w:t>
      </w:r>
      <w:r w:rsidRPr="00BE1F25">
        <w:rPr>
          <w:vertAlign w:val="superscript"/>
        </w:rPr>
        <w:sym w:font="Symbol" w:char="F0E2"/>
      </w:r>
      <w:r w:rsidRPr="00BE1F25">
        <w:t xml:space="preserve">, </w:t>
      </w:r>
      <w:proofErr w:type="spellStart"/>
      <w:r w:rsidRPr="00BE1F25">
        <w:t>Drizalma</w:t>
      </w:r>
      <w:proofErr w:type="spellEnd"/>
      <w:r w:rsidRPr="00BE1F25">
        <w:t xml:space="preserve"> Sprinkle</w:t>
      </w:r>
      <w:r w:rsidRPr="00BE1F25">
        <w:rPr>
          <w:vertAlign w:val="superscript"/>
        </w:rPr>
        <w:t>™</w:t>
      </w:r>
      <w:r w:rsidRPr="00BE1F25">
        <w:t>, and Lyrica</w:t>
      </w:r>
      <w:r w:rsidRPr="00BE1F25">
        <w:rPr>
          <w:vertAlign w:val="superscript"/>
        </w:rPr>
        <w:sym w:font="Symbol" w:char="F0E2"/>
      </w:r>
      <w:r w:rsidRPr="00BE1F25">
        <w:t xml:space="preserve"> and up to 3 months for Savella</w:t>
      </w:r>
      <w:r w:rsidRPr="00BE1F25">
        <w:rPr>
          <w:vertAlign w:val="superscript"/>
        </w:rPr>
        <w:sym w:font="Symbol" w:char="F0E2"/>
      </w:r>
      <w:r w:rsidRPr="00BE1F25">
        <w:t xml:space="preserve">. Many other agents are used </w:t>
      </w:r>
      <w:proofErr w:type="gramStart"/>
      <w:r w:rsidRPr="00BE1F25">
        <w:t>off-label</w:t>
      </w:r>
      <w:proofErr w:type="gramEnd"/>
      <w:r w:rsidRPr="00BE1F25">
        <w:t xml:space="preserve"> for management of fibromyalgia. Combination therapy of approved or off-label medications can potentially cause severe adverse events, drug interactions and interfere with disease management. Studies also </w:t>
      </w:r>
      <w:proofErr w:type="gramStart"/>
      <w:r w:rsidRPr="00BE1F25">
        <w:t>show</w:t>
      </w:r>
      <w:proofErr w:type="gramEnd"/>
      <w:r w:rsidRPr="00BE1F25">
        <w:t xml:space="preserve"> the efficacy of these agents in managing fibromyalgia decreases over time.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7D851F5A" w14:textId="77777777" w:rsidR="00631BD3" w:rsidRDefault="00631BD3" w:rsidP="00631BD3">
      <w:pPr>
        <w:pStyle w:val="ListParagraph"/>
        <w:rPr>
          <w:szCs w:val="20"/>
        </w:rPr>
      </w:pPr>
      <w:r>
        <w:t>Duloxetine 20, 30, 60 mg</w:t>
      </w:r>
    </w:p>
    <w:p w14:paraId="1B21829C" w14:textId="458C63E1" w:rsidR="00846FA4" w:rsidRDefault="00631BD3" w:rsidP="00631BD3">
      <w:pPr>
        <w:pStyle w:val="ListParagraph"/>
      </w:pPr>
      <w:r>
        <w:t xml:space="preserve">Pregabalin Caps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525445CC" w14:textId="77777777" w:rsidR="00631BD3" w:rsidRDefault="00631BD3" w:rsidP="00631BD3">
      <w:pPr>
        <w:pStyle w:val="ListParagraph"/>
        <w:rPr>
          <w:szCs w:val="20"/>
        </w:rPr>
      </w:pPr>
      <w:r>
        <w:t>Cymbalta</w:t>
      </w:r>
      <w:r>
        <w:rPr>
          <w:vertAlign w:val="superscript"/>
        </w:rPr>
        <w:sym w:font="Symbol" w:char="F0E2"/>
      </w:r>
    </w:p>
    <w:p w14:paraId="06067D2D" w14:textId="77777777" w:rsidR="00631BD3" w:rsidRDefault="00631BD3" w:rsidP="00631BD3">
      <w:pPr>
        <w:pStyle w:val="ListParagraph"/>
      </w:pPr>
      <w:proofErr w:type="spellStart"/>
      <w:r>
        <w:t>Drizalma</w:t>
      </w:r>
      <w:proofErr w:type="spellEnd"/>
      <w:r>
        <w:t xml:space="preserve"> Sprinkle</w:t>
      </w:r>
      <w:r>
        <w:rPr>
          <w:vertAlign w:val="superscript"/>
        </w:rPr>
        <w:t>™</w:t>
      </w:r>
    </w:p>
    <w:p w14:paraId="41FCE790" w14:textId="77777777" w:rsidR="00631BD3" w:rsidRDefault="00631BD3" w:rsidP="00631BD3">
      <w:pPr>
        <w:pStyle w:val="ListParagraph"/>
      </w:pPr>
      <w:r>
        <w:t>Duloxetine 40 mg</w:t>
      </w:r>
    </w:p>
    <w:p w14:paraId="1E4C4C57" w14:textId="77777777" w:rsidR="00631BD3" w:rsidRDefault="00631BD3" w:rsidP="00631BD3">
      <w:pPr>
        <w:pStyle w:val="ListParagraph"/>
      </w:pPr>
      <w:r>
        <w:t>Lyrica</w:t>
      </w:r>
      <w:r>
        <w:rPr>
          <w:vertAlign w:val="superscript"/>
        </w:rPr>
        <w:sym w:font="Symbol" w:char="F0E2"/>
      </w:r>
    </w:p>
    <w:p w14:paraId="701974F4" w14:textId="77777777" w:rsidR="00631BD3" w:rsidRDefault="00631BD3" w:rsidP="00631BD3">
      <w:pPr>
        <w:pStyle w:val="ListParagraph"/>
      </w:pPr>
      <w:r>
        <w:t>Lyrica</w:t>
      </w:r>
      <w:r>
        <w:rPr>
          <w:vertAlign w:val="superscript"/>
        </w:rPr>
        <w:t>®</w:t>
      </w:r>
      <w:r>
        <w:t xml:space="preserve"> CR</w:t>
      </w:r>
    </w:p>
    <w:p w14:paraId="1BA89C32" w14:textId="77777777" w:rsidR="00631BD3" w:rsidRDefault="00631BD3" w:rsidP="00631BD3">
      <w:pPr>
        <w:pStyle w:val="ListParagraph"/>
      </w:pPr>
      <w:r>
        <w:t>Pregabalin CR</w:t>
      </w:r>
    </w:p>
    <w:p w14:paraId="2E7CDED7" w14:textId="77777777" w:rsidR="00631BD3" w:rsidRDefault="00631BD3" w:rsidP="00631BD3">
      <w:pPr>
        <w:pStyle w:val="ListParagraph"/>
      </w:pPr>
      <w:r>
        <w:t xml:space="preserve">Pregabalin </w:t>
      </w:r>
      <w:proofErr w:type="spellStart"/>
      <w:r>
        <w:t>Soln</w:t>
      </w:r>
      <w:proofErr w:type="spellEnd"/>
    </w:p>
    <w:p w14:paraId="079F807A" w14:textId="7C9C0420" w:rsidR="00846FA4" w:rsidRPr="00696E3A" w:rsidRDefault="00631BD3" w:rsidP="00631BD3">
      <w:pPr>
        <w:pStyle w:val="ListParagraph"/>
      </w:pPr>
      <w:r>
        <w:t>Savella</w:t>
      </w:r>
      <w:r>
        <w:rPr>
          <w:vertAlign w:val="superscript"/>
        </w:rPr>
        <w:sym w:font="Symbol" w:char="F0E2"/>
      </w:r>
      <w: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4641C01E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631BD3" w:rsidRPr="00631BD3">
        <w:t>Fibromyalgia Agents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Approval Criteria</w:t>
      </w:r>
    </w:p>
    <w:p w14:paraId="7E0FF890" w14:textId="77777777" w:rsidR="00BA2B1A" w:rsidRPr="00BA2B1A" w:rsidRDefault="00BA2B1A" w:rsidP="00BA2B1A">
      <w:pPr>
        <w:numPr>
          <w:ilvl w:val="0"/>
          <w:numId w:val="16"/>
        </w:numPr>
        <w:rPr>
          <w:u w:val="single"/>
        </w:rPr>
      </w:pPr>
      <w:r w:rsidRPr="00BA2B1A">
        <w:t xml:space="preserve">Must meet </w:t>
      </w:r>
      <w:proofErr w:type="gramStart"/>
      <w:r w:rsidRPr="00BA2B1A">
        <w:t>all of</w:t>
      </w:r>
      <w:proofErr w:type="gramEnd"/>
      <w:r w:rsidRPr="00BA2B1A">
        <w:t xml:space="preserve"> the following: </w:t>
      </w:r>
    </w:p>
    <w:p w14:paraId="45BFAD7D" w14:textId="77777777" w:rsidR="00BA2B1A" w:rsidRPr="00BA2B1A" w:rsidRDefault="00BA2B1A" w:rsidP="00BA2B1A">
      <w:pPr>
        <w:numPr>
          <w:ilvl w:val="1"/>
          <w:numId w:val="16"/>
        </w:numPr>
        <w:rPr>
          <w:u w:val="single"/>
        </w:rPr>
      </w:pPr>
      <w:proofErr w:type="gramStart"/>
      <w:r w:rsidRPr="00BA2B1A">
        <w:t>Participant is</w:t>
      </w:r>
      <w:proofErr w:type="gramEnd"/>
      <w:r w:rsidRPr="00BA2B1A">
        <w:t xml:space="preserve"> aged 18 years or older, except for a preferred duloxetine product. </w:t>
      </w:r>
    </w:p>
    <w:p w14:paraId="656F73F1" w14:textId="77777777" w:rsidR="00BA2B1A" w:rsidRPr="00BA2B1A" w:rsidRDefault="00BA2B1A" w:rsidP="00BA2B1A">
      <w:pPr>
        <w:numPr>
          <w:ilvl w:val="0"/>
          <w:numId w:val="17"/>
        </w:numPr>
        <w:tabs>
          <w:tab w:val="num" w:pos="-900"/>
        </w:tabs>
      </w:pPr>
      <w:r w:rsidRPr="00BA2B1A">
        <w:t>Must meet one of the following:</w:t>
      </w:r>
    </w:p>
    <w:p w14:paraId="7FBFD517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 xml:space="preserve">Claim is for a preferred </w:t>
      </w:r>
      <w:proofErr w:type="gramStart"/>
      <w:r w:rsidRPr="00BA2B1A">
        <w:t>agent;</w:t>
      </w:r>
      <w:proofErr w:type="gramEnd"/>
      <w:r w:rsidRPr="00BA2B1A">
        <w:t xml:space="preserve"> </w:t>
      </w:r>
      <w:r w:rsidRPr="00BA2B1A">
        <w:rPr>
          <w:b/>
          <w:bCs/>
        </w:rPr>
        <w:t>OR</w:t>
      </w:r>
    </w:p>
    <w:p w14:paraId="7D5ECCD0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 xml:space="preserve">Failure to achieve desired therapeutic outcomes with a trial on 2 or more preferred </w:t>
      </w:r>
      <w:proofErr w:type="gramStart"/>
      <w:r w:rsidRPr="00BA2B1A">
        <w:t>agents;</w:t>
      </w:r>
      <w:proofErr w:type="gramEnd"/>
    </w:p>
    <w:p w14:paraId="38E43256" w14:textId="77777777" w:rsidR="00BA2B1A" w:rsidRPr="00BA2B1A" w:rsidRDefault="00BA2B1A" w:rsidP="00BA2B1A">
      <w:pPr>
        <w:numPr>
          <w:ilvl w:val="2"/>
          <w:numId w:val="17"/>
        </w:numPr>
      </w:pPr>
      <w:r w:rsidRPr="00BA2B1A">
        <w:t xml:space="preserve">Documented trial period for preferred agents; </w:t>
      </w:r>
      <w:r w:rsidRPr="00BA2B1A">
        <w:rPr>
          <w:b/>
        </w:rPr>
        <w:t>OR</w:t>
      </w:r>
    </w:p>
    <w:p w14:paraId="256BE0F0" w14:textId="77777777" w:rsidR="00BA2B1A" w:rsidRPr="00BA2B1A" w:rsidRDefault="00BA2B1A" w:rsidP="00BA2B1A">
      <w:pPr>
        <w:numPr>
          <w:ilvl w:val="2"/>
          <w:numId w:val="17"/>
        </w:numPr>
        <w:tabs>
          <w:tab w:val="num" w:pos="1710"/>
        </w:tabs>
      </w:pPr>
      <w:r w:rsidRPr="00BA2B1A">
        <w:t xml:space="preserve">Documented ADE/ADR to preferred agents. </w:t>
      </w:r>
    </w:p>
    <w:p w14:paraId="36A12CE8" w14:textId="77777777" w:rsidR="00BA2B1A" w:rsidRPr="00BA2B1A" w:rsidRDefault="00BA2B1A" w:rsidP="00BA2B1A">
      <w:pPr>
        <w:numPr>
          <w:ilvl w:val="0"/>
          <w:numId w:val="17"/>
        </w:numPr>
      </w:pPr>
      <w:r w:rsidRPr="00BA2B1A">
        <w:t xml:space="preserve">Additional approval criteria for Savella: </w:t>
      </w:r>
    </w:p>
    <w:p w14:paraId="60449253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 xml:space="preserve">Documented diagnosis of fibromyalgia. </w:t>
      </w:r>
    </w:p>
    <w:p w14:paraId="41AE7662" w14:textId="77777777" w:rsidR="00BA2B1A" w:rsidRPr="00BA2B1A" w:rsidRDefault="00BA2B1A" w:rsidP="00BA2B1A">
      <w:pPr>
        <w:numPr>
          <w:ilvl w:val="0"/>
          <w:numId w:val="17"/>
        </w:numPr>
      </w:pPr>
      <w:r w:rsidRPr="00BA2B1A">
        <w:t>Additional approval criteria for duloxetine sprinkle capsules or 40 mg capsules:</w:t>
      </w:r>
    </w:p>
    <w:p w14:paraId="5D006D95" w14:textId="77777777" w:rsidR="00BA2B1A" w:rsidRPr="00BA2B1A" w:rsidRDefault="00BA2B1A" w:rsidP="00BA2B1A">
      <w:pPr>
        <w:numPr>
          <w:ilvl w:val="1"/>
          <w:numId w:val="17"/>
        </w:numPr>
      </w:pPr>
      <w:r w:rsidRPr="00BA2B1A">
        <w:t>Documented reason why participant cannot utilize generic Cymbalta capsules.</w:t>
      </w:r>
    </w:p>
    <w:p w14:paraId="7478E11D" w14:textId="77777777" w:rsidR="00BA2B1A" w:rsidRPr="00BA2B1A" w:rsidRDefault="00BA2B1A" w:rsidP="00BA2B1A">
      <w:pPr>
        <w:numPr>
          <w:ilvl w:val="0"/>
          <w:numId w:val="17"/>
        </w:numPr>
      </w:pPr>
      <w:r w:rsidRPr="00BA2B1A">
        <w:t>Additional approval criteria for pregabalin agents:</w:t>
      </w:r>
    </w:p>
    <w:p w14:paraId="5C611CA1" w14:textId="18D7A849" w:rsidR="00BA2B1A" w:rsidRPr="00BA2B1A" w:rsidRDefault="00BA2B1A" w:rsidP="00E10AD5">
      <w:pPr>
        <w:numPr>
          <w:ilvl w:val="1"/>
          <w:numId w:val="18"/>
        </w:numPr>
        <w:ind w:left="810"/>
      </w:pPr>
      <w:r w:rsidRPr="00BA2B1A">
        <w:t xml:space="preserve">Participant must also meet all approval criteria contained within the High Risk Therapies Clinical Edit </w:t>
      </w:r>
      <w:r w:rsidR="0018056A" w:rsidRPr="0018056A">
        <w:t xml:space="preserve">located here: </w:t>
      </w:r>
      <w:hyperlink r:id="rId11" w:history="1">
        <w:r w:rsidR="0018056A" w:rsidRPr="0018056A">
          <w:rPr>
            <w:rStyle w:val="Hyperlink"/>
          </w:rPr>
          <w:t>Pharmacy Clinical Edits and Preferred Drug Lists | mydss.mo.gov</w:t>
        </w:r>
      </w:hyperlink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 xml:space="preserve">Therapy will deny </w:t>
      </w:r>
      <w:proofErr w:type="gramStart"/>
      <w:r w:rsidRPr="00C722C9">
        <w:t>with</w:t>
      </w:r>
      <w:proofErr w:type="gramEnd"/>
      <w:r w:rsidRPr="00C722C9">
        <w:t xml:space="preserve"> presence of one of the following:</w:t>
      </w:r>
    </w:p>
    <w:p w14:paraId="34DD01B8" w14:textId="0F783C7A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 xml:space="preserve">Any approval criteria are not </w:t>
      </w:r>
      <w:proofErr w:type="gramStart"/>
      <w:r w:rsidRPr="005328B2">
        <w:t>met;</w:t>
      </w:r>
      <w:proofErr w:type="gramEnd"/>
      <w:r>
        <w:t xml:space="preserve"> </w:t>
      </w:r>
    </w:p>
    <w:p w14:paraId="48D19E3F" w14:textId="77777777" w:rsidR="00887ACC" w:rsidRDefault="00887ACC" w:rsidP="00887ACC">
      <w:pPr>
        <w:numPr>
          <w:ilvl w:val="1"/>
          <w:numId w:val="6"/>
        </w:numPr>
        <w:rPr>
          <w:rFonts w:cs="Arial"/>
          <w:szCs w:val="20"/>
        </w:rPr>
      </w:pPr>
      <w:r>
        <w:rPr>
          <w:rFonts w:cs="Arial"/>
        </w:rPr>
        <w:t xml:space="preserve">For pregabalin: </w:t>
      </w:r>
    </w:p>
    <w:p w14:paraId="2CB0BD2A" w14:textId="77777777" w:rsidR="00887ACC" w:rsidRDefault="00887ACC" w:rsidP="00887ACC">
      <w:pPr>
        <w:numPr>
          <w:ilvl w:val="2"/>
          <w:numId w:val="6"/>
        </w:numPr>
        <w:rPr>
          <w:rFonts w:cs="Arial"/>
        </w:rPr>
      </w:pPr>
      <w:r>
        <w:rPr>
          <w:rFonts w:cs="Arial"/>
        </w:rPr>
        <w:t xml:space="preserve">Participant has documented history of gabapentin therapy in the past 30 days; </w:t>
      </w:r>
      <w:r>
        <w:rPr>
          <w:rFonts w:cs="Arial"/>
          <w:b/>
          <w:bCs/>
        </w:rPr>
        <w:t>OR</w:t>
      </w:r>
      <w:r>
        <w:rPr>
          <w:rFonts w:cs="Arial"/>
        </w:rPr>
        <w:t xml:space="preserve"> </w:t>
      </w:r>
    </w:p>
    <w:p w14:paraId="1355CBC7" w14:textId="77777777" w:rsidR="00887ACC" w:rsidRDefault="00887ACC" w:rsidP="00887ACC">
      <w:pPr>
        <w:pStyle w:val="ListParagraph"/>
        <w:numPr>
          <w:ilvl w:val="2"/>
          <w:numId w:val="6"/>
        </w:numPr>
        <w:rPr>
          <w:rFonts w:cs="Arial"/>
        </w:rPr>
      </w:pPr>
      <w:r>
        <w:rPr>
          <w:rFonts w:cs="Arial"/>
        </w:rPr>
        <w:t xml:space="preserve">Cumulative daily doses &gt; 660 mg; </w:t>
      </w:r>
      <w:r>
        <w:rPr>
          <w:rFonts w:cs="Arial"/>
          <w:b/>
          <w:bCs/>
        </w:rPr>
        <w:t>OR</w:t>
      </w:r>
    </w:p>
    <w:p w14:paraId="5D774AC3" w14:textId="77777777" w:rsidR="00887ACC" w:rsidRDefault="00887ACC" w:rsidP="00887ACC">
      <w:pPr>
        <w:pStyle w:val="ListParagraph"/>
      </w:pPr>
      <w:r>
        <w:t>Claim exceeds maximum dosing limitations on the following: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2075"/>
        <w:gridCol w:w="3055"/>
      </w:tblGrid>
      <w:tr w:rsidR="00887ACC" w14:paraId="70C2040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447C00E4" w14:textId="77777777" w:rsidR="00887ACC" w:rsidRDefault="00887ACC">
            <w:pPr>
              <w:rPr>
                <w:rFonts w:cs="Arial"/>
                <w:b/>
                <w:bCs/>
              </w:rPr>
            </w:pPr>
            <w:bookmarkStart w:id="1" w:name="_Hlk63882058"/>
            <w:r>
              <w:rPr>
                <w:rFonts w:cs="Arial"/>
                <w:b/>
                <w:bCs/>
              </w:rPr>
              <w:t>Drug Description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643B13CD" w14:textId="77777777" w:rsidR="00887ACC" w:rsidRDefault="00887AC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Generic Equivalent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9738BAB" w14:textId="77777777" w:rsidR="00887ACC" w:rsidRDefault="00887AC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Maximum Dosing Limitations</w:t>
            </w:r>
          </w:p>
        </w:tc>
      </w:tr>
      <w:tr w:rsidR="00887ACC" w14:paraId="1524DFEE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33E6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  <w:caps/>
              </w:rPr>
              <w:t xml:space="preserve">CYMBALTA 20 MG CAPSULE     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DDBFD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DULOXETINE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662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4 capsules per day</w:t>
            </w:r>
          </w:p>
        </w:tc>
      </w:tr>
      <w:tr w:rsidR="00887ACC" w14:paraId="657C4185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674E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CYMBALTA 30 MG CAPSULE     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FDDD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DULOXETINE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0204" w14:textId="77777777" w:rsidR="00887ACC" w:rsidRDefault="00887ACC">
            <w:pPr>
              <w:rPr>
                <w:rFonts w:cs="Arial"/>
                <w:color w:val="0070C0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45747B6E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A84F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CYMBALTA 60 MG CAPSULE     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2A3D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 xml:space="preserve">DULOXETINE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4CE3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55CE28E9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F212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20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65E7B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422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capsule per day</w:t>
            </w:r>
          </w:p>
        </w:tc>
      </w:tr>
      <w:tr w:rsidR="00887ACC" w14:paraId="480CF67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62C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30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9C2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9A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capsule per day</w:t>
            </w:r>
          </w:p>
        </w:tc>
      </w:tr>
      <w:tr w:rsidR="00887ACC" w14:paraId="1C9C37DD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76645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40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B4115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783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265A716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CC03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DRIZALMA SPRINKLE DR 60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67CF" w14:textId="77777777" w:rsidR="00887ACC" w:rsidRDefault="00887ACC">
            <w:pPr>
              <w:rPr>
                <w:rFonts w:cs="Arial"/>
                <w:caps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2612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5895C551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855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DULOXETINE HCL DR 40 MG CAP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DC36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DULOXETINE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C9A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522BE705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9B9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25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415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14C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1174114D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8FE4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50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1F4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C860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09C4DA10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655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75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183F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E79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1390771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E467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100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2FD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D2F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7CCCF565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B47F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150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468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89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3423A8A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F1AE7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200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E97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09A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 capsules per day</w:t>
            </w:r>
          </w:p>
        </w:tc>
      </w:tr>
      <w:tr w:rsidR="00887ACC" w14:paraId="45DD7B9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1B94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225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3D69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C9FB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3307ED62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84A0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300 MG CAPSULE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E03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768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capsules per day</w:t>
            </w:r>
          </w:p>
        </w:tc>
      </w:tr>
      <w:tr w:rsidR="00887ACC" w14:paraId="04E3716A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9D1F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20 MG/ML ORAL SOLUTION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A83E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65D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30 mL per day</w:t>
            </w:r>
          </w:p>
        </w:tc>
      </w:tr>
      <w:tr w:rsidR="00887ACC" w14:paraId="3FB76A23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A8C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CR 82.5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C543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6A51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tablet per day</w:t>
            </w:r>
          </w:p>
        </w:tc>
      </w:tr>
      <w:tr w:rsidR="00887ACC" w14:paraId="16AD3308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F89D7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CR 165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80819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ED2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tablet per day</w:t>
            </w:r>
          </w:p>
        </w:tc>
      </w:tr>
      <w:tr w:rsidR="00887ACC" w14:paraId="40884E1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B6D3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LYRICA CR 330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A5A8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PREGABALIN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F50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1 tablet per day</w:t>
            </w:r>
          </w:p>
        </w:tc>
      </w:tr>
      <w:tr w:rsidR="00887ACC" w14:paraId="4A020AAC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AF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12.5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3AAEA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D682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</w:tr>
      <w:tr w:rsidR="00887ACC" w14:paraId="7DF37D3F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05355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25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BE7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CC38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</w:tr>
      <w:tr w:rsidR="00887ACC" w14:paraId="3246565B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D24D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50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838E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9F2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</w:tr>
      <w:tr w:rsidR="00887ACC" w14:paraId="0E94F5D7" w14:textId="77777777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AA7D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SAVELLA 100 MG TABLET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578C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MILNACIPRAN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8367" w14:textId="77777777" w:rsidR="00887ACC" w:rsidRDefault="00887ACC">
            <w:pPr>
              <w:rPr>
                <w:rFonts w:cs="Arial"/>
              </w:rPr>
            </w:pPr>
            <w:r>
              <w:rPr>
                <w:rFonts w:cs="Arial"/>
              </w:rPr>
              <w:t>2 tablets per day</w:t>
            </w:r>
          </w:p>
        </w:tc>
        <w:bookmarkEnd w:id="1"/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2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lastRenderedPageBreak/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2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6B8D78F9" w14:textId="77777777" w:rsidR="001F15E0" w:rsidRDefault="001F15E0" w:rsidP="001F15E0">
      <w:pPr>
        <w:pStyle w:val="ListParagraph"/>
        <w:rPr>
          <w:szCs w:val="20"/>
        </w:rPr>
      </w:pPr>
      <w:r>
        <w:t>Evidence-Based Medicine and Fiscal Analysis: “Fibromyalgia – Therapeutic Class Review”, Conduent Business Services, L.L.C., Richmond, VA; November 2021.</w:t>
      </w:r>
    </w:p>
    <w:p w14:paraId="2D66E0B8" w14:textId="053561CA" w:rsidR="001F15E0" w:rsidRDefault="001F15E0" w:rsidP="001F15E0">
      <w:pPr>
        <w:pStyle w:val="ListParagraph"/>
      </w:pPr>
      <w:r>
        <w:t xml:space="preserve">Evidence-Based Medicine Analysis: “Fibromyalgia Agents”, UMKC-DIC; </w:t>
      </w:r>
      <w:r w:rsidR="0084746E" w:rsidRPr="0084746E">
        <w:t>August 2025</w:t>
      </w:r>
      <w:r>
        <w:t>.</w:t>
      </w:r>
    </w:p>
    <w:p w14:paraId="5EC7BAD9" w14:textId="15AE81D8" w:rsidR="001F15E0" w:rsidRDefault="001F15E0" w:rsidP="001F15E0">
      <w:pPr>
        <w:pStyle w:val="ListParagraph"/>
        <w:rPr>
          <w:szCs w:val="20"/>
        </w:rPr>
      </w:pPr>
      <w:r>
        <w:t xml:space="preserve">USPDI, Micromedex; 2025. </w:t>
      </w:r>
    </w:p>
    <w:p w14:paraId="3FA1E7DB" w14:textId="20099248" w:rsidR="00777CA4" w:rsidRDefault="001F15E0" w:rsidP="001F15E0">
      <w:pPr>
        <w:pStyle w:val="ListParagraph"/>
      </w:pPr>
      <w:r>
        <w:t xml:space="preserve">Facts and Comparisons </w:t>
      </w:r>
      <w:proofErr w:type="spellStart"/>
      <w:r>
        <w:t>eAnswers</w:t>
      </w:r>
      <w:proofErr w:type="spellEnd"/>
      <w:r>
        <w:t xml:space="preserve"> (online); 2025 Clinical Drug Information, LLC</w:t>
      </w:r>
      <w:r w:rsidR="00777CA4">
        <w:t>.</w:t>
      </w:r>
    </w:p>
    <w:sectPr w:rsidR="00777CA4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AFFF" w14:textId="77777777" w:rsidR="0043700D" w:rsidRPr="00C02553" w:rsidRDefault="0043700D" w:rsidP="00AE77DB">
      <w:r w:rsidRPr="00C02553">
        <w:separator/>
      </w:r>
    </w:p>
  </w:endnote>
  <w:endnote w:type="continuationSeparator" w:id="0">
    <w:p w14:paraId="3A70B4BF" w14:textId="77777777" w:rsidR="0043700D" w:rsidRPr="00C02553" w:rsidRDefault="0043700D" w:rsidP="00AE77DB">
      <w:r w:rsidRPr="00C02553">
        <w:continuationSeparator/>
      </w:r>
    </w:p>
  </w:endnote>
  <w:endnote w:type="continuationNotice" w:id="1">
    <w:p w14:paraId="058EDF76" w14:textId="77777777" w:rsidR="0043700D" w:rsidRPr="00C02553" w:rsidRDefault="0043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9417" w14:textId="77777777" w:rsidR="0043700D" w:rsidRPr="00C02553" w:rsidRDefault="0043700D" w:rsidP="00AE77DB">
      <w:r w:rsidRPr="00C02553">
        <w:separator/>
      </w:r>
    </w:p>
  </w:footnote>
  <w:footnote w:type="continuationSeparator" w:id="0">
    <w:p w14:paraId="63EFE4F0" w14:textId="77777777" w:rsidR="0043700D" w:rsidRPr="00C02553" w:rsidRDefault="0043700D" w:rsidP="00AE77DB">
      <w:r w:rsidRPr="00C02553">
        <w:continuationSeparator/>
      </w:r>
    </w:p>
  </w:footnote>
  <w:footnote w:type="continuationNotice" w:id="1">
    <w:p w14:paraId="6A8EE2ED" w14:textId="77777777" w:rsidR="0043700D" w:rsidRPr="00C02553" w:rsidRDefault="00437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84746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84746E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746E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AD4D24"/>
    <w:multiLevelType w:val="hybridMultilevel"/>
    <w:tmpl w:val="3104B13A"/>
    <w:lvl w:ilvl="0" w:tplc="E91A3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3CE9"/>
    <w:multiLevelType w:val="hybridMultilevel"/>
    <w:tmpl w:val="C804C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2D0F"/>
    <w:multiLevelType w:val="hybridMultilevel"/>
    <w:tmpl w:val="9A948848"/>
    <w:lvl w:ilvl="0" w:tplc="D3061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867B9"/>
    <w:multiLevelType w:val="hybridMultilevel"/>
    <w:tmpl w:val="FB70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F57588"/>
    <w:multiLevelType w:val="hybridMultilevel"/>
    <w:tmpl w:val="6712A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7B225C"/>
    <w:multiLevelType w:val="hybridMultilevel"/>
    <w:tmpl w:val="CB8E7C2E"/>
    <w:lvl w:ilvl="0" w:tplc="7D64F3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DF6B6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9"/>
  </w:num>
  <w:num w:numId="5" w16cid:durableId="1769498754">
    <w:abstractNumId w:val="3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2"/>
  </w:num>
  <w:num w:numId="10" w16cid:durableId="917518096">
    <w:abstractNumId w:val="10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4"/>
  </w:num>
  <w:num w:numId="15" w16cid:durableId="126511728">
    <w:abstractNumId w:val="11"/>
  </w:num>
  <w:num w:numId="16" w16cid:durableId="1051615005">
    <w:abstractNumId w:val="15"/>
  </w:num>
  <w:num w:numId="17" w16cid:durableId="2143838528">
    <w:abstractNumId w:val="5"/>
  </w:num>
  <w:num w:numId="18" w16cid:durableId="1715693297">
    <w:abstractNumId w:val="13"/>
  </w:num>
  <w:num w:numId="19" w16cid:durableId="489754927">
    <w:abstractNumId w:val="19"/>
  </w:num>
  <w:num w:numId="20" w16cid:durableId="4894411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8056A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15E0"/>
    <w:rsid w:val="001F2B9F"/>
    <w:rsid w:val="001F5954"/>
    <w:rsid w:val="001F7873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3700D"/>
    <w:rsid w:val="00441744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4F7CA0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36ADF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1BD3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4746E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87ACC"/>
    <w:rsid w:val="00896264"/>
    <w:rsid w:val="008A5D88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F6B67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A2B1A"/>
    <w:rsid w:val="00BB181D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1F25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4217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0AD5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0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CZKC0VWWprQBIbM8sgxKG8jjeo_oQ1Ylyr4Ia6yF9JfUqfJnR3t1AGu3YsbO6h7vWQjzXnzD2NI1WAeU30-1L5heHBbRPpb3ZjmF2z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office/infopath/2007/PartnerControls"/>
    <ds:schemaRef ds:uri="1e4a61f8-8acd-406c-9ffc-156367cd3fec"/>
    <ds:schemaRef ds:uri="54a97082-99d0-4cd5-8c93-88769c19209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C24BC8-F008-42F1-94F3-A9394195FBF1}"/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Fibromyalgia Agents PDL Edit</dc:title>
  <dc:creator>DMS</dc:creator>
  <cp:lastModifiedBy>Morsches, Phuonglinh</cp:lastModifiedBy>
  <cp:revision>13</cp:revision>
  <cp:lastPrinted>2018-10-31T20:17:00Z</cp:lastPrinted>
  <dcterms:created xsi:type="dcterms:W3CDTF">2025-12-03T01:41:00Z</dcterms:created>
  <dcterms:modified xsi:type="dcterms:W3CDTF">2025-12-05T22:48:00Z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