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proofErr w:type="spellStart"/>
      <w:r w:rsidRPr="00C02553">
        <w:rPr>
          <w:lang w:val="en-US"/>
        </w:rPr>
        <w:t>SmartPA</w:t>
      </w:r>
      <w:proofErr w:type="spellEnd"/>
      <w:r w:rsidRPr="00C02553">
        <w:rPr>
          <w:lang w:val="en-US"/>
        </w:rPr>
        <w:t xml:space="preserve">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16DD7250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265220" w:rsidRPr="00265220">
        <w:rPr>
          <w:b w:val="0"/>
          <w:bCs/>
        </w:rPr>
        <w:t>GI Motility Agents, Chronic PDL Edit</w:t>
      </w:r>
    </w:p>
    <w:p w14:paraId="7AD7FFCE" w14:textId="6E330671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265220" w:rsidRPr="00265220">
        <w:rPr>
          <w:b w:val="0"/>
          <w:bCs/>
        </w:rPr>
        <w:t>April 6, 2017</w:t>
      </w:r>
    </w:p>
    <w:p w14:paraId="4B7D760D" w14:textId="77F84E4D" w:rsidR="004C5767" w:rsidRPr="00057F84" w:rsidRDefault="00F41F69" w:rsidP="70E341D6">
      <w:pPr>
        <w:pStyle w:val="tbody"/>
        <w:rPr>
          <w:b w:val="0"/>
        </w:rPr>
      </w:pPr>
      <w:r>
        <w:t>Propo</w:t>
      </w:r>
      <w:r w:rsidR="004C5767">
        <w:t>sed Date:</w:t>
      </w:r>
      <w:r w:rsidR="00065C22">
        <w:t xml:space="preserve"> </w:t>
      </w:r>
      <w:r w:rsidR="00057F84">
        <w:rPr>
          <w:b w:val="0"/>
        </w:rPr>
        <w:t>January 20,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78DAF06B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>
        <w:rPr>
          <w:b w:val="0"/>
          <w:bCs/>
          <w:spacing w:val="-3"/>
        </w:rPr>
        <w:t>Revision of 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6BB3637B" w14:textId="77777777" w:rsidR="00C952C4" w:rsidRPr="00C952C4" w:rsidRDefault="00C952C4" w:rsidP="00C952C4">
      <w:r w:rsidRPr="00C952C4">
        <w:t xml:space="preserve">Opioid-induced constipation (OIC) is a common adverse effect of opioid therapy. A prophylactic bowel regimen is recommended when initiating opioid therapy. </w:t>
      </w:r>
      <w:proofErr w:type="spellStart"/>
      <w:r w:rsidRPr="00C952C4">
        <w:t>Amitiza</w:t>
      </w:r>
      <w:proofErr w:type="spellEnd"/>
      <w:r w:rsidRPr="00C952C4">
        <w:rPr>
          <w:vertAlign w:val="superscript"/>
        </w:rPr>
        <w:t>®</w:t>
      </w:r>
      <w:r w:rsidRPr="00C952C4">
        <w:t xml:space="preserve">, </w:t>
      </w:r>
      <w:proofErr w:type="spellStart"/>
      <w:r w:rsidRPr="00C952C4">
        <w:t>Movantik</w:t>
      </w:r>
      <w:proofErr w:type="spellEnd"/>
      <w:r w:rsidRPr="00C952C4">
        <w:rPr>
          <w:vertAlign w:val="superscript"/>
        </w:rPr>
        <w:t>®</w:t>
      </w:r>
      <w:r w:rsidRPr="00C952C4">
        <w:t xml:space="preserve">, </w:t>
      </w:r>
      <w:proofErr w:type="spellStart"/>
      <w:r w:rsidRPr="00C952C4">
        <w:t>Relistor</w:t>
      </w:r>
      <w:proofErr w:type="spellEnd"/>
      <w:r w:rsidRPr="00C952C4">
        <w:rPr>
          <w:vertAlign w:val="superscript"/>
        </w:rPr>
        <w:t>®</w:t>
      </w:r>
      <w:r w:rsidRPr="00C952C4">
        <w:t xml:space="preserve">, and </w:t>
      </w:r>
      <w:proofErr w:type="spellStart"/>
      <w:r w:rsidRPr="00C952C4">
        <w:t>Symproic</w:t>
      </w:r>
      <w:proofErr w:type="spellEnd"/>
      <w:r w:rsidRPr="00C952C4">
        <w:rPr>
          <w:vertAlign w:val="superscript"/>
        </w:rPr>
        <w:t>®</w:t>
      </w:r>
      <w:r w:rsidRPr="00C952C4">
        <w:t xml:space="preserve"> are all approved to treat OIC in patients with chronic non-cancer pain. </w:t>
      </w:r>
      <w:proofErr w:type="spellStart"/>
      <w:r w:rsidRPr="00C952C4">
        <w:t>Relistor</w:t>
      </w:r>
      <w:proofErr w:type="spellEnd"/>
      <w:r w:rsidRPr="00C952C4">
        <w:t xml:space="preserve"> injection has an additional indication for treatment of OIC in patients with advanced illness (e.g., palliative care). Therapy with these agents is significantly more costly than with older medications.</w:t>
      </w:r>
    </w:p>
    <w:p w14:paraId="5BFC449E" w14:textId="77777777" w:rsidR="00C952C4" w:rsidRPr="00C952C4" w:rsidRDefault="00C952C4" w:rsidP="00C952C4"/>
    <w:p w14:paraId="77E140A1" w14:textId="77777777" w:rsidR="00C952C4" w:rsidRPr="00C952C4" w:rsidRDefault="00C952C4" w:rsidP="00C952C4">
      <w:r w:rsidRPr="00C952C4">
        <w:t xml:space="preserve">Chronic idiopathic constipation (CIC) is generally defined as infrequent and difficult passage of stool. Constipation secondary to other diseases (e.g., Parkinson’s, spinal cord injury) is generally not considered CIC. FDA-indicated products </w:t>
      </w:r>
      <w:proofErr w:type="spellStart"/>
      <w:r w:rsidRPr="00C952C4">
        <w:t>Linzess</w:t>
      </w:r>
      <w:proofErr w:type="spellEnd"/>
      <w:r w:rsidRPr="00C952C4">
        <w:rPr>
          <w:vertAlign w:val="superscript"/>
        </w:rPr>
        <w:t>®</w:t>
      </w:r>
      <w:r w:rsidRPr="00C952C4">
        <w:t xml:space="preserve"> and </w:t>
      </w:r>
      <w:proofErr w:type="spellStart"/>
      <w:r w:rsidRPr="00C952C4">
        <w:t>Amitiza</w:t>
      </w:r>
      <w:proofErr w:type="spellEnd"/>
      <w:r w:rsidRPr="00C952C4">
        <w:rPr>
          <w:vertAlign w:val="superscript"/>
        </w:rPr>
        <w:t>®</w:t>
      </w:r>
      <w:r w:rsidRPr="00C952C4">
        <w:t xml:space="preserve"> increase fluid motility in the intestinal tract to alleviate symptoms associated with CIC. </w:t>
      </w:r>
    </w:p>
    <w:p w14:paraId="08125AEB" w14:textId="77777777" w:rsidR="00DF65C7" w:rsidRDefault="00DF65C7" w:rsidP="00C952C4"/>
    <w:p w14:paraId="17795B86" w14:textId="4ACBD0B4" w:rsidR="00C952C4" w:rsidRPr="00C952C4" w:rsidRDefault="00C952C4" w:rsidP="00C952C4">
      <w:r w:rsidRPr="00C952C4">
        <w:t xml:space="preserve">Irritable bowel syndrome (IBS) is a functional bowel disorder that can be characterized by </w:t>
      </w:r>
      <w:proofErr w:type="gramStart"/>
      <w:r w:rsidRPr="00C952C4">
        <w:t>predominantly</w:t>
      </w:r>
      <w:proofErr w:type="gramEnd"/>
      <w:r w:rsidRPr="00C952C4">
        <w:t xml:space="preserve"> constipation (IBS-C) or diarrhea (IBS-D), or symptoms may be mixed (IBS-M). Drugs that are helpful for CIC are also beneficial in treating IBS-C. </w:t>
      </w:r>
      <w:proofErr w:type="spellStart"/>
      <w:r w:rsidRPr="00C952C4">
        <w:t>Amitiza</w:t>
      </w:r>
      <w:proofErr w:type="spellEnd"/>
      <w:r w:rsidRPr="00C952C4">
        <w:t xml:space="preserve">, </w:t>
      </w:r>
      <w:proofErr w:type="spellStart"/>
      <w:r w:rsidRPr="00C952C4">
        <w:t>Ibsrela</w:t>
      </w:r>
      <w:proofErr w:type="spellEnd"/>
      <w:r w:rsidRPr="00C952C4">
        <w:rPr>
          <w:vertAlign w:val="superscript"/>
        </w:rPr>
        <w:t xml:space="preserve">® </w:t>
      </w:r>
      <w:r w:rsidRPr="00C952C4">
        <w:t xml:space="preserve">and </w:t>
      </w:r>
      <w:proofErr w:type="spellStart"/>
      <w:r w:rsidRPr="00C952C4">
        <w:t>Linzess</w:t>
      </w:r>
      <w:proofErr w:type="spellEnd"/>
      <w:r w:rsidRPr="00C952C4">
        <w:rPr>
          <w:vertAlign w:val="superscript"/>
        </w:rPr>
        <w:t>®</w:t>
      </w:r>
      <w:r w:rsidRPr="00C952C4">
        <w:t xml:space="preserve"> are approved for treatment of IBS-C.  </w:t>
      </w:r>
      <w:proofErr w:type="spellStart"/>
      <w:r w:rsidRPr="00C952C4">
        <w:t>Lotronex</w:t>
      </w:r>
      <w:proofErr w:type="spellEnd"/>
      <w:r w:rsidRPr="00C952C4">
        <w:rPr>
          <w:vertAlign w:val="superscript"/>
        </w:rPr>
        <w:t>®</w:t>
      </w:r>
      <w:r w:rsidRPr="00C952C4">
        <w:t xml:space="preserve"> is indicated for the treatment of severe IBS-D in women-only who have failed conventional therapy. </w:t>
      </w:r>
      <w:proofErr w:type="spellStart"/>
      <w:r w:rsidRPr="00C952C4">
        <w:t>Viberzi</w:t>
      </w:r>
      <w:proofErr w:type="spellEnd"/>
      <w:r w:rsidRPr="00C952C4">
        <w:rPr>
          <w:vertAlign w:val="superscript"/>
        </w:rPr>
        <w:t>®</w:t>
      </w:r>
      <w:r w:rsidRPr="00C952C4">
        <w:t xml:space="preserve"> is an opioid receptor </w:t>
      </w:r>
      <w:proofErr w:type="gramStart"/>
      <w:r w:rsidRPr="00C952C4">
        <w:t>agonist</w:t>
      </w:r>
      <w:proofErr w:type="gramEnd"/>
      <w:r w:rsidRPr="00C952C4">
        <w:t xml:space="preserve"> and which is also approved to treat IBS-D.</w:t>
      </w:r>
    </w:p>
    <w:p w14:paraId="7ACECC9F" w14:textId="77777777" w:rsidR="00B56DCC" w:rsidRDefault="00B56DCC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6C8A8AB2" w14:textId="77777777" w:rsidR="00C952C4" w:rsidRPr="00DD224B" w:rsidRDefault="00C952C4" w:rsidP="00C952C4">
      <w:pPr>
        <w:pStyle w:val="ListParagraph"/>
      </w:pPr>
      <w:proofErr w:type="spellStart"/>
      <w:r w:rsidRPr="00DD224B">
        <w:t>Linzess</w:t>
      </w:r>
      <w:proofErr w:type="spellEnd"/>
      <w:r w:rsidRPr="00DD224B">
        <w:rPr>
          <w:vertAlign w:val="superscript"/>
        </w:rPr>
        <w:t>®</w:t>
      </w:r>
    </w:p>
    <w:p w14:paraId="19F7CA26" w14:textId="77777777" w:rsidR="00C952C4" w:rsidRPr="00DD224B" w:rsidRDefault="00C952C4" w:rsidP="00C952C4">
      <w:pPr>
        <w:pStyle w:val="ListParagraph"/>
      </w:pPr>
      <w:proofErr w:type="spellStart"/>
      <w:r w:rsidRPr="00DD224B">
        <w:t>Lubiprostone</w:t>
      </w:r>
      <w:proofErr w:type="spellEnd"/>
    </w:p>
    <w:p w14:paraId="1B21829C" w14:textId="5212D478" w:rsidR="00846FA4" w:rsidRPr="00DD224B" w:rsidRDefault="00C952C4" w:rsidP="00C952C4">
      <w:pPr>
        <w:pStyle w:val="ListParagraph"/>
      </w:pPr>
      <w:proofErr w:type="spellStart"/>
      <w:r w:rsidRPr="00DD224B">
        <w:t>Movantik</w:t>
      </w:r>
      <w:proofErr w:type="spellEnd"/>
      <w:r w:rsidR="00846FA4" w:rsidRPr="00DD224B">
        <w:rPr>
          <w:vertAlign w:val="superscript"/>
        </w:rPr>
        <w:t>®</w:t>
      </w:r>
    </w:p>
    <w:p w14:paraId="47320590" w14:textId="77777777" w:rsidR="00FD34EA" w:rsidRPr="00DD224B" w:rsidRDefault="00FD34EA" w:rsidP="00696E3A">
      <w:pPr>
        <w:rPr>
          <w:rFonts w:cs="Arial"/>
          <w:szCs w:val="20"/>
        </w:rPr>
      </w:pPr>
    </w:p>
    <w:p w14:paraId="56404718" w14:textId="252714AD" w:rsidR="00846FA4" w:rsidRPr="00DD224B" w:rsidRDefault="00846FA4" w:rsidP="00846FA4">
      <w:pPr>
        <w:rPr>
          <w:b/>
          <w:bCs/>
        </w:rPr>
      </w:pPr>
      <w:r w:rsidRPr="00DD224B">
        <w:rPr>
          <w:b/>
          <w:bCs/>
        </w:rPr>
        <w:t>Non-Preferred Agents:</w:t>
      </w:r>
    </w:p>
    <w:p w14:paraId="301AEC9E" w14:textId="77777777" w:rsidR="00C952C4" w:rsidRPr="00DD224B" w:rsidRDefault="00C952C4" w:rsidP="00C952C4">
      <w:pPr>
        <w:pStyle w:val="ListParagraph"/>
      </w:pPr>
      <w:proofErr w:type="spellStart"/>
      <w:r w:rsidRPr="00DD224B">
        <w:t>Alosetron</w:t>
      </w:r>
      <w:proofErr w:type="spellEnd"/>
    </w:p>
    <w:p w14:paraId="13F437B4" w14:textId="77777777" w:rsidR="00C952C4" w:rsidRPr="00DD224B" w:rsidRDefault="00C952C4" w:rsidP="00C952C4">
      <w:pPr>
        <w:pStyle w:val="ListParagraph"/>
      </w:pPr>
      <w:proofErr w:type="spellStart"/>
      <w:r w:rsidRPr="00DD224B">
        <w:t>Amitiza</w:t>
      </w:r>
      <w:proofErr w:type="spellEnd"/>
      <w:r w:rsidRPr="00DD224B">
        <w:rPr>
          <w:vertAlign w:val="superscript"/>
        </w:rPr>
        <w:t>®</w:t>
      </w:r>
    </w:p>
    <w:p w14:paraId="1B09A0C0" w14:textId="77777777" w:rsidR="00C952C4" w:rsidRPr="00DD224B" w:rsidRDefault="00C952C4" w:rsidP="00C952C4">
      <w:pPr>
        <w:pStyle w:val="ListParagraph"/>
      </w:pPr>
      <w:proofErr w:type="spellStart"/>
      <w:r w:rsidRPr="00DD224B">
        <w:t>Ibsrela</w:t>
      </w:r>
      <w:proofErr w:type="spellEnd"/>
      <w:r w:rsidRPr="00DD224B">
        <w:rPr>
          <w:vertAlign w:val="superscript"/>
        </w:rPr>
        <w:t>®</w:t>
      </w:r>
    </w:p>
    <w:p w14:paraId="5B68AD9B" w14:textId="77777777" w:rsidR="00C952C4" w:rsidRPr="00DD224B" w:rsidRDefault="00C952C4" w:rsidP="00C952C4">
      <w:pPr>
        <w:pStyle w:val="ListParagraph"/>
      </w:pPr>
      <w:proofErr w:type="spellStart"/>
      <w:r w:rsidRPr="00DD224B">
        <w:t>Lotronex</w:t>
      </w:r>
      <w:proofErr w:type="spellEnd"/>
      <w:r w:rsidRPr="00DD224B">
        <w:rPr>
          <w:vertAlign w:val="superscript"/>
        </w:rPr>
        <w:t>®</w:t>
      </w:r>
    </w:p>
    <w:p w14:paraId="59D8F490" w14:textId="77777777" w:rsidR="00C952C4" w:rsidRPr="00DD224B" w:rsidRDefault="00C952C4" w:rsidP="00C952C4">
      <w:pPr>
        <w:pStyle w:val="ListParagraph"/>
      </w:pPr>
      <w:proofErr w:type="spellStart"/>
      <w:r w:rsidRPr="00DD224B">
        <w:t>Motegrity</w:t>
      </w:r>
      <w:proofErr w:type="spellEnd"/>
      <w:r w:rsidRPr="00DD224B">
        <w:rPr>
          <w:vertAlign w:val="superscript"/>
        </w:rPr>
        <w:t>®</w:t>
      </w:r>
    </w:p>
    <w:p w14:paraId="732B2FAC" w14:textId="149730E1" w:rsidR="00C952C4" w:rsidRPr="00DD224B" w:rsidRDefault="00C952C4" w:rsidP="00C952C4">
      <w:pPr>
        <w:pStyle w:val="ListParagraph"/>
        <w:rPr>
          <w:b/>
          <w:bCs/>
          <w:color w:val="1F497D" w:themeColor="text2"/>
        </w:rPr>
      </w:pPr>
      <w:r w:rsidRPr="00DD224B">
        <w:rPr>
          <w:b/>
          <w:bCs/>
          <w:color w:val="1F497D" w:themeColor="text2"/>
        </w:rPr>
        <w:t>Prucalopride</w:t>
      </w:r>
    </w:p>
    <w:p w14:paraId="1584916B" w14:textId="77777777" w:rsidR="00C952C4" w:rsidRPr="00DD224B" w:rsidRDefault="00C952C4" w:rsidP="00C952C4">
      <w:pPr>
        <w:pStyle w:val="ListParagraph"/>
      </w:pPr>
      <w:proofErr w:type="spellStart"/>
      <w:r w:rsidRPr="00DD224B">
        <w:t>Symproic</w:t>
      </w:r>
      <w:proofErr w:type="spellEnd"/>
      <w:r w:rsidRPr="00DD224B">
        <w:rPr>
          <w:vertAlign w:val="superscript"/>
        </w:rPr>
        <w:t>®</w:t>
      </w:r>
    </w:p>
    <w:p w14:paraId="079F807A" w14:textId="72C9B3C1" w:rsidR="00846FA4" w:rsidRPr="00DD224B" w:rsidRDefault="00C952C4" w:rsidP="00C952C4">
      <w:pPr>
        <w:pStyle w:val="ListParagraph"/>
      </w:pPr>
      <w:proofErr w:type="spellStart"/>
      <w:r w:rsidRPr="00DD224B">
        <w:t>Viberzi</w:t>
      </w:r>
      <w:proofErr w:type="spellEnd"/>
      <w:r w:rsidRPr="00DD224B">
        <w:rPr>
          <w:vertAlign w:val="superscript"/>
        </w:rPr>
        <w:t>®</w:t>
      </w:r>
    </w:p>
    <w:p w14:paraId="6D696800" w14:textId="28E4C3DB" w:rsidR="00E23EC0" w:rsidRPr="002C2C41" w:rsidRDefault="00E23EC0" w:rsidP="00314430">
      <w:pPr>
        <w:rPr>
          <w:rFonts w:cs="Arial"/>
          <w:spacing w:val="-3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lastRenderedPageBreak/>
        <w:t xml:space="preserve">Setting &amp; Population </w:t>
      </w:r>
    </w:p>
    <w:p w14:paraId="04B7FBFB" w14:textId="7049C789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040A77" w:rsidRPr="00040A77">
        <w:t>GI Motility Agents, Chronic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0CC26D2C" w14:textId="77777777" w:rsidR="00CA4387" w:rsidRPr="00CA4387" w:rsidRDefault="00CA4387" w:rsidP="00CA4387">
      <w:pPr>
        <w:numPr>
          <w:ilvl w:val="0"/>
          <w:numId w:val="16"/>
        </w:numPr>
      </w:pPr>
      <w:r w:rsidRPr="00CA4387">
        <w:t>Must meet one of the following:</w:t>
      </w:r>
    </w:p>
    <w:p w14:paraId="19E2E73C" w14:textId="77777777" w:rsidR="00CA4387" w:rsidRPr="00CA4387" w:rsidRDefault="00CA4387" w:rsidP="00CA4387">
      <w:pPr>
        <w:numPr>
          <w:ilvl w:val="1"/>
          <w:numId w:val="16"/>
        </w:numPr>
      </w:pPr>
      <w:r w:rsidRPr="00CA4387">
        <w:t xml:space="preserve">Documented compliance on current therapy </w:t>
      </w:r>
      <w:proofErr w:type="gramStart"/>
      <w:r w:rsidRPr="00CA4387">
        <w:t>regimen;</w:t>
      </w:r>
      <w:proofErr w:type="gramEnd"/>
    </w:p>
    <w:p w14:paraId="30CDAFC1" w14:textId="77777777" w:rsidR="00CA4387" w:rsidRPr="00CA4387" w:rsidRDefault="00CA4387" w:rsidP="00CA4387">
      <w:pPr>
        <w:numPr>
          <w:ilvl w:val="1"/>
          <w:numId w:val="16"/>
        </w:numPr>
      </w:pPr>
      <w:r w:rsidRPr="00CA4387">
        <w:t xml:space="preserve">Must meet </w:t>
      </w:r>
      <w:proofErr w:type="gramStart"/>
      <w:r w:rsidRPr="00CA4387">
        <w:t>all of</w:t>
      </w:r>
      <w:proofErr w:type="gramEnd"/>
      <w:r w:rsidRPr="00CA4387">
        <w:t xml:space="preserve"> the following for agents with diarrhea indications:</w:t>
      </w:r>
    </w:p>
    <w:p w14:paraId="5DDC597A" w14:textId="77777777" w:rsidR="00CA4387" w:rsidRPr="00CA4387" w:rsidRDefault="00CA4387" w:rsidP="00CA4387">
      <w:pPr>
        <w:numPr>
          <w:ilvl w:val="2"/>
          <w:numId w:val="16"/>
        </w:numPr>
        <w:rPr>
          <w:bCs/>
        </w:rPr>
      </w:pPr>
      <w:r w:rsidRPr="00CA4387">
        <w:t xml:space="preserve">Claim is for </w:t>
      </w:r>
      <w:proofErr w:type="spellStart"/>
      <w:r w:rsidRPr="00CA4387">
        <w:t>Lotronex</w:t>
      </w:r>
      <w:proofErr w:type="spellEnd"/>
      <w:r w:rsidRPr="00CA4387">
        <w:t xml:space="preserve"> (</w:t>
      </w:r>
      <w:proofErr w:type="spellStart"/>
      <w:r w:rsidRPr="00CA4387">
        <w:t>alosetron</w:t>
      </w:r>
      <w:proofErr w:type="spellEnd"/>
      <w:r w:rsidRPr="00CA4387">
        <w:t xml:space="preserve">) or </w:t>
      </w:r>
      <w:proofErr w:type="spellStart"/>
      <w:proofErr w:type="gramStart"/>
      <w:r w:rsidRPr="00CA4387">
        <w:t>Viberzi</w:t>
      </w:r>
      <w:proofErr w:type="spellEnd"/>
      <w:r w:rsidRPr="00CA4387">
        <w:t>;</w:t>
      </w:r>
      <w:proofErr w:type="gramEnd"/>
    </w:p>
    <w:p w14:paraId="69617968" w14:textId="77777777" w:rsidR="00CA4387" w:rsidRPr="00CA4387" w:rsidRDefault="00CA4387" w:rsidP="00CA4387">
      <w:pPr>
        <w:numPr>
          <w:ilvl w:val="2"/>
          <w:numId w:val="16"/>
        </w:numPr>
      </w:pPr>
      <w:r w:rsidRPr="00CA4387">
        <w:t xml:space="preserve">Therapeutic trial on at least 1 covered anti-diarrheal </w:t>
      </w:r>
      <w:proofErr w:type="gramStart"/>
      <w:r w:rsidRPr="00CA4387">
        <w:t>product</w:t>
      </w:r>
      <w:proofErr w:type="gramEnd"/>
      <w:r w:rsidRPr="00CA4387">
        <w:t>; </w:t>
      </w:r>
      <w:r w:rsidRPr="00CA4387">
        <w:rPr>
          <w:b/>
          <w:bCs/>
        </w:rPr>
        <w:t>AND</w:t>
      </w:r>
    </w:p>
    <w:p w14:paraId="5B7B6DAF" w14:textId="77777777" w:rsidR="00CA4387" w:rsidRPr="00CA4387" w:rsidRDefault="00CA4387" w:rsidP="00CA4387">
      <w:pPr>
        <w:numPr>
          <w:ilvl w:val="2"/>
          <w:numId w:val="16"/>
        </w:numPr>
        <w:rPr>
          <w:bCs/>
        </w:rPr>
      </w:pPr>
      <w:r w:rsidRPr="00CA4387">
        <w:t xml:space="preserve">Documented diagnosis of irritable bowel syndrome with diarrhea as primary bowel symptom; </w:t>
      </w:r>
      <w:r w:rsidRPr="00CA4387">
        <w:rPr>
          <w:b/>
          <w:bCs/>
        </w:rPr>
        <w:t>OR</w:t>
      </w:r>
    </w:p>
    <w:p w14:paraId="292BC9C9" w14:textId="77777777" w:rsidR="00CA4387" w:rsidRPr="00CA4387" w:rsidRDefault="00CA4387" w:rsidP="00CA4387">
      <w:pPr>
        <w:numPr>
          <w:ilvl w:val="1"/>
          <w:numId w:val="16"/>
        </w:numPr>
      </w:pPr>
      <w:r w:rsidRPr="00CA4387">
        <w:t xml:space="preserve">Must meet </w:t>
      </w:r>
      <w:proofErr w:type="gramStart"/>
      <w:r w:rsidRPr="00CA4387">
        <w:t>all of</w:t>
      </w:r>
      <w:proofErr w:type="gramEnd"/>
      <w:r w:rsidRPr="00CA4387">
        <w:t xml:space="preserve"> the following for agents with constipation indications:</w:t>
      </w:r>
    </w:p>
    <w:p w14:paraId="0FE8FD7D" w14:textId="77777777" w:rsidR="00CA4387" w:rsidRPr="00CA4387" w:rsidRDefault="00CA4387" w:rsidP="00CA4387">
      <w:pPr>
        <w:numPr>
          <w:ilvl w:val="2"/>
          <w:numId w:val="16"/>
        </w:numPr>
      </w:pPr>
      <w:r w:rsidRPr="00CA4387">
        <w:t xml:space="preserve">Therapeutic trial of at least 2 different covered laxative </w:t>
      </w:r>
      <w:proofErr w:type="gramStart"/>
      <w:r w:rsidRPr="00CA4387">
        <w:t>preparations;</w:t>
      </w:r>
      <w:proofErr w:type="gramEnd"/>
      <w:r w:rsidRPr="00CA4387">
        <w:t xml:space="preserve"> </w:t>
      </w:r>
    </w:p>
    <w:p w14:paraId="7851533D" w14:textId="77777777" w:rsidR="00CA4387" w:rsidRPr="00CA4387" w:rsidRDefault="00CA4387" w:rsidP="00CA4387">
      <w:pPr>
        <w:numPr>
          <w:ilvl w:val="2"/>
          <w:numId w:val="16"/>
        </w:numPr>
      </w:pPr>
      <w:r w:rsidRPr="00CA4387">
        <w:t>For non-preferred agents: Failure to achieve desired therapeutic outcomes with trial on 2 or more preferred agents:</w:t>
      </w:r>
    </w:p>
    <w:p w14:paraId="62F33927" w14:textId="77777777" w:rsidR="00CA4387" w:rsidRPr="00CA4387" w:rsidRDefault="00CA4387" w:rsidP="00CA4387">
      <w:pPr>
        <w:numPr>
          <w:ilvl w:val="3"/>
          <w:numId w:val="16"/>
        </w:numPr>
      </w:pPr>
      <w:r w:rsidRPr="00CA4387">
        <w:t xml:space="preserve">Documented trial period for preferred agents; </w:t>
      </w:r>
      <w:r w:rsidRPr="00CA4387">
        <w:rPr>
          <w:b/>
          <w:bCs/>
        </w:rPr>
        <w:t>OR</w:t>
      </w:r>
    </w:p>
    <w:p w14:paraId="27E47FE3" w14:textId="77777777" w:rsidR="00CA4387" w:rsidRPr="00CA4387" w:rsidRDefault="00CA4387" w:rsidP="00CA4387">
      <w:pPr>
        <w:numPr>
          <w:ilvl w:val="3"/>
          <w:numId w:val="16"/>
        </w:numPr>
      </w:pPr>
      <w:r w:rsidRPr="00CA4387">
        <w:t xml:space="preserve">Documented ADE/ADR to preferred </w:t>
      </w:r>
      <w:proofErr w:type="gramStart"/>
      <w:r w:rsidRPr="00CA4387">
        <w:t>agents;</w:t>
      </w:r>
      <w:proofErr w:type="gramEnd"/>
    </w:p>
    <w:p w14:paraId="040ADE77" w14:textId="77777777" w:rsidR="00CA4387" w:rsidRPr="00CA4387" w:rsidRDefault="00CA4387" w:rsidP="00CA4387">
      <w:pPr>
        <w:numPr>
          <w:ilvl w:val="2"/>
          <w:numId w:val="16"/>
        </w:numPr>
        <w:rPr>
          <w:bCs/>
        </w:rPr>
      </w:pPr>
      <w:r w:rsidRPr="00CA4387">
        <w:rPr>
          <w:bCs/>
        </w:rPr>
        <w:t>For documented diagnosis of chronic idiopathic constipation:</w:t>
      </w:r>
    </w:p>
    <w:p w14:paraId="30053B25" w14:textId="77777777" w:rsidR="00CA4387" w:rsidRPr="00CA4387" w:rsidRDefault="00CA4387" w:rsidP="00CA4387">
      <w:pPr>
        <w:numPr>
          <w:ilvl w:val="3"/>
          <w:numId w:val="16"/>
        </w:numPr>
      </w:pPr>
      <w:r w:rsidRPr="00CA4387">
        <w:rPr>
          <w:bCs/>
        </w:rPr>
        <w:t xml:space="preserve">Claim is for </w:t>
      </w:r>
      <w:proofErr w:type="spellStart"/>
      <w:r w:rsidRPr="00CA4387">
        <w:rPr>
          <w:bCs/>
        </w:rPr>
        <w:t>lubiprostone</w:t>
      </w:r>
      <w:proofErr w:type="spellEnd"/>
      <w:r w:rsidRPr="00CA4387">
        <w:rPr>
          <w:bCs/>
        </w:rPr>
        <w:t xml:space="preserve">, </w:t>
      </w:r>
      <w:proofErr w:type="spellStart"/>
      <w:r w:rsidRPr="00CA4387">
        <w:rPr>
          <w:bCs/>
        </w:rPr>
        <w:t>Linzess</w:t>
      </w:r>
      <w:proofErr w:type="spellEnd"/>
      <w:r w:rsidRPr="00CA4387">
        <w:rPr>
          <w:bCs/>
        </w:rPr>
        <w:t xml:space="preserve"> </w:t>
      </w:r>
      <w:r w:rsidRPr="00CA4387">
        <w:rPr>
          <w:b/>
        </w:rPr>
        <w:t>or</w:t>
      </w:r>
      <w:r w:rsidRPr="00CA4387">
        <w:rPr>
          <w:bCs/>
        </w:rPr>
        <w:t xml:space="preserve"> </w:t>
      </w:r>
      <w:proofErr w:type="spellStart"/>
      <w:r w:rsidRPr="00CA4387">
        <w:rPr>
          <w:bCs/>
        </w:rPr>
        <w:t>Motegrity</w:t>
      </w:r>
      <w:proofErr w:type="spellEnd"/>
      <w:r w:rsidRPr="00CA4387">
        <w:rPr>
          <w:bCs/>
        </w:rPr>
        <w:t xml:space="preserve">, </w:t>
      </w:r>
      <w:r w:rsidRPr="00CA4387">
        <w:rPr>
          <w:b/>
          <w:strike/>
          <w:color w:val="1F497D" w:themeColor="text2"/>
        </w:rPr>
        <w:t xml:space="preserve">or </w:t>
      </w:r>
      <w:proofErr w:type="spellStart"/>
      <w:proofErr w:type="gramStart"/>
      <w:r w:rsidRPr="00CA4387">
        <w:rPr>
          <w:b/>
          <w:strike/>
          <w:color w:val="1F497D" w:themeColor="text2"/>
        </w:rPr>
        <w:t>Trulance</w:t>
      </w:r>
      <w:proofErr w:type="spellEnd"/>
      <w:r w:rsidRPr="00CA4387">
        <w:rPr>
          <w:bCs/>
        </w:rPr>
        <w:t>;</w:t>
      </w:r>
      <w:proofErr w:type="gramEnd"/>
    </w:p>
    <w:p w14:paraId="53BAD1F5" w14:textId="77777777" w:rsidR="00CA4387" w:rsidRPr="00CA4387" w:rsidRDefault="00CA4387" w:rsidP="00CA4387">
      <w:pPr>
        <w:numPr>
          <w:ilvl w:val="2"/>
          <w:numId w:val="16"/>
        </w:numPr>
        <w:rPr>
          <w:bCs/>
        </w:rPr>
      </w:pPr>
      <w:r w:rsidRPr="00CA4387">
        <w:rPr>
          <w:bCs/>
        </w:rPr>
        <w:t xml:space="preserve">For documented diagnosis of </w:t>
      </w:r>
      <w:r w:rsidRPr="00CA4387">
        <w:t>irritable bowel syndrome with constipation:</w:t>
      </w:r>
    </w:p>
    <w:p w14:paraId="411583D6" w14:textId="77777777" w:rsidR="00CA4387" w:rsidRPr="00CA4387" w:rsidRDefault="00CA4387" w:rsidP="00CA4387">
      <w:pPr>
        <w:numPr>
          <w:ilvl w:val="3"/>
          <w:numId w:val="16"/>
        </w:numPr>
        <w:rPr>
          <w:bCs/>
        </w:rPr>
      </w:pPr>
      <w:r w:rsidRPr="00CA4387">
        <w:t xml:space="preserve">Claim is for </w:t>
      </w:r>
      <w:proofErr w:type="spellStart"/>
      <w:r w:rsidRPr="00CA4387">
        <w:t>lubiprostone</w:t>
      </w:r>
      <w:proofErr w:type="spellEnd"/>
      <w:r w:rsidRPr="00CA4387">
        <w:t xml:space="preserve"> </w:t>
      </w:r>
      <w:r w:rsidRPr="00CA4387">
        <w:rPr>
          <w:b/>
          <w:bCs/>
        </w:rPr>
        <w:t>or</w:t>
      </w:r>
      <w:r w:rsidRPr="00CA4387">
        <w:t xml:space="preserve"> </w:t>
      </w:r>
      <w:proofErr w:type="spellStart"/>
      <w:r w:rsidRPr="00CA4387">
        <w:t>Linzess</w:t>
      </w:r>
      <w:proofErr w:type="spellEnd"/>
      <w:r w:rsidRPr="00CA4387">
        <w:t xml:space="preserve"> </w:t>
      </w:r>
      <w:r w:rsidRPr="00CA4387">
        <w:rPr>
          <w:b/>
          <w:bCs/>
          <w:strike/>
          <w:color w:val="1F497D" w:themeColor="text2"/>
        </w:rPr>
        <w:t xml:space="preserve">or </w:t>
      </w:r>
      <w:proofErr w:type="spellStart"/>
      <w:proofErr w:type="gramStart"/>
      <w:r w:rsidRPr="00CA4387">
        <w:rPr>
          <w:b/>
          <w:bCs/>
          <w:strike/>
          <w:color w:val="1F497D" w:themeColor="text2"/>
        </w:rPr>
        <w:t>Trulance</w:t>
      </w:r>
      <w:proofErr w:type="spellEnd"/>
      <w:r w:rsidRPr="00CA4387">
        <w:t>;</w:t>
      </w:r>
      <w:proofErr w:type="gramEnd"/>
      <w:r w:rsidRPr="00CA4387">
        <w:t xml:space="preserve"> </w:t>
      </w:r>
      <w:r w:rsidRPr="00CA4387">
        <w:rPr>
          <w:b/>
          <w:bCs/>
        </w:rPr>
        <w:t>OR</w:t>
      </w:r>
    </w:p>
    <w:p w14:paraId="716F8ECB" w14:textId="77777777" w:rsidR="00CA4387" w:rsidRPr="00CA4387" w:rsidRDefault="00CA4387" w:rsidP="00CA4387">
      <w:pPr>
        <w:numPr>
          <w:ilvl w:val="3"/>
          <w:numId w:val="16"/>
        </w:numPr>
      </w:pPr>
      <w:r w:rsidRPr="00CA4387">
        <w:t xml:space="preserve">Claim for </w:t>
      </w:r>
      <w:proofErr w:type="spellStart"/>
      <w:r w:rsidRPr="00CA4387">
        <w:t>Ibsrela</w:t>
      </w:r>
      <w:proofErr w:type="spellEnd"/>
      <w:r w:rsidRPr="00CA4387">
        <w:t xml:space="preserve">- must meet </w:t>
      </w:r>
      <w:proofErr w:type="gramStart"/>
      <w:r w:rsidRPr="00CA4387">
        <w:t>all of</w:t>
      </w:r>
      <w:proofErr w:type="gramEnd"/>
      <w:r w:rsidRPr="00CA4387">
        <w:t xml:space="preserve"> the following:</w:t>
      </w:r>
    </w:p>
    <w:p w14:paraId="5FC5EAB8" w14:textId="77777777" w:rsidR="00CA4387" w:rsidRPr="00CA4387" w:rsidRDefault="00CA4387" w:rsidP="00CA4387">
      <w:pPr>
        <w:numPr>
          <w:ilvl w:val="4"/>
          <w:numId w:val="16"/>
        </w:numPr>
      </w:pPr>
      <w:r w:rsidRPr="00CA4387">
        <w:t xml:space="preserve">Therapeutic trial of </w:t>
      </w:r>
      <w:proofErr w:type="spellStart"/>
      <w:r w:rsidRPr="00CA4387">
        <w:t>lubiprostone</w:t>
      </w:r>
      <w:proofErr w:type="spellEnd"/>
      <w:r w:rsidRPr="00CA4387">
        <w:t xml:space="preserve"> </w:t>
      </w:r>
      <w:r w:rsidRPr="00CA4387">
        <w:rPr>
          <w:b/>
          <w:bCs/>
        </w:rPr>
        <w:t>and</w:t>
      </w:r>
      <w:r w:rsidRPr="00CA4387">
        <w:t xml:space="preserve"> </w:t>
      </w:r>
      <w:proofErr w:type="spellStart"/>
      <w:r w:rsidRPr="00CA4387">
        <w:t>Linzess</w:t>
      </w:r>
      <w:proofErr w:type="spellEnd"/>
      <w:r w:rsidRPr="00CA4387">
        <w:t xml:space="preserve">, </w:t>
      </w:r>
      <w:r w:rsidRPr="00CA4387">
        <w:rPr>
          <w:b/>
          <w:bCs/>
          <w:strike/>
          <w:color w:val="1F497D" w:themeColor="text2"/>
        </w:rPr>
        <w:t xml:space="preserve">and </w:t>
      </w:r>
      <w:proofErr w:type="spellStart"/>
      <w:r w:rsidRPr="00CA4387">
        <w:rPr>
          <w:b/>
          <w:bCs/>
          <w:strike/>
          <w:color w:val="1F497D" w:themeColor="text2"/>
        </w:rPr>
        <w:t>Trulance</w:t>
      </w:r>
      <w:proofErr w:type="spellEnd"/>
      <w:r w:rsidRPr="00CA4387">
        <w:t xml:space="preserve">; </w:t>
      </w:r>
      <w:r w:rsidRPr="00CA4387">
        <w:rPr>
          <w:b/>
          <w:bCs/>
        </w:rPr>
        <w:t>AND</w:t>
      </w:r>
    </w:p>
    <w:p w14:paraId="46CA811D" w14:textId="77777777" w:rsidR="00CA4387" w:rsidRPr="00CA4387" w:rsidRDefault="00CA4387" w:rsidP="00CA4387">
      <w:pPr>
        <w:numPr>
          <w:ilvl w:val="4"/>
          <w:numId w:val="16"/>
        </w:numPr>
      </w:pPr>
      <w:r w:rsidRPr="00CA4387">
        <w:t>Clinical Consultant review required</w:t>
      </w:r>
      <w:r w:rsidRPr="00CA4387">
        <w:rPr>
          <w:b/>
          <w:bCs/>
        </w:rPr>
        <w:t>.</w:t>
      </w:r>
    </w:p>
    <w:p w14:paraId="61C8216E" w14:textId="77777777" w:rsidR="00CA4387" w:rsidRPr="00CA4387" w:rsidRDefault="00CA4387" w:rsidP="00CA4387">
      <w:pPr>
        <w:numPr>
          <w:ilvl w:val="2"/>
          <w:numId w:val="16"/>
        </w:numPr>
        <w:rPr>
          <w:bCs/>
        </w:rPr>
      </w:pPr>
      <w:r w:rsidRPr="00CA4387">
        <w:rPr>
          <w:bCs/>
        </w:rPr>
        <w:t xml:space="preserve">For documented </w:t>
      </w:r>
      <w:r w:rsidRPr="00CA4387">
        <w:t>diagnosis of opioid-induced constipation:</w:t>
      </w:r>
    </w:p>
    <w:p w14:paraId="55B76861" w14:textId="77777777" w:rsidR="00CA4387" w:rsidRPr="00CA4387" w:rsidRDefault="00CA4387" w:rsidP="00CA4387">
      <w:pPr>
        <w:numPr>
          <w:ilvl w:val="3"/>
          <w:numId w:val="16"/>
        </w:numPr>
      </w:pPr>
      <w:r w:rsidRPr="00CA4387">
        <w:t>Participant is currently on opioid therapy (1 claim in the past 45 days); </w:t>
      </w:r>
      <w:r w:rsidRPr="00CA4387">
        <w:rPr>
          <w:b/>
          <w:bCs/>
        </w:rPr>
        <w:t>AND</w:t>
      </w:r>
    </w:p>
    <w:p w14:paraId="782C2EE5" w14:textId="77777777" w:rsidR="00CA4387" w:rsidRPr="00CA4387" w:rsidRDefault="00CA4387" w:rsidP="00CA4387">
      <w:pPr>
        <w:numPr>
          <w:ilvl w:val="3"/>
          <w:numId w:val="16"/>
        </w:numPr>
      </w:pPr>
      <w:r w:rsidRPr="00CA4387">
        <w:t xml:space="preserve">Claim is for </w:t>
      </w:r>
      <w:proofErr w:type="spellStart"/>
      <w:r w:rsidRPr="00CA4387">
        <w:t>Amitiza</w:t>
      </w:r>
      <w:proofErr w:type="spellEnd"/>
      <w:r w:rsidRPr="00CA4387">
        <w:t xml:space="preserve">, </w:t>
      </w:r>
      <w:proofErr w:type="spellStart"/>
      <w:r w:rsidRPr="00CA4387">
        <w:t>Movantik</w:t>
      </w:r>
      <w:proofErr w:type="spellEnd"/>
      <w:r w:rsidRPr="00CA4387">
        <w:t xml:space="preserve">, </w:t>
      </w:r>
      <w:proofErr w:type="spellStart"/>
      <w:r w:rsidRPr="00CA4387">
        <w:t>Relistor</w:t>
      </w:r>
      <w:proofErr w:type="spellEnd"/>
      <w:r w:rsidRPr="00CA4387">
        <w:t xml:space="preserve">, or </w:t>
      </w:r>
      <w:proofErr w:type="spellStart"/>
      <w:proofErr w:type="gramStart"/>
      <w:r w:rsidRPr="00CA4387">
        <w:t>Symproic</w:t>
      </w:r>
      <w:proofErr w:type="spellEnd"/>
      <w:r w:rsidRPr="00CA4387">
        <w:t>;</w:t>
      </w:r>
      <w:proofErr w:type="gramEnd"/>
      <w:r w:rsidRPr="00CA4387">
        <w:t xml:space="preserve"> </w:t>
      </w:r>
      <w:r w:rsidRPr="00CA4387">
        <w:rPr>
          <w:b/>
        </w:rPr>
        <w:t>OR</w:t>
      </w:r>
    </w:p>
    <w:p w14:paraId="52100957" w14:textId="77777777" w:rsidR="00CA4387" w:rsidRPr="00CA4387" w:rsidRDefault="00CA4387" w:rsidP="00CA4387">
      <w:pPr>
        <w:numPr>
          <w:ilvl w:val="2"/>
          <w:numId w:val="16"/>
        </w:numPr>
        <w:rPr>
          <w:bCs/>
        </w:rPr>
      </w:pPr>
      <w:r w:rsidRPr="00CA4387">
        <w:rPr>
          <w:bCs/>
        </w:rPr>
        <w:t>For documented diagnosis of gastroparesis:</w:t>
      </w:r>
    </w:p>
    <w:p w14:paraId="4C433C13" w14:textId="77777777" w:rsidR="00CA4387" w:rsidRPr="00CA4387" w:rsidRDefault="00CA4387" w:rsidP="00CA4387">
      <w:pPr>
        <w:numPr>
          <w:ilvl w:val="3"/>
          <w:numId w:val="16"/>
        </w:numPr>
      </w:pPr>
      <w:r w:rsidRPr="00CA4387">
        <w:rPr>
          <w:bCs/>
        </w:rPr>
        <w:t xml:space="preserve">Claim is for </w:t>
      </w:r>
      <w:proofErr w:type="spellStart"/>
      <w:r w:rsidRPr="00CA4387">
        <w:rPr>
          <w:bCs/>
        </w:rPr>
        <w:t>Motegrity</w:t>
      </w:r>
      <w:proofErr w:type="spellEnd"/>
      <w:r w:rsidRPr="00CA4387">
        <w:rPr>
          <w:bCs/>
        </w:rPr>
        <w:t xml:space="preserve">; </w:t>
      </w:r>
      <w:r w:rsidRPr="00CA4387">
        <w:rPr>
          <w:b/>
        </w:rPr>
        <w:t>AND</w:t>
      </w:r>
    </w:p>
    <w:p w14:paraId="4A648D34" w14:textId="77777777" w:rsidR="00CA4387" w:rsidRPr="00CA4387" w:rsidRDefault="00CA4387" w:rsidP="00CA4387">
      <w:pPr>
        <w:numPr>
          <w:ilvl w:val="3"/>
          <w:numId w:val="16"/>
        </w:numPr>
      </w:pPr>
      <w:r w:rsidRPr="00CA4387">
        <w:rPr>
          <w:bCs/>
        </w:rPr>
        <w:t>Clinical Consultant review required.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C722C9" w:rsidRDefault="00904D7A" w:rsidP="00C722C9">
      <w:pPr>
        <w:pStyle w:val="ListParagraph"/>
      </w:pPr>
      <w:r w:rsidRPr="00C722C9">
        <w:t xml:space="preserve">Therapy will deny </w:t>
      </w:r>
      <w:proofErr w:type="gramStart"/>
      <w:r w:rsidRPr="00C722C9">
        <w:t>with</w:t>
      </w:r>
      <w:proofErr w:type="gramEnd"/>
      <w:r w:rsidRPr="00C722C9">
        <w:t xml:space="preserve"> presence of one of the following:</w:t>
      </w:r>
    </w:p>
    <w:p w14:paraId="34DD01B8" w14:textId="77777777" w:rsidR="00904D7A" w:rsidRPr="005328B2" w:rsidRDefault="00904D7A" w:rsidP="00C722C9">
      <w:pPr>
        <w:pStyle w:val="ListParagraph"/>
        <w:numPr>
          <w:ilvl w:val="1"/>
          <w:numId w:val="6"/>
        </w:numPr>
      </w:pPr>
      <w:r w:rsidRPr="005328B2">
        <w:t xml:space="preserve">Any approval criteria are not </w:t>
      </w:r>
      <w:proofErr w:type="gramStart"/>
      <w:r w:rsidRPr="005328B2">
        <w:t>met;</w:t>
      </w:r>
      <w:proofErr w:type="gramEnd"/>
      <w:r>
        <w:t xml:space="preserve"> </w:t>
      </w:r>
      <w:r w:rsidRPr="005A4232">
        <w:rPr>
          <w:b/>
          <w:bCs/>
        </w:rPr>
        <w:t>OR</w:t>
      </w:r>
    </w:p>
    <w:p w14:paraId="1D97C1E5" w14:textId="77777777" w:rsidR="00904D7A" w:rsidRPr="005328B2" w:rsidRDefault="00904D7A" w:rsidP="00C722C9">
      <w:pPr>
        <w:pStyle w:val="ListParagraph"/>
        <w:numPr>
          <w:ilvl w:val="1"/>
          <w:numId w:val="6"/>
        </w:numPr>
      </w:pPr>
      <w:r w:rsidRPr="005328B2">
        <w:t>Claim exceeds maximum dosing limitations: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3420"/>
        <w:gridCol w:w="2520"/>
      </w:tblGrid>
      <w:tr w:rsidR="00CA4387" w:rsidRPr="00CA4387" w14:paraId="7ACC550E" w14:textId="77777777" w:rsidTr="00132C51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14:paraId="4FC11F72" w14:textId="77777777" w:rsidR="00CA4387" w:rsidRPr="00CA4387" w:rsidRDefault="00CA4387" w:rsidP="00CA4387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1" w:name="_Hlk63944253"/>
            <w:r w:rsidRPr="00CA4387">
              <w:rPr>
                <w:rFonts w:cs="Arial"/>
                <w:b/>
                <w:bCs/>
                <w:szCs w:val="20"/>
              </w:rPr>
              <w:t>Drug Description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14:paraId="3EE025D1" w14:textId="77777777" w:rsidR="00CA4387" w:rsidRPr="00CA4387" w:rsidRDefault="00CA4387" w:rsidP="00CA4387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A4387">
              <w:rPr>
                <w:rFonts w:cs="Arial"/>
                <w:b/>
                <w:bCs/>
                <w:szCs w:val="20"/>
              </w:rPr>
              <w:t>Generic Equivalent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8178EC1" w14:textId="77777777" w:rsidR="00CA4387" w:rsidRPr="00CA4387" w:rsidRDefault="00CA4387" w:rsidP="00CA4387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A4387">
              <w:rPr>
                <w:rFonts w:cs="Arial"/>
                <w:b/>
                <w:bCs/>
                <w:szCs w:val="20"/>
              </w:rPr>
              <w:t>Max Dosing Limitations</w:t>
            </w:r>
          </w:p>
        </w:tc>
      </w:tr>
      <w:tr w:rsidR="00CA4387" w:rsidRPr="00CA4387" w14:paraId="6D69FABB" w14:textId="77777777" w:rsidTr="00132C51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FD37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AMITIZA 8MCG CAPSULE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D5A9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LUBIPROSTONE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9473" w14:textId="77777777" w:rsidR="00CA4387" w:rsidRPr="00CA4387" w:rsidRDefault="00CA4387" w:rsidP="00132C51">
            <w:pPr>
              <w:jc w:val="right"/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2 capsules per day</w:t>
            </w:r>
          </w:p>
        </w:tc>
      </w:tr>
      <w:tr w:rsidR="00CA4387" w:rsidRPr="00CA4387" w14:paraId="40541DE1" w14:textId="77777777" w:rsidTr="00132C51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DAFC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AMITIZA 24MCG CAPSULE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C38C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LUBIPROSTONE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AF13" w14:textId="77777777" w:rsidR="00CA4387" w:rsidRPr="00CA4387" w:rsidRDefault="00CA4387" w:rsidP="00132C51">
            <w:pPr>
              <w:jc w:val="right"/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2 capsules per day</w:t>
            </w:r>
          </w:p>
        </w:tc>
      </w:tr>
      <w:tr w:rsidR="00CA4387" w:rsidRPr="00CA4387" w14:paraId="2DB40062" w14:textId="77777777" w:rsidTr="00132C51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207E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IBSRELA 50 MG TABLET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8739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TENAPANOR HCL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5C83" w14:textId="77777777" w:rsidR="00CA4387" w:rsidRPr="00CA4387" w:rsidRDefault="00CA4387" w:rsidP="00132C51">
            <w:pPr>
              <w:jc w:val="right"/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2 tablets per day</w:t>
            </w:r>
          </w:p>
        </w:tc>
      </w:tr>
      <w:tr w:rsidR="00CA4387" w:rsidRPr="00CA4387" w14:paraId="664F671E" w14:textId="77777777" w:rsidTr="00132C51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6D91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LINZESS 72 MCG CAPSULE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35D5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LINACLOTIDE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046B" w14:textId="77777777" w:rsidR="00CA4387" w:rsidRPr="00CA4387" w:rsidRDefault="00CA4387" w:rsidP="00132C51">
            <w:pPr>
              <w:jc w:val="right"/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1 capsule per day</w:t>
            </w:r>
          </w:p>
        </w:tc>
      </w:tr>
      <w:tr w:rsidR="00CA4387" w:rsidRPr="00CA4387" w14:paraId="06EE3181" w14:textId="77777777" w:rsidTr="00132C51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D99F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LINZESS 145 MCG CAPSULE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5591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LINACLOTIDE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8D59" w14:textId="77777777" w:rsidR="00CA4387" w:rsidRPr="00CA4387" w:rsidRDefault="00CA4387" w:rsidP="00132C51">
            <w:pPr>
              <w:jc w:val="right"/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1 capsule per day</w:t>
            </w:r>
          </w:p>
        </w:tc>
      </w:tr>
      <w:tr w:rsidR="00CA4387" w:rsidRPr="00CA4387" w14:paraId="7B031603" w14:textId="77777777" w:rsidTr="00132C51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CEBE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LINZESS 290 MCG CAPSULE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560A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LINACLOTIDE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6E1C" w14:textId="77777777" w:rsidR="00CA4387" w:rsidRPr="00CA4387" w:rsidRDefault="00CA4387" w:rsidP="00132C51">
            <w:pPr>
              <w:jc w:val="right"/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1 capsule per day</w:t>
            </w:r>
          </w:p>
        </w:tc>
      </w:tr>
      <w:tr w:rsidR="00CA4387" w:rsidRPr="00CA4387" w14:paraId="257F3190" w14:textId="77777777" w:rsidTr="00132C51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7C3B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 xml:space="preserve">LOTRONEX 0.5 MG TABLET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C91D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ALOSETRON HCL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23AB" w14:textId="77777777" w:rsidR="00CA4387" w:rsidRPr="00CA4387" w:rsidRDefault="00CA4387" w:rsidP="00132C51">
            <w:pPr>
              <w:jc w:val="right"/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2 tablets per day</w:t>
            </w:r>
          </w:p>
        </w:tc>
      </w:tr>
      <w:tr w:rsidR="00CA4387" w:rsidRPr="00CA4387" w14:paraId="48A4FC7C" w14:textId="77777777" w:rsidTr="00132C51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1E02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 xml:space="preserve">LOTRONEX 1 MG TABLET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EB25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ALOSETRON HCL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E206" w14:textId="77777777" w:rsidR="00CA4387" w:rsidRPr="00CA4387" w:rsidRDefault="00CA4387" w:rsidP="00132C51">
            <w:pPr>
              <w:jc w:val="right"/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2 tablets per day</w:t>
            </w:r>
          </w:p>
        </w:tc>
      </w:tr>
      <w:tr w:rsidR="00CA4387" w:rsidRPr="00CA4387" w14:paraId="6A175D89" w14:textId="77777777" w:rsidTr="00132C51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0812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MOTEGRITY 1 MG TABLET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915F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PRUCALOPRIDE SUCCINATE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ED03" w14:textId="77777777" w:rsidR="00CA4387" w:rsidRPr="00CA4387" w:rsidRDefault="00CA4387" w:rsidP="00132C51">
            <w:pPr>
              <w:jc w:val="right"/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1 tablet per day</w:t>
            </w:r>
          </w:p>
        </w:tc>
      </w:tr>
      <w:tr w:rsidR="00CA4387" w:rsidRPr="00CA4387" w14:paraId="45D30EAD" w14:textId="77777777" w:rsidTr="00132C51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3B9F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MOTEGRITY 2 MG TABLET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F6FC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PRUCALOPRIDE SUCCINATE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1289" w14:textId="77777777" w:rsidR="00CA4387" w:rsidRPr="00CA4387" w:rsidRDefault="00CA4387" w:rsidP="00132C51">
            <w:pPr>
              <w:jc w:val="right"/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1 tablet per day</w:t>
            </w:r>
          </w:p>
        </w:tc>
      </w:tr>
      <w:tr w:rsidR="00CA4387" w:rsidRPr="00CA4387" w14:paraId="7DDC25BE" w14:textId="77777777" w:rsidTr="00132C51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D4D2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MOVANTIK 12.5 MG TABLET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4B30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NALOXEGOL OXALATE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548C" w14:textId="77777777" w:rsidR="00CA4387" w:rsidRPr="00CA4387" w:rsidRDefault="00CA4387" w:rsidP="00132C51">
            <w:pPr>
              <w:jc w:val="right"/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1 tablet per day</w:t>
            </w:r>
          </w:p>
        </w:tc>
      </w:tr>
      <w:tr w:rsidR="00CA4387" w:rsidRPr="00CA4387" w14:paraId="02198A34" w14:textId="77777777" w:rsidTr="00132C51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F4A5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MOVANTIK 25 MG TABLET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12EB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NALOXEGOL OXALATE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84F6" w14:textId="77777777" w:rsidR="00CA4387" w:rsidRPr="00CA4387" w:rsidRDefault="00CA4387" w:rsidP="00132C51">
            <w:pPr>
              <w:jc w:val="right"/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1 tablet per day</w:t>
            </w:r>
          </w:p>
        </w:tc>
      </w:tr>
      <w:tr w:rsidR="00CA4387" w:rsidRPr="00CA4387" w14:paraId="3FFB4A56" w14:textId="77777777" w:rsidTr="00132C51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AAE5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RELISTOR 150 MG TABLET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E5A6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METHYLNALTREXONE BROMIDE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1153" w14:textId="77777777" w:rsidR="00CA4387" w:rsidRPr="00CA4387" w:rsidRDefault="00CA4387" w:rsidP="00132C51">
            <w:pPr>
              <w:jc w:val="right"/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3 tablets per day</w:t>
            </w:r>
          </w:p>
        </w:tc>
      </w:tr>
      <w:tr w:rsidR="00CA4387" w:rsidRPr="00CA4387" w14:paraId="49CB3E25" w14:textId="77777777" w:rsidTr="00132C51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8D06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lastRenderedPageBreak/>
              <w:t>SYMPROIC 0.2 MG TABLET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F978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NALDEMEDINE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45B6" w14:textId="77777777" w:rsidR="00CA4387" w:rsidRPr="00CA4387" w:rsidRDefault="00CA4387" w:rsidP="00132C51">
            <w:pPr>
              <w:jc w:val="right"/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1 tablet per day</w:t>
            </w:r>
          </w:p>
        </w:tc>
      </w:tr>
      <w:tr w:rsidR="00CA4387" w:rsidRPr="00CA4387" w14:paraId="382E42ED" w14:textId="77777777" w:rsidTr="00132C51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335B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VIBERZI 75 MG TABLET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FB5B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ELUXADOLINE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AEF8" w14:textId="77777777" w:rsidR="00CA4387" w:rsidRPr="00CA4387" w:rsidRDefault="00CA4387" w:rsidP="00132C51">
            <w:pPr>
              <w:jc w:val="right"/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3 tablets per day</w:t>
            </w:r>
          </w:p>
        </w:tc>
      </w:tr>
      <w:tr w:rsidR="00CA4387" w:rsidRPr="00CA4387" w14:paraId="5372084D" w14:textId="77777777" w:rsidTr="00132C51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480D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VIBERZI 100 MG TABLET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FF47" w14:textId="77777777" w:rsidR="00CA4387" w:rsidRPr="00CA4387" w:rsidRDefault="00CA4387" w:rsidP="00132C51">
            <w:pPr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ELUXADOLINE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177D" w14:textId="77777777" w:rsidR="00CA4387" w:rsidRPr="00CA4387" w:rsidRDefault="00CA4387" w:rsidP="00132C51">
            <w:pPr>
              <w:jc w:val="right"/>
              <w:rPr>
                <w:rFonts w:cs="Arial"/>
                <w:szCs w:val="20"/>
              </w:rPr>
            </w:pPr>
            <w:r w:rsidRPr="00CA4387">
              <w:rPr>
                <w:rFonts w:cs="Arial"/>
                <w:szCs w:val="20"/>
              </w:rPr>
              <w:t>2 tablets per day</w:t>
            </w:r>
          </w:p>
        </w:tc>
        <w:bookmarkEnd w:id="1"/>
      </w:tr>
    </w:tbl>
    <w:p w14:paraId="4D21EAF1" w14:textId="77777777" w:rsidR="001E4CBA" w:rsidRPr="002C2C41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2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2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59631923" w14:textId="77777777" w:rsidR="007626A2" w:rsidRDefault="007626A2" w:rsidP="007626A2">
      <w:pPr>
        <w:pStyle w:val="ListParagraph"/>
      </w:pPr>
      <w:r>
        <w:t>Evidence-Based Medicine and Fiscal Analysis: “Therapeutic Class Review: GASTROINTESTINAL: IBS-C/CIC Agents”, Gainwell Technologies; Last updated November 14, 2023.</w:t>
      </w:r>
    </w:p>
    <w:p w14:paraId="49C82CA8" w14:textId="650DBB3F" w:rsidR="007626A2" w:rsidRDefault="007626A2" w:rsidP="007626A2">
      <w:pPr>
        <w:pStyle w:val="ListParagraph"/>
      </w:pPr>
      <w:r>
        <w:t>Evidence-Based Medicine Analysis: “IBS Agents - Anti-Diarrheal, IBS-C/CIC Agents”, UMKC-DIC; September 202</w:t>
      </w:r>
      <w:r w:rsidR="00182D67">
        <w:t>5</w:t>
      </w:r>
      <w:r>
        <w:t>.</w:t>
      </w:r>
    </w:p>
    <w:p w14:paraId="1F65F3D0" w14:textId="0134B6BF" w:rsidR="007626A2" w:rsidRDefault="007626A2" w:rsidP="007626A2">
      <w:pPr>
        <w:pStyle w:val="ListParagraph"/>
      </w:pPr>
      <w:r>
        <w:t xml:space="preserve">Evidence-Based Medicine Analysis: “Opioid-Induced Constipation”, UMKC-DIC; </w:t>
      </w:r>
      <w:r w:rsidR="00F939CA">
        <w:t>December</w:t>
      </w:r>
      <w:r>
        <w:t xml:space="preserve"> 202</w:t>
      </w:r>
      <w:r w:rsidR="00F939CA">
        <w:t>5</w:t>
      </w:r>
      <w:r>
        <w:t>.</w:t>
      </w:r>
    </w:p>
    <w:p w14:paraId="254730AE" w14:textId="6C50C66E" w:rsidR="007626A2" w:rsidRDefault="007626A2" w:rsidP="007626A2">
      <w:pPr>
        <w:pStyle w:val="ListParagraph"/>
      </w:pPr>
      <w:r>
        <w:t>USPDI, Micromedex; 2025.</w:t>
      </w:r>
    </w:p>
    <w:p w14:paraId="37234CF1" w14:textId="3BED490A" w:rsidR="007626A2" w:rsidRDefault="007626A2" w:rsidP="007626A2">
      <w:pPr>
        <w:pStyle w:val="ListParagraph"/>
      </w:pPr>
      <w:r>
        <w:t>Drug Facts and Comparisons On-line; 2025.</w:t>
      </w:r>
    </w:p>
    <w:p w14:paraId="3FA1E7DB" w14:textId="604B8933" w:rsidR="00777CA4" w:rsidRDefault="007626A2" w:rsidP="007626A2">
      <w:pPr>
        <w:pStyle w:val="ListParagraph"/>
      </w:pPr>
      <w:r>
        <w:t xml:space="preserve">Carbone F, Van den Houte K, </w:t>
      </w:r>
      <w:proofErr w:type="spellStart"/>
      <w:r>
        <w:t>Clevers</w:t>
      </w:r>
      <w:proofErr w:type="spellEnd"/>
      <w:r>
        <w:t xml:space="preserve"> E, Andrews CN, </w:t>
      </w:r>
      <w:proofErr w:type="spellStart"/>
      <w:r>
        <w:t>Papathanasopoulos</w:t>
      </w:r>
      <w:proofErr w:type="spellEnd"/>
      <w:r>
        <w:t xml:space="preserve"> A, </w:t>
      </w:r>
      <w:proofErr w:type="spellStart"/>
      <w:r>
        <w:t>Holvoet</w:t>
      </w:r>
      <w:proofErr w:type="spellEnd"/>
      <w:r>
        <w:t xml:space="preserve"> L, Van </w:t>
      </w:r>
      <w:proofErr w:type="spellStart"/>
      <w:r>
        <w:t>Oudenhove</w:t>
      </w:r>
      <w:proofErr w:type="spellEnd"/>
      <w:r>
        <w:t xml:space="preserve"> L, </w:t>
      </w:r>
      <w:proofErr w:type="spellStart"/>
      <w:r>
        <w:t>Caenepeel</w:t>
      </w:r>
      <w:proofErr w:type="spellEnd"/>
      <w:r>
        <w:t xml:space="preserve"> P, Arts J, </w:t>
      </w:r>
      <w:proofErr w:type="spellStart"/>
      <w:r>
        <w:t>Vanuytsel</w:t>
      </w:r>
      <w:proofErr w:type="spellEnd"/>
      <w:r>
        <w:t xml:space="preserve"> T, Tack J. Prucalopride in Gastroparesis: A Randomized Placebo-Controlled Crossover Study. </w:t>
      </w:r>
      <w:proofErr w:type="gramStart"/>
      <w:r>
        <w:t>Am</w:t>
      </w:r>
      <w:proofErr w:type="gramEnd"/>
      <w:r>
        <w:t xml:space="preserve"> J Gastroenterol. 2019 Aug;114(8):1265-1274. PMID: 31295161</w:t>
      </w:r>
      <w:r w:rsidR="00777CA4">
        <w:t>.</w:t>
      </w:r>
    </w:p>
    <w:sectPr w:rsidR="00777CA4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7594" w14:textId="77777777" w:rsidR="00BF4D70" w:rsidRPr="00C02553" w:rsidRDefault="00BF4D70" w:rsidP="00AE77DB">
      <w:r w:rsidRPr="00C02553">
        <w:separator/>
      </w:r>
    </w:p>
  </w:endnote>
  <w:endnote w:type="continuationSeparator" w:id="0">
    <w:p w14:paraId="4989B028" w14:textId="77777777" w:rsidR="00BF4D70" w:rsidRPr="00C02553" w:rsidRDefault="00BF4D70" w:rsidP="00AE77DB">
      <w:r w:rsidRPr="00C02553">
        <w:continuationSeparator/>
      </w:r>
    </w:p>
  </w:endnote>
  <w:endnote w:type="continuationNotice" w:id="1">
    <w:p w14:paraId="7264C6CB" w14:textId="77777777" w:rsidR="00BF4D70" w:rsidRPr="00C02553" w:rsidRDefault="00BF4D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 xml:space="preserve">SmartPA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SmartPA</w:t>
    </w:r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64F1" w14:textId="77777777" w:rsidR="00BF4D70" w:rsidRPr="00C02553" w:rsidRDefault="00BF4D70" w:rsidP="00AE77DB">
      <w:r w:rsidRPr="00C02553">
        <w:separator/>
      </w:r>
    </w:p>
  </w:footnote>
  <w:footnote w:type="continuationSeparator" w:id="0">
    <w:p w14:paraId="03FEA055" w14:textId="77777777" w:rsidR="00BF4D70" w:rsidRPr="00C02553" w:rsidRDefault="00BF4D70" w:rsidP="00AE77DB">
      <w:r w:rsidRPr="00C02553">
        <w:continuationSeparator/>
      </w:r>
    </w:p>
  </w:footnote>
  <w:footnote w:type="continuationNotice" w:id="1">
    <w:p w14:paraId="3906A49A" w14:textId="77777777" w:rsidR="00BF4D70" w:rsidRPr="00C02553" w:rsidRDefault="00BF4D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379CBC0E" w:rsidR="00006A61" w:rsidRPr="00C02553" w:rsidRDefault="00BF4D70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671F5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7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4C3FB2C" w:rsidR="00596936" w:rsidRDefault="00BF4D70">
    <w:pPr>
      <w:pStyle w:val="Header"/>
    </w:pPr>
    <w:r>
      <w:rPr>
        <w:noProof/>
      </w:rPr>
      <w:pict w14:anchorId="3B660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8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28841AA8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4D70">
      <w:rPr>
        <w:noProof/>
      </w:rPr>
      <w:pict w14:anchorId="29885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6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57081"/>
    <w:multiLevelType w:val="hybridMultilevel"/>
    <w:tmpl w:val="906E5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AA2E66"/>
    <w:multiLevelType w:val="hybridMultilevel"/>
    <w:tmpl w:val="6FF8FF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B4029E"/>
    <w:multiLevelType w:val="hybridMultilevel"/>
    <w:tmpl w:val="7C6E2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02C02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B2BECF7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6"/>
  </w:num>
  <w:num w:numId="3" w16cid:durableId="1729067566">
    <w:abstractNumId w:val="4"/>
  </w:num>
  <w:num w:numId="4" w16cid:durableId="320159068">
    <w:abstractNumId w:val="7"/>
  </w:num>
  <w:num w:numId="5" w16cid:durableId="1769498754">
    <w:abstractNumId w:val="3"/>
  </w:num>
  <w:num w:numId="6" w16cid:durableId="1094596320">
    <w:abstractNumId w:val="14"/>
  </w:num>
  <w:num w:numId="7" w16cid:durableId="2110008555">
    <w:abstractNumId w:val="2"/>
  </w:num>
  <w:num w:numId="8" w16cid:durableId="489712751">
    <w:abstractNumId w:val="6"/>
  </w:num>
  <w:num w:numId="9" w16cid:durableId="1085147965">
    <w:abstractNumId w:val="11"/>
  </w:num>
  <w:num w:numId="10" w16cid:durableId="917518096">
    <w:abstractNumId w:val="8"/>
  </w:num>
  <w:num w:numId="11" w16cid:durableId="1894998475">
    <w:abstractNumId w:val="1"/>
  </w:num>
  <w:num w:numId="12" w16cid:durableId="1418215296">
    <w:abstractNumId w:val="15"/>
  </w:num>
  <w:num w:numId="13" w16cid:durableId="604729665">
    <w:abstractNumId w:val="5"/>
  </w:num>
  <w:num w:numId="14" w16cid:durableId="1805081292">
    <w:abstractNumId w:val="13"/>
  </w:num>
  <w:num w:numId="15" w16cid:durableId="909578249">
    <w:abstractNumId w:val="9"/>
  </w:num>
  <w:num w:numId="16" w16cid:durableId="1755466209">
    <w:abstractNumId w:val="12"/>
  </w:num>
  <w:num w:numId="17" w16cid:durableId="109459177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276D9"/>
    <w:rsid w:val="000344C5"/>
    <w:rsid w:val="00040A77"/>
    <w:rsid w:val="00040AD3"/>
    <w:rsid w:val="000445B9"/>
    <w:rsid w:val="00053807"/>
    <w:rsid w:val="000572E5"/>
    <w:rsid w:val="00057F84"/>
    <w:rsid w:val="00061541"/>
    <w:rsid w:val="00064162"/>
    <w:rsid w:val="00065C22"/>
    <w:rsid w:val="00074464"/>
    <w:rsid w:val="00076030"/>
    <w:rsid w:val="00082590"/>
    <w:rsid w:val="000913C3"/>
    <w:rsid w:val="000953B9"/>
    <w:rsid w:val="000A413B"/>
    <w:rsid w:val="000A6279"/>
    <w:rsid w:val="000B34A2"/>
    <w:rsid w:val="000B496B"/>
    <w:rsid w:val="000C3940"/>
    <w:rsid w:val="000C5992"/>
    <w:rsid w:val="000E1479"/>
    <w:rsid w:val="000E231E"/>
    <w:rsid w:val="000E247D"/>
    <w:rsid w:val="000E6B14"/>
    <w:rsid w:val="000E6DD2"/>
    <w:rsid w:val="000E70D8"/>
    <w:rsid w:val="001062F6"/>
    <w:rsid w:val="00112FC7"/>
    <w:rsid w:val="00125F5F"/>
    <w:rsid w:val="00126951"/>
    <w:rsid w:val="00126B60"/>
    <w:rsid w:val="00127EF6"/>
    <w:rsid w:val="001310AD"/>
    <w:rsid w:val="001314A5"/>
    <w:rsid w:val="00132C51"/>
    <w:rsid w:val="00132C7F"/>
    <w:rsid w:val="00144DBE"/>
    <w:rsid w:val="00152C8B"/>
    <w:rsid w:val="0015636A"/>
    <w:rsid w:val="00172053"/>
    <w:rsid w:val="00177A80"/>
    <w:rsid w:val="00182D67"/>
    <w:rsid w:val="001A50CB"/>
    <w:rsid w:val="001A74B7"/>
    <w:rsid w:val="001B2D47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17E14"/>
    <w:rsid w:val="00217EFD"/>
    <w:rsid w:val="00222134"/>
    <w:rsid w:val="0022233F"/>
    <w:rsid w:val="00226275"/>
    <w:rsid w:val="00246564"/>
    <w:rsid w:val="00246A3B"/>
    <w:rsid w:val="00255404"/>
    <w:rsid w:val="0025594F"/>
    <w:rsid w:val="00265220"/>
    <w:rsid w:val="00270C5E"/>
    <w:rsid w:val="00290A03"/>
    <w:rsid w:val="0029159A"/>
    <w:rsid w:val="00291600"/>
    <w:rsid w:val="002A02F4"/>
    <w:rsid w:val="002C2C41"/>
    <w:rsid w:val="002C62E7"/>
    <w:rsid w:val="002E05E2"/>
    <w:rsid w:val="002E2DD6"/>
    <w:rsid w:val="002E3F28"/>
    <w:rsid w:val="002F0E52"/>
    <w:rsid w:val="002F2274"/>
    <w:rsid w:val="002F2405"/>
    <w:rsid w:val="002F329E"/>
    <w:rsid w:val="002F690F"/>
    <w:rsid w:val="0030301F"/>
    <w:rsid w:val="00303B21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55AC"/>
    <w:rsid w:val="00343D6B"/>
    <w:rsid w:val="00344B37"/>
    <w:rsid w:val="00345A07"/>
    <w:rsid w:val="00347FB5"/>
    <w:rsid w:val="00355515"/>
    <w:rsid w:val="003608B5"/>
    <w:rsid w:val="003613AF"/>
    <w:rsid w:val="003878C1"/>
    <w:rsid w:val="00396C0B"/>
    <w:rsid w:val="003A630F"/>
    <w:rsid w:val="003B3958"/>
    <w:rsid w:val="003B4820"/>
    <w:rsid w:val="003B5F4B"/>
    <w:rsid w:val="003B682F"/>
    <w:rsid w:val="003C53FC"/>
    <w:rsid w:val="003C7013"/>
    <w:rsid w:val="003D641B"/>
    <w:rsid w:val="003F227C"/>
    <w:rsid w:val="004023CC"/>
    <w:rsid w:val="00407564"/>
    <w:rsid w:val="00411152"/>
    <w:rsid w:val="00411707"/>
    <w:rsid w:val="004156AA"/>
    <w:rsid w:val="004253A1"/>
    <w:rsid w:val="0042663C"/>
    <w:rsid w:val="004313B6"/>
    <w:rsid w:val="00433339"/>
    <w:rsid w:val="0044107F"/>
    <w:rsid w:val="00446BBC"/>
    <w:rsid w:val="004472C0"/>
    <w:rsid w:val="00450705"/>
    <w:rsid w:val="00451928"/>
    <w:rsid w:val="0046618B"/>
    <w:rsid w:val="0048608C"/>
    <w:rsid w:val="00496E57"/>
    <w:rsid w:val="004B3E10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40977"/>
    <w:rsid w:val="00551668"/>
    <w:rsid w:val="005572D5"/>
    <w:rsid w:val="00566BE4"/>
    <w:rsid w:val="00570D21"/>
    <w:rsid w:val="00573856"/>
    <w:rsid w:val="00576113"/>
    <w:rsid w:val="00590652"/>
    <w:rsid w:val="0059235F"/>
    <w:rsid w:val="00596936"/>
    <w:rsid w:val="005A2F1E"/>
    <w:rsid w:val="005A4232"/>
    <w:rsid w:val="005B527D"/>
    <w:rsid w:val="005C3616"/>
    <w:rsid w:val="005D36B2"/>
    <w:rsid w:val="005D52E7"/>
    <w:rsid w:val="005D78B5"/>
    <w:rsid w:val="005E3572"/>
    <w:rsid w:val="005E45E4"/>
    <w:rsid w:val="005F0A81"/>
    <w:rsid w:val="005F0FCF"/>
    <w:rsid w:val="0060042F"/>
    <w:rsid w:val="006008BC"/>
    <w:rsid w:val="00602CFD"/>
    <w:rsid w:val="00606B55"/>
    <w:rsid w:val="00612A7B"/>
    <w:rsid w:val="00616353"/>
    <w:rsid w:val="00616E5E"/>
    <w:rsid w:val="006173A4"/>
    <w:rsid w:val="00617E50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36E"/>
    <w:rsid w:val="00677C65"/>
    <w:rsid w:val="00693152"/>
    <w:rsid w:val="00694FAE"/>
    <w:rsid w:val="00696E3A"/>
    <w:rsid w:val="006A0834"/>
    <w:rsid w:val="006A4BBD"/>
    <w:rsid w:val="006A52F1"/>
    <w:rsid w:val="006B561D"/>
    <w:rsid w:val="006B672E"/>
    <w:rsid w:val="006B6D5D"/>
    <w:rsid w:val="006D2330"/>
    <w:rsid w:val="006E0F8B"/>
    <w:rsid w:val="006E12F7"/>
    <w:rsid w:val="006E29D7"/>
    <w:rsid w:val="007068A4"/>
    <w:rsid w:val="00706D67"/>
    <w:rsid w:val="00713052"/>
    <w:rsid w:val="00721367"/>
    <w:rsid w:val="007231FA"/>
    <w:rsid w:val="00732C67"/>
    <w:rsid w:val="00734418"/>
    <w:rsid w:val="00757826"/>
    <w:rsid w:val="007626A2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2DF0"/>
    <w:rsid w:val="0079438F"/>
    <w:rsid w:val="007A3034"/>
    <w:rsid w:val="007A527E"/>
    <w:rsid w:val="007A53E7"/>
    <w:rsid w:val="007A78F7"/>
    <w:rsid w:val="007B3333"/>
    <w:rsid w:val="007B379F"/>
    <w:rsid w:val="007B37D6"/>
    <w:rsid w:val="007B5D30"/>
    <w:rsid w:val="007D2920"/>
    <w:rsid w:val="007D42DD"/>
    <w:rsid w:val="007E6A37"/>
    <w:rsid w:val="007F1774"/>
    <w:rsid w:val="00811A70"/>
    <w:rsid w:val="0081406E"/>
    <w:rsid w:val="00832211"/>
    <w:rsid w:val="008325F4"/>
    <w:rsid w:val="00832AC8"/>
    <w:rsid w:val="00844981"/>
    <w:rsid w:val="00846FA4"/>
    <w:rsid w:val="008524BA"/>
    <w:rsid w:val="00852B74"/>
    <w:rsid w:val="00856928"/>
    <w:rsid w:val="00865538"/>
    <w:rsid w:val="00870875"/>
    <w:rsid w:val="0087321F"/>
    <w:rsid w:val="0088225C"/>
    <w:rsid w:val="00884026"/>
    <w:rsid w:val="00884C78"/>
    <w:rsid w:val="008859E1"/>
    <w:rsid w:val="00896264"/>
    <w:rsid w:val="008A5D88"/>
    <w:rsid w:val="008B2851"/>
    <w:rsid w:val="008C000E"/>
    <w:rsid w:val="008D0F2F"/>
    <w:rsid w:val="008D237F"/>
    <w:rsid w:val="008D6B05"/>
    <w:rsid w:val="008E7D2D"/>
    <w:rsid w:val="008F44C0"/>
    <w:rsid w:val="008F5999"/>
    <w:rsid w:val="00903AD6"/>
    <w:rsid w:val="00904D7A"/>
    <w:rsid w:val="009138D1"/>
    <w:rsid w:val="00915332"/>
    <w:rsid w:val="009204BB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77657"/>
    <w:rsid w:val="00984549"/>
    <w:rsid w:val="00985D28"/>
    <w:rsid w:val="00991BF0"/>
    <w:rsid w:val="00996B98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A05B60"/>
    <w:rsid w:val="00A13266"/>
    <w:rsid w:val="00A14FA6"/>
    <w:rsid w:val="00A15D64"/>
    <w:rsid w:val="00A20575"/>
    <w:rsid w:val="00A212F6"/>
    <w:rsid w:val="00A32452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A70AB"/>
    <w:rsid w:val="00AB0B9F"/>
    <w:rsid w:val="00AB1713"/>
    <w:rsid w:val="00AB63BE"/>
    <w:rsid w:val="00AC1EBC"/>
    <w:rsid w:val="00AC2599"/>
    <w:rsid w:val="00AC2DE9"/>
    <w:rsid w:val="00AD2C5F"/>
    <w:rsid w:val="00AE1481"/>
    <w:rsid w:val="00AE27F9"/>
    <w:rsid w:val="00AE77DB"/>
    <w:rsid w:val="00AF7453"/>
    <w:rsid w:val="00B00FFF"/>
    <w:rsid w:val="00B06084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B56"/>
    <w:rsid w:val="00B86372"/>
    <w:rsid w:val="00BA1C17"/>
    <w:rsid w:val="00BA1D65"/>
    <w:rsid w:val="00BA77C0"/>
    <w:rsid w:val="00BB3B4D"/>
    <w:rsid w:val="00BC351E"/>
    <w:rsid w:val="00BC3F77"/>
    <w:rsid w:val="00BC5635"/>
    <w:rsid w:val="00BC5675"/>
    <w:rsid w:val="00BD081C"/>
    <w:rsid w:val="00BD277B"/>
    <w:rsid w:val="00BD47CA"/>
    <w:rsid w:val="00BD62C7"/>
    <w:rsid w:val="00BE020D"/>
    <w:rsid w:val="00BE354A"/>
    <w:rsid w:val="00BF4D70"/>
    <w:rsid w:val="00BF5EEF"/>
    <w:rsid w:val="00C02553"/>
    <w:rsid w:val="00C03299"/>
    <w:rsid w:val="00C04EB6"/>
    <w:rsid w:val="00C056F9"/>
    <w:rsid w:val="00C1018C"/>
    <w:rsid w:val="00C1150E"/>
    <w:rsid w:val="00C14D52"/>
    <w:rsid w:val="00C2586C"/>
    <w:rsid w:val="00C26001"/>
    <w:rsid w:val="00C34E72"/>
    <w:rsid w:val="00C41166"/>
    <w:rsid w:val="00C56B1F"/>
    <w:rsid w:val="00C61B52"/>
    <w:rsid w:val="00C62745"/>
    <w:rsid w:val="00C654CA"/>
    <w:rsid w:val="00C722C9"/>
    <w:rsid w:val="00C763BD"/>
    <w:rsid w:val="00C779A8"/>
    <w:rsid w:val="00C82E19"/>
    <w:rsid w:val="00C952C4"/>
    <w:rsid w:val="00C96873"/>
    <w:rsid w:val="00CA1735"/>
    <w:rsid w:val="00CA3C4B"/>
    <w:rsid w:val="00CA4387"/>
    <w:rsid w:val="00CA7252"/>
    <w:rsid w:val="00CB2C5A"/>
    <w:rsid w:val="00CE0C1C"/>
    <w:rsid w:val="00CE34AF"/>
    <w:rsid w:val="00CF00A4"/>
    <w:rsid w:val="00CF25FB"/>
    <w:rsid w:val="00CF614C"/>
    <w:rsid w:val="00D02F34"/>
    <w:rsid w:val="00D13D87"/>
    <w:rsid w:val="00D16590"/>
    <w:rsid w:val="00D20720"/>
    <w:rsid w:val="00D23F1E"/>
    <w:rsid w:val="00D250D9"/>
    <w:rsid w:val="00D27533"/>
    <w:rsid w:val="00D42DA3"/>
    <w:rsid w:val="00D4546D"/>
    <w:rsid w:val="00D47996"/>
    <w:rsid w:val="00D61118"/>
    <w:rsid w:val="00D614F1"/>
    <w:rsid w:val="00D70D50"/>
    <w:rsid w:val="00D71917"/>
    <w:rsid w:val="00D925B5"/>
    <w:rsid w:val="00DA3A0F"/>
    <w:rsid w:val="00DA4E62"/>
    <w:rsid w:val="00DA6990"/>
    <w:rsid w:val="00DB27BA"/>
    <w:rsid w:val="00DB337A"/>
    <w:rsid w:val="00DC51CB"/>
    <w:rsid w:val="00DD224B"/>
    <w:rsid w:val="00DD4819"/>
    <w:rsid w:val="00DD4B8A"/>
    <w:rsid w:val="00DD5403"/>
    <w:rsid w:val="00DE1388"/>
    <w:rsid w:val="00DE7501"/>
    <w:rsid w:val="00DF3146"/>
    <w:rsid w:val="00DF57C3"/>
    <w:rsid w:val="00DF65C7"/>
    <w:rsid w:val="00E008D9"/>
    <w:rsid w:val="00E02FE0"/>
    <w:rsid w:val="00E07ABE"/>
    <w:rsid w:val="00E11A3F"/>
    <w:rsid w:val="00E1386E"/>
    <w:rsid w:val="00E212E4"/>
    <w:rsid w:val="00E2369B"/>
    <w:rsid w:val="00E23EC0"/>
    <w:rsid w:val="00E354AA"/>
    <w:rsid w:val="00E43D54"/>
    <w:rsid w:val="00E442FB"/>
    <w:rsid w:val="00E529DB"/>
    <w:rsid w:val="00E53A5E"/>
    <w:rsid w:val="00E6466A"/>
    <w:rsid w:val="00E72221"/>
    <w:rsid w:val="00E83428"/>
    <w:rsid w:val="00E84C58"/>
    <w:rsid w:val="00E873A5"/>
    <w:rsid w:val="00E90D11"/>
    <w:rsid w:val="00E915E5"/>
    <w:rsid w:val="00EB0367"/>
    <w:rsid w:val="00EB4FB9"/>
    <w:rsid w:val="00EB5BC8"/>
    <w:rsid w:val="00EC2738"/>
    <w:rsid w:val="00ED7B42"/>
    <w:rsid w:val="00EE3EA5"/>
    <w:rsid w:val="00EE613F"/>
    <w:rsid w:val="00EE6BD1"/>
    <w:rsid w:val="00EF0262"/>
    <w:rsid w:val="00EF0828"/>
    <w:rsid w:val="00EF6F8B"/>
    <w:rsid w:val="00F03898"/>
    <w:rsid w:val="00F1527A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A52"/>
    <w:rsid w:val="00F730BA"/>
    <w:rsid w:val="00F903BE"/>
    <w:rsid w:val="00F939CA"/>
    <w:rsid w:val="00F95D04"/>
    <w:rsid w:val="00FA16EC"/>
    <w:rsid w:val="00FA2811"/>
    <w:rsid w:val="00FA4837"/>
    <w:rsid w:val="00FB1D33"/>
    <w:rsid w:val="00FB5E96"/>
    <w:rsid w:val="00FC05A0"/>
    <w:rsid w:val="00FC6758"/>
    <w:rsid w:val="00FD34EA"/>
    <w:rsid w:val="00FE3F3E"/>
    <w:rsid w:val="00FE4D52"/>
    <w:rsid w:val="00FE5AEE"/>
    <w:rsid w:val="00FF106B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38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38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224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24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D224B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24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c626da6d0afa7058de7cd05ed520ec03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81c9995cbbe671f8198193bc0cf7741c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992BC-7C11-4A83-A97F-D2E41AE80B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eefb00-5952-4f7e-8cf8-96f81cfadd01"/>
    <ds:schemaRef ds:uri="aba01ddc-ae9a-4c9e-819c-7140b4239cde"/>
  </ds:schemaRefs>
</ds:datastoreItem>
</file>

<file path=customXml/itemProps4.xml><?xml version="1.0" encoding="utf-8"?>
<ds:datastoreItem xmlns:ds="http://schemas.openxmlformats.org/officeDocument/2006/customXml" ds:itemID="{F4B8C695-2A32-4B64-BEE7-688BB1692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PDL Edit Template</vt:lpstr>
    </vt:vector>
  </TitlesOfParts>
  <Company>DSS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Motility Agents, Chronic PDL Edit</dc:title>
  <dc:creator>DMS</dc:creator>
  <cp:lastModifiedBy>Morsches, Phuonglinh</cp:lastModifiedBy>
  <cp:revision>22</cp:revision>
  <cp:lastPrinted>2018-10-31T20:17:00Z</cp:lastPrinted>
  <dcterms:created xsi:type="dcterms:W3CDTF">2025-12-02T22:21:00Z</dcterms:created>
  <dcterms:modified xsi:type="dcterms:W3CDTF">2025-12-17T04:08:00Z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