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67E7D000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114C55" w:rsidRPr="00114C55">
        <w:rPr>
          <w:b w:val="0"/>
          <w:bCs/>
        </w:rPr>
        <w:t>Hereditary Angioedema Agents PDL Edit</w:t>
      </w:r>
    </w:p>
    <w:p w14:paraId="7AD7FFCE" w14:textId="1FB701E5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D93A61" w:rsidRPr="00D93A61">
        <w:rPr>
          <w:b w:val="0"/>
          <w:bCs/>
        </w:rPr>
        <w:t>May 9, 2019</w:t>
      </w:r>
    </w:p>
    <w:p w14:paraId="4B7D760D" w14:textId="77F84E4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492D34B0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3B7D89">
        <w:rPr>
          <w:b w:val="0"/>
          <w:bCs/>
          <w:spacing w:val="-3"/>
        </w:rPr>
        <w:t>Revision of E</w:t>
      </w:r>
      <w:r w:rsidR="00566BE4" w:rsidRPr="00D27533">
        <w:rPr>
          <w:b w:val="0"/>
          <w:bCs/>
          <w:spacing w:val="-3"/>
        </w:rPr>
        <w:t>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09C72305" w14:textId="190DC419" w:rsidR="00807F8B" w:rsidRPr="0083780E" w:rsidRDefault="00807F8B" w:rsidP="00882177">
      <w:pPr>
        <w:pStyle w:val="BodyText"/>
        <w:spacing w:after="0" w:line="237" w:lineRule="auto"/>
        <w:ind w:left="-18" w:right="196"/>
        <w:rPr>
          <w:szCs w:val="18"/>
        </w:rPr>
      </w:pPr>
      <w:r w:rsidRPr="00036835">
        <w:t xml:space="preserve">Hereditary angioedema is a rare disease, occurring in an estimated 1 in 50,000 people. The disease is characterized by recurrent attacks of angioedema, without urticaria or pruritis, that occur due to C1-inhibitor deficiency (type I) or dysfunction (type II). </w:t>
      </w:r>
      <w:r w:rsidRPr="00C93233">
        <w:t xml:space="preserve">The primary mediator of the swelling with hereditary angioedema is bradykinin, which is present in excess amounts during attacks. </w:t>
      </w:r>
      <w:r w:rsidRPr="001857B0">
        <w:t xml:space="preserve">The </w:t>
      </w:r>
      <w:r>
        <w:t>I</w:t>
      </w:r>
      <w:r w:rsidRPr="001857B0">
        <w:t xml:space="preserve">nternational World Allergy Organization/European Academy of Allergy and Clinical Immunology (WAO/EAACI) guidelines provide the most current recommendations for both acute attacks and long-term management. Early treatment with C1 esterase inhibitors (plasma-derived or recombinant), ecallantide, or icatibant should be considered for all attacks, with definitive treatment strongly recommended for any attack affecting or potentially affecting the upper airway. For pediatric patients </w:t>
      </w:r>
      <w:r>
        <w:t xml:space="preserve">aged less than </w:t>
      </w:r>
      <w:r w:rsidRPr="001857B0">
        <w:t xml:space="preserve">12 years, plasma-derived C1 esterase inhibitors are recommended for treatment. Early treatment is associated with a quicker resolution of symptoms and attack duration. In order to facilitate early treatment, it is also recommended that patients have an agent available to them in the home. The second-line treatment option for acute attacks is plasma. </w:t>
      </w:r>
      <w:r w:rsidRPr="0083780E">
        <w:rPr>
          <w:szCs w:val="18"/>
        </w:rPr>
        <w:t xml:space="preserve">Long-term prophylaxis is appropriate for </w:t>
      </w:r>
      <w:r>
        <w:rPr>
          <w:szCs w:val="18"/>
        </w:rPr>
        <w:t xml:space="preserve">all </w:t>
      </w:r>
      <w:r w:rsidRPr="0083780E">
        <w:rPr>
          <w:szCs w:val="18"/>
        </w:rPr>
        <w:t xml:space="preserve">patients </w:t>
      </w:r>
      <w:r>
        <w:rPr>
          <w:szCs w:val="18"/>
        </w:rPr>
        <w:t>regardless of disease severity</w:t>
      </w:r>
      <w:r w:rsidRPr="0083780E">
        <w:rPr>
          <w:szCs w:val="18"/>
        </w:rPr>
        <w:t xml:space="preserve">. </w:t>
      </w:r>
    </w:p>
    <w:p w14:paraId="7D6C6525" w14:textId="77777777" w:rsidR="00882177" w:rsidRDefault="00882177" w:rsidP="009A0FB1"/>
    <w:p w14:paraId="28C91F1C" w14:textId="33EBF03F" w:rsidR="00E354AA" w:rsidRDefault="009A0FB1" w:rsidP="009A0FB1">
      <w:r>
        <w:t>Total program savings for the PDL classes will be regularly reviewed.</w:t>
      </w:r>
    </w:p>
    <w:p w14:paraId="05964CF2" w14:textId="77777777" w:rsidR="007A3034" w:rsidRDefault="007A3034" w:rsidP="009A0FB1">
      <w:pPr>
        <w:rPr>
          <w:rFonts w:cs="Arial"/>
          <w:szCs w:val="20"/>
        </w:rPr>
      </w:pPr>
    </w:p>
    <w:p w14:paraId="3D7C9AF4" w14:textId="414C535B" w:rsidR="006D1D30" w:rsidRPr="006906FA" w:rsidRDefault="006D1D30" w:rsidP="009A0FB1">
      <w:pPr>
        <w:rPr>
          <w:rFonts w:cs="Arial"/>
          <w:b/>
          <w:bCs/>
          <w:szCs w:val="20"/>
        </w:rPr>
      </w:pPr>
      <w:r w:rsidRPr="006906FA">
        <w:rPr>
          <w:rFonts w:cs="Arial"/>
          <w:b/>
          <w:bCs/>
          <w:szCs w:val="20"/>
        </w:rPr>
        <w:t xml:space="preserve">PROPHYLACTIC: </w:t>
      </w:r>
    </w:p>
    <w:p w14:paraId="6CBEE541" w14:textId="7C77AE3F" w:rsidR="00E90D11" w:rsidRDefault="002E61E4" w:rsidP="00696E3A">
      <w:pPr>
        <w:rPr>
          <w:b/>
          <w:bCs/>
        </w:rPr>
      </w:pPr>
      <w:r>
        <w:rPr>
          <w:b/>
          <w:bCs/>
        </w:rPr>
        <w:t xml:space="preserve">Preferred </w:t>
      </w:r>
      <w:r w:rsidR="00B6293C">
        <w:rPr>
          <w:b/>
          <w:bCs/>
        </w:rPr>
        <w:t>A</w:t>
      </w:r>
      <w:r w:rsidR="006906FA">
        <w:rPr>
          <w:b/>
          <w:bCs/>
        </w:rPr>
        <w:t>gents</w:t>
      </w:r>
    </w:p>
    <w:p w14:paraId="41969E8F" w14:textId="77777777" w:rsidR="004515BE" w:rsidRPr="001857B0" w:rsidRDefault="004515BE" w:rsidP="004515BE">
      <w:pPr>
        <w:pStyle w:val="ListParagraph"/>
      </w:pPr>
      <w:r w:rsidRPr="001857B0">
        <w:t>Haegarda</w:t>
      </w:r>
      <w:r w:rsidRPr="001857B0">
        <w:rPr>
          <w:vertAlign w:val="superscript"/>
        </w:rPr>
        <w:t>®</w:t>
      </w:r>
    </w:p>
    <w:p w14:paraId="1B21829C" w14:textId="6FB28BBD" w:rsidR="00846FA4" w:rsidRDefault="004515BE" w:rsidP="004515BE">
      <w:pPr>
        <w:pStyle w:val="ListParagraph"/>
      </w:pPr>
      <w:r w:rsidRPr="00CB3C60">
        <w:t>Takhzyro</w:t>
      </w:r>
      <w:r w:rsidRPr="00CB3C60">
        <w:rPr>
          <w:vertAlign w:val="superscript"/>
        </w:rPr>
        <w:t>®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7E59891D" w:rsidR="00846FA4" w:rsidRDefault="00846FA4" w:rsidP="00846FA4">
      <w:pPr>
        <w:rPr>
          <w:b/>
          <w:bCs/>
        </w:rPr>
      </w:pPr>
      <w:r>
        <w:rPr>
          <w:b/>
          <w:bCs/>
        </w:rPr>
        <w:t>Non-Preferred</w:t>
      </w:r>
      <w:r w:rsidR="00B6293C">
        <w:rPr>
          <w:b/>
          <w:bCs/>
        </w:rPr>
        <w:t xml:space="preserve"> Agents</w:t>
      </w:r>
    </w:p>
    <w:p w14:paraId="17DD255E" w14:textId="48549400" w:rsidR="0025047A" w:rsidRPr="0025047A" w:rsidRDefault="0025047A" w:rsidP="00980406">
      <w:pPr>
        <w:pStyle w:val="ListParagraph"/>
        <w:rPr>
          <w:b/>
          <w:bCs/>
          <w:color w:val="1F497D" w:themeColor="text2"/>
        </w:rPr>
      </w:pPr>
      <w:r w:rsidRPr="0025047A">
        <w:rPr>
          <w:b/>
          <w:bCs/>
          <w:color w:val="1F497D" w:themeColor="text2"/>
        </w:rPr>
        <w:t>Andembr</w:t>
      </w:r>
      <w:r w:rsidR="00D93C6A">
        <w:rPr>
          <w:b/>
          <w:bCs/>
          <w:color w:val="1F497D" w:themeColor="text2"/>
        </w:rPr>
        <w:t>y</w:t>
      </w:r>
      <w:r w:rsidR="00D93C6A" w:rsidRPr="00CB3C60">
        <w:rPr>
          <w:vertAlign w:val="superscript"/>
        </w:rPr>
        <w:t>®</w:t>
      </w:r>
    </w:p>
    <w:p w14:paraId="14F298BE" w14:textId="7C4901F6" w:rsidR="00980406" w:rsidRPr="007649F2" w:rsidRDefault="00980406" w:rsidP="00980406">
      <w:pPr>
        <w:pStyle w:val="ListParagraph"/>
      </w:pPr>
      <w:r w:rsidRPr="001857B0">
        <w:t>Cinryze</w:t>
      </w:r>
      <w:r w:rsidRPr="001857B0">
        <w:rPr>
          <w:vertAlign w:val="superscript"/>
        </w:rPr>
        <w:t>®</w:t>
      </w:r>
    </w:p>
    <w:p w14:paraId="257AE377" w14:textId="17E5748C" w:rsidR="00310981" w:rsidRPr="0025047A" w:rsidRDefault="00310981" w:rsidP="00980406">
      <w:pPr>
        <w:pStyle w:val="ListParagraph"/>
        <w:rPr>
          <w:b/>
          <w:bCs/>
          <w:color w:val="1F497D" w:themeColor="text2"/>
        </w:rPr>
      </w:pPr>
      <w:r w:rsidRPr="0025047A">
        <w:rPr>
          <w:b/>
          <w:bCs/>
          <w:color w:val="1F497D" w:themeColor="text2"/>
        </w:rPr>
        <w:t>Dawnzer</w:t>
      </w:r>
      <w:r w:rsidR="00BC6078">
        <w:rPr>
          <w:b/>
          <w:bCs/>
          <w:color w:val="1F497D" w:themeColor="text2"/>
        </w:rPr>
        <w:t>a</w:t>
      </w:r>
      <w:r w:rsidR="00BC6078" w:rsidRPr="00726D62">
        <w:rPr>
          <w:vertAlign w:val="superscript"/>
        </w:rPr>
        <w:t>™</w:t>
      </w:r>
    </w:p>
    <w:p w14:paraId="079F807A" w14:textId="6464B1DC" w:rsidR="00846FA4" w:rsidRPr="00696E3A" w:rsidRDefault="00980406" w:rsidP="00980406">
      <w:pPr>
        <w:pStyle w:val="ListParagraph"/>
      </w:pPr>
      <w:r w:rsidRPr="00CB3C60">
        <w:t>Orladeyo</w:t>
      </w:r>
      <w:r w:rsidRPr="00CB3C60">
        <w:rPr>
          <w:vertAlign w:val="superscript"/>
        </w:rPr>
        <w:t>®</w:t>
      </w:r>
    </w:p>
    <w:p w14:paraId="6D696800" w14:textId="28E4C3DB" w:rsidR="00E23EC0" w:rsidRDefault="00E23EC0" w:rsidP="00314430">
      <w:pPr>
        <w:rPr>
          <w:rFonts w:cs="Arial"/>
          <w:spacing w:val="-3"/>
          <w:szCs w:val="20"/>
        </w:rPr>
      </w:pPr>
    </w:p>
    <w:p w14:paraId="07B89BB1" w14:textId="55D161D6" w:rsidR="00B6293C" w:rsidRDefault="00B6293C" w:rsidP="00980406">
      <w:pPr>
        <w:rPr>
          <w:b/>
          <w:bCs/>
        </w:rPr>
      </w:pPr>
      <w:r>
        <w:rPr>
          <w:b/>
          <w:bCs/>
        </w:rPr>
        <w:t>TREATMENT:</w:t>
      </w:r>
    </w:p>
    <w:p w14:paraId="32E2B404" w14:textId="2D107537" w:rsidR="00980406" w:rsidRDefault="00980406" w:rsidP="00980406">
      <w:pPr>
        <w:rPr>
          <w:b/>
          <w:bCs/>
        </w:rPr>
      </w:pPr>
      <w:r>
        <w:rPr>
          <w:b/>
          <w:bCs/>
        </w:rPr>
        <w:t>Preferred</w:t>
      </w:r>
      <w:r w:rsidR="00B6293C">
        <w:rPr>
          <w:b/>
          <w:bCs/>
        </w:rPr>
        <w:t xml:space="preserve"> Agents</w:t>
      </w:r>
    </w:p>
    <w:p w14:paraId="1A1EDE96" w14:textId="77777777" w:rsidR="00952D46" w:rsidRPr="007649F2" w:rsidRDefault="00952D46" w:rsidP="00952D46">
      <w:pPr>
        <w:pStyle w:val="ListParagraph"/>
      </w:pPr>
      <w:r w:rsidRPr="007649F2">
        <w:t>Berinert</w:t>
      </w:r>
      <w:r w:rsidRPr="007649F2">
        <w:rPr>
          <w:vertAlign w:val="superscript"/>
        </w:rPr>
        <w:t>®</w:t>
      </w:r>
    </w:p>
    <w:p w14:paraId="2D4DD2B2" w14:textId="77777777" w:rsidR="00952D46" w:rsidRDefault="00952D46" w:rsidP="00952D46">
      <w:pPr>
        <w:pStyle w:val="ListParagraph"/>
      </w:pPr>
      <w:r w:rsidRPr="007649F2">
        <w:t>Icatibant</w:t>
      </w:r>
    </w:p>
    <w:p w14:paraId="0BB3F826" w14:textId="34ECAEFE" w:rsidR="00980406" w:rsidRDefault="00952D46" w:rsidP="00952D46">
      <w:pPr>
        <w:pStyle w:val="ListParagraph"/>
      </w:pPr>
      <w:r w:rsidRPr="00726D62">
        <w:t>Sajazir</w:t>
      </w:r>
      <w:r w:rsidRPr="00726D62">
        <w:rPr>
          <w:vertAlign w:val="superscript"/>
        </w:rPr>
        <w:t>™</w:t>
      </w:r>
    </w:p>
    <w:p w14:paraId="124375CA" w14:textId="77777777" w:rsidR="00980406" w:rsidRDefault="00980406" w:rsidP="00980406">
      <w:pPr>
        <w:rPr>
          <w:rFonts w:cs="Arial"/>
          <w:szCs w:val="20"/>
        </w:rPr>
      </w:pPr>
    </w:p>
    <w:p w14:paraId="410A91C3" w14:textId="24C764F6" w:rsidR="00980406" w:rsidRDefault="00980406" w:rsidP="00980406">
      <w:pPr>
        <w:rPr>
          <w:b/>
          <w:bCs/>
        </w:rPr>
      </w:pPr>
      <w:r>
        <w:rPr>
          <w:b/>
          <w:bCs/>
        </w:rPr>
        <w:t>Non-Preferred</w:t>
      </w:r>
      <w:r w:rsidR="00B6293C">
        <w:rPr>
          <w:b/>
          <w:bCs/>
        </w:rPr>
        <w:t xml:space="preserve"> Agents</w:t>
      </w:r>
    </w:p>
    <w:p w14:paraId="612205F2" w14:textId="77777777" w:rsidR="00D759DE" w:rsidRPr="003B7D89" w:rsidRDefault="00D759DE" w:rsidP="00D759DE">
      <w:pPr>
        <w:pStyle w:val="ListParagraph"/>
        <w:rPr>
          <w:b/>
          <w:bCs/>
          <w:color w:val="1F497D" w:themeColor="text2"/>
        </w:rPr>
      </w:pPr>
      <w:r w:rsidRPr="003B7D89">
        <w:rPr>
          <w:b/>
          <w:bCs/>
          <w:color w:val="1F497D" w:themeColor="text2"/>
        </w:rPr>
        <w:lastRenderedPageBreak/>
        <w:t>Ekterly</w:t>
      </w:r>
      <w:r w:rsidRPr="003B7D89">
        <w:rPr>
          <w:color w:val="1F497D" w:themeColor="text2"/>
          <w:vertAlign w:val="superscript"/>
        </w:rPr>
        <w:t>®</w:t>
      </w:r>
    </w:p>
    <w:p w14:paraId="6874B648" w14:textId="53EB0BF8" w:rsidR="002E61E4" w:rsidRDefault="002E61E4" w:rsidP="002E61E4">
      <w:pPr>
        <w:pStyle w:val="ListParagraph"/>
      </w:pPr>
      <w:r w:rsidRPr="007649F2">
        <w:t>Firazyr</w:t>
      </w:r>
      <w:r w:rsidRPr="007649F2">
        <w:rPr>
          <w:vertAlign w:val="superscript"/>
        </w:rPr>
        <w:t>®</w:t>
      </w:r>
    </w:p>
    <w:p w14:paraId="6081CDAF" w14:textId="77777777" w:rsidR="002E61E4" w:rsidRPr="00A32CCC" w:rsidRDefault="002E61E4" w:rsidP="002E61E4">
      <w:pPr>
        <w:pStyle w:val="ListParagraph"/>
        <w:rPr>
          <w:spacing w:val="-3"/>
        </w:rPr>
      </w:pPr>
      <w:r w:rsidRPr="00CB4414">
        <w:t>Kalbitor</w:t>
      </w:r>
      <w:r w:rsidRPr="00CB4414">
        <w:rPr>
          <w:vertAlign w:val="superscript"/>
        </w:rPr>
        <w:t>®</w:t>
      </w:r>
    </w:p>
    <w:p w14:paraId="43E799BB" w14:textId="1587AF02" w:rsidR="00980406" w:rsidRPr="00696E3A" w:rsidRDefault="002E61E4" w:rsidP="002E61E4">
      <w:pPr>
        <w:pStyle w:val="ListParagraph"/>
      </w:pPr>
      <w:r w:rsidRPr="007649F2">
        <w:t>Ruconest</w:t>
      </w:r>
      <w:r w:rsidRPr="007649F2">
        <w:rPr>
          <w:vertAlign w:val="superscript"/>
        </w:rPr>
        <w:t>®</w:t>
      </w:r>
    </w:p>
    <w:p w14:paraId="2265B523" w14:textId="77777777" w:rsidR="00980406" w:rsidRPr="002C2C41" w:rsidRDefault="00980406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22888A6F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856A35" w:rsidRPr="004502FD">
        <w:rPr>
          <w:rFonts w:cs="Arial"/>
          <w:szCs w:val="22"/>
        </w:rPr>
        <w:t>Hereditary Angioedema Treatment Agents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55044FDD" w14:textId="77777777" w:rsidR="005E76C5" w:rsidRPr="00E0445F" w:rsidRDefault="005E76C5" w:rsidP="005E76C5">
      <w:pPr>
        <w:pStyle w:val="ListParagraph"/>
        <w:numPr>
          <w:ilvl w:val="0"/>
          <w:numId w:val="16"/>
        </w:numPr>
        <w:rPr>
          <w:rFonts w:cs="Arial"/>
          <w:bCs/>
        </w:rPr>
      </w:pPr>
      <w:r w:rsidRPr="00E0445F">
        <w:rPr>
          <w:rFonts w:cs="Arial"/>
          <w:bCs/>
        </w:rPr>
        <w:t>Must meet all of the following:</w:t>
      </w:r>
    </w:p>
    <w:p w14:paraId="2178B039" w14:textId="77777777" w:rsidR="005E76C5" w:rsidRPr="000A32E4" w:rsidRDefault="005E76C5" w:rsidP="005E76C5">
      <w:pPr>
        <w:pStyle w:val="ListParagraph"/>
        <w:numPr>
          <w:ilvl w:val="1"/>
          <w:numId w:val="16"/>
        </w:numPr>
        <w:rPr>
          <w:rFonts w:cs="Arial"/>
          <w:bCs/>
        </w:rPr>
      </w:pPr>
      <w:r w:rsidRPr="000A32E4">
        <w:rPr>
          <w:rFonts w:cs="Arial"/>
          <w:bCs/>
        </w:rPr>
        <w:t>Prescribed by or in consultation with an allergy-immunologist, maternal-fetal medicine specialist (for pregnant individuals), or other specialist in the treated disease state</w:t>
      </w:r>
      <w:r>
        <w:rPr>
          <w:rFonts w:cs="Arial"/>
          <w:bCs/>
        </w:rPr>
        <w:t>;</w:t>
      </w:r>
    </w:p>
    <w:p w14:paraId="2E0D3381" w14:textId="77777777" w:rsidR="005E76C5" w:rsidRPr="000A32E4" w:rsidRDefault="005E76C5" w:rsidP="005E76C5">
      <w:pPr>
        <w:pStyle w:val="ListParagraph"/>
        <w:numPr>
          <w:ilvl w:val="1"/>
          <w:numId w:val="16"/>
        </w:numPr>
        <w:rPr>
          <w:rFonts w:cs="Arial"/>
          <w:bCs/>
        </w:rPr>
      </w:pPr>
      <w:r w:rsidRPr="000A32E4">
        <w:rPr>
          <w:rFonts w:cs="Arial"/>
          <w:bCs/>
          <w:szCs w:val="20"/>
        </w:rPr>
        <w:t>Documented diagnosis of hereditary angioedema in the last year</w:t>
      </w:r>
      <w:r>
        <w:rPr>
          <w:rFonts w:cs="Arial"/>
          <w:bCs/>
          <w:szCs w:val="20"/>
        </w:rPr>
        <w:t>;</w:t>
      </w:r>
    </w:p>
    <w:p w14:paraId="4B7DA990" w14:textId="25E0C02A" w:rsidR="005E76C5" w:rsidRPr="000976D0" w:rsidRDefault="005E76C5" w:rsidP="005E76C5">
      <w:pPr>
        <w:pStyle w:val="ListParagraph"/>
        <w:numPr>
          <w:ilvl w:val="1"/>
          <w:numId w:val="16"/>
        </w:numPr>
        <w:rPr>
          <w:rFonts w:cs="Arial"/>
          <w:bCs/>
        </w:rPr>
      </w:pPr>
      <w:r w:rsidRPr="000A32E4">
        <w:rPr>
          <w:rFonts w:cs="Arial"/>
          <w:bCs/>
          <w:szCs w:val="20"/>
        </w:rPr>
        <w:t>Documentation of</w:t>
      </w:r>
      <w:r>
        <w:rPr>
          <w:rFonts w:cs="Arial"/>
          <w:bCs/>
          <w:szCs w:val="20"/>
        </w:rPr>
        <w:t xml:space="preserve"> l</w:t>
      </w:r>
      <w:r w:rsidRPr="000976D0">
        <w:rPr>
          <w:rFonts w:cs="Arial"/>
          <w:bCs/>
          <w:szCs w:val="20"/>
        </w:rPr>
        <w:t>ow (&lt;</w:t>
      </w:r>
      <w:r>
        <w:rPr>
          <w:rFonts w:cs="Arial"/>
          <w:bCs/>
          <w:szCs w:val="20"/>
        </w:rPr>
        <w:t xml:space="preserve"> </w:t>
      </w:r>
      <w:r w:rsidRPr="000976D0">
        <w:rPr>
          <w:rFonts w:cs="Arial"/>
          <w:bCs/>
          <w:szCs w:val="20"/>
        </w:rPr>
        <w:t xml:space="preserve">50% of normal) C1INH antigenic or functional </w:t>
      </w:r>
      <w:proofErr w:type="gramStart"/>
      <w:r w:rsidRPr="000976D0">
        <w:rPr>
          <w:rFonts w:cs="Arial"/>
          <w:bCs/>
          <w:szCs w:val="20"/>
        </w:rPr>
        <w:t>level;</w:t>
      </w:r>
      <w:proofErr w:type="gramEnd"/>
    </w:p>
    <w:p w14:paraId="2EDEE104" w14:textId="66078988" w:rsidR="005E76C5" w:rsidRPr="000976D0" w:rsidRDefault="005E76C5" w:rsidP="005E76C5">
      <w:pPr>
        <w:pStyle w:val="ListParagraph"/>
        <w:numPr>
          <w:ilvl w:val="1"/>
          <w:numId w:val="16"/>
        </w:numPr>
        <w:rPr>
          <w:rFonts w:cs="Arial"/>
          <w:bCs/>
        </w:rPr>
      </w:pPr>
      <w:r>
        <w:rPr>
          <w:rFonts w:cs="Arial"/>
          <w:bCs/>
          <w:szCs w:val="20"/>
        </w:rPr>
        <w:t>Documentation of low</w:t>
      </w:r>
      <w:r w:rsidRPr="000976D0">
        <w:rPr>
          <w:rFonts w:cs="Arial"/>
          <w:bCs/>
          <w:szCs w:val="20"/>
        </w:rPr>
        <w:t xml:space="preserve"> C4 level (either at baseline or during an attack)</w:t>
      </w:r>
      <w:r w:rsidR="00FA15BB">
        <w:rPr>
          <w:rFonts w:cs="Arial"/>
          <w:bCs/>
          <w:szCs w:val="20"/>
        </w:rPr>
        <w:t xml:space="preserve">; </w:t>
      </w:r>
      <w:r w:rsidR="00FA15BB" w:rsidRPr="00CE169E">
        <w:rPr>
          <w:rFonts w:cs="Arial"/>
          <w:b/>
          <w:szCs w:val="20"/>
        </w:rPr>
        <w:t>AND</w:t>
      </w:r>
    </w:p>
    <w:p w14:paraId="376B18EA" w14:textId="77777777" w:rsidR="005E76C5" w:rsidRPr="00060A08" w:rsidRDefault="005E76C5" w:rsidP="00094A7D">
      <w:pPr>
        <w:pStyle w:val="ListParagraph"/>
        <w:numPr>
          <w:ilvl w:val="1"/>
          <w:numId w:val="16"/>
        </w:numPr>
        <w:rPr>
          <w:rFonts w:cs="Arial"/>
          <w:bCs/>
        </w:rPr>
      </w:pPr>
      <w:r>
        <w:rPr>
          <w:rFonts w:cs="Arial"/>
          <w:bCs/>
          <w:szCs w:val="20"/>
        </w:rPr>
        <w:t>Must meet one of the following:</w:t>
      </w:r>
    </w:p>
    <w:p w14:paraId="22A7A745" w14:textId="77777777" w:rsidR="005E76C5" w:rsidRDefault="005E76C5" w:rsidP="00094A7D">
      <w:pPr>
        <w:pStyle w:val="ListParagraph"/>
        <w:numPr>
          <w:ilvl w:val="2"/>
          <w:numId w:val="16"/>
        </w:numPr>
        <w:rPr>
          <w:rFonts w:cs="Arial"/>
          <w:bCs/>
        </w:rPr>
      </w:pPr>
      <w:r>
        <w:rPr>
          <w:rFonts w:cs="Arial"/>
          <w:bCs/>
        </w:rPr>
        <w:t>Claim is for a preferred agent;</w:t>
      </w:r>
    </w:p>
    <w:p w14:paraId="14C8C8E0" w14:textId="69E4F1D2" w:rsidR="005E76C5" w:rsidRPr="00A80EC5" w:rsidRDefault="005E76C5" w:rsidP="00094A7D">
      <w:pPr>
        <w:pStyle w:val="ListParagraph"/>
        <w:numPr>
          <w:ilvl w:val="2"/>
          <w:numId w:val="16"/>
        </w:numPr>
        <w:rPr>
          <w:rFonts w:cs="Arial"/>
          <w:b/>
        </w:rPr>
      </w:pPr>
      <w:r w:rsidRPr="00A65191">
        <w:rPr>
          <w:rFonts w:cs="Arial"/>
          <w:bCs/>
        </w:rPr>
        <w:t xml:space="preserve">Documented compliance on </w:t>
      </w:r>
      <w:r w:rsidRPr="00A65191">
        <w:rPr>
          <w:rFonts w:cs="Arial"/>
          <w:bCs/>
          <w:noProof/>
        </w:rPr>
        <w:t>current</w:t>
      </w:r>
      <w:r w:rsidRPr="00A65191">
        <w:rPr>
          <w:rFonts w:cs="Arial"/>
          <w:bCs/>
        </w:rPr>
        <w:t xml:space="preserve"> therapy </w:t>
      </w:r>
      <w:proofErr w:type="gramStart"/>
      <w:r w:rsidRPr="00A65191">
        <w:rPr>
          <w:rFonts w:cs="Arial"/>
          <w:bCs/>
        </w:rPr>
        <w:t>regimen</w:t>
      </w:r>
      <w:r>
        <w:rPr>
          <w:rFonts w:cs="Arial"/>
          <w:bCs/>
        </w:rPr>
        <w:t>;</w:t>
      </w:r>
      <w:proofErr w:type="gramEnd"/>
    </w:p>
    <w:p w14:paraId="75CF05CD" w14:textId="77777777" w:rsidR="005E76C5" w:rsidRPr="00B34A44" w:rsidRDefault="005E76C5" w:rsidP="00094A7D">
      <w:pPr>
        <w:pStyle w:val="ListParagraph"/>
        <w:numPr>
          <w:ilvl w:val="2"/>
          <w:numId w:val="16"/>
        </w:numPr>
        <w:rPr>
          <w:rFonts w:cs="Arial"/>
          <w:b/>
          <w:strike/>
          <w:color w:val="1F497D" w:themeColor="text2"/>
        </w:rPr>
      </w:pPr>
      <w:r w:rsidRPr="00B34A44">
        <w:rPr>
          <w:rFonts w:cs="Arial"/>
          <w:b/>
          <w:strike/>
          <w:color w:val="1F497D" w:themeColor="text2"/>
          <w:szCs w:val="20"/>
        </w:rPr>
        <w:t xml:space="preserve">Failure to achieve desired therapeutic outcomes with </w:t>
      </w:r>
      <w:r w:rsidRPr="00B34A44">
        <w:rPr>
          <w:rFonts w:cs="Arial"/>
          <w:b/>
          <w:strike/>
          <w:noProof/>
          <w:color w:val="1F497D" w:themeColor="text2"/>
          <w:szCs w:val="20"/>
        </w:rPr>
        <w:t>trial</w:t>
      </w:r>
      <w:r w:rsidRPr="00B34A44">
        <w:rPr>
          <w:rFonts w:cs="Arial"/>
          <w:b/>
          <w:strike/>
          <w:color w:val="1F497D" w:themeColor="text2"/>
          <w:szCs w:val="20"/>
        </w:rPr>
        <w:t xml:space="preserve"> on 2 preferred agents;</w:t>
      </w:r>
    </w:p>
    <w:p w14:paraId="221E6DCE" w14:textId="77777777" w:rsidR="005E76C5" w:rsidRPr="00B34A44" w:rsidRDefault="005E76C5" w:rsidP="00094A7D">
      <w:pPr>
        <w:pStyle w:val="ListParagraph"/>
        <w:numPr>
          <w:ilvl w:val="3"/>
          <w:numId w:val="16"/>
        </w:numPr>
        <w:ind w:left="1440"/>
        <w:rPr>
          <w:rFonts w:cs="Arial"/>
          <w:b/>
          <w:strike/>
          <w:color w:val="1F497D" w:themeColor="text2"/>
        </w:rPr>
      </w:pPr>
      <w:r w:rsidRPr="00B34A44">
        <w:rPr>
          <w:rFonts w:cs="Arial"/>
          <w:b/>
          <w:strike/>
          <w:noProof/>
          <w:color w:val="1F497D" w:themeColor="text2"/>
          <w:szCs w:val="20"/>
        </w:rPr>
        <w:t>Documented</w:t>
      </w:r>
      <w:r w:rsidRPr="00B34A44">
        <w:rPr>
          <w:rFonts w:cs="Arial"/>
          <w:b/>
          <w:strike/>
          <w:color w:val="1F497D" w:themeColor="text2"/>
          <w:szCs w:val="20"/>
        </w:rPr>
        <w:t xml:space="preserve"> trial period for preferred agents; OR</w:t>
      </w:r>
    </w:p>
    <w:p w14:paraId="046733B5" w14:textId="77777777" w:rsidR="005E76C5" w:rsidRPr="00084367" w:rsidRDefault="005E76C5" w:rsidP="00094A7D">
      <w:pPr>
        <w:pStyle w:val="ListParagraph"/>
        <w:numPr>
          <w:ilvl w:val="3"/>
          <w:numId w:val="16"/>
        </w:numPr>
        <w:ind w:left="1440"/>
        <w:rPr>
          <w:rFonts w:cs="Arial"/>
          <w:b/>
          <w:strike/>
          <w:color w:val="1F497D" w:themeColor="text2"/>
        </w:rPr>
      </w:pPr>
      <w:r w:rsidRPr="00B34A44">
        <w:rPr>
          <w:rFonts w:cs="Arial"/>
          <w:b/>
          <w:strike/>
          <w:color w:val="1F497D" w:themeColor="text2"/>
          <w:szCs w:val="20"/>
        </w:rPr>
        <w:t>Documented ADE/ADR to preferred agents.</w:t>
      </w:r>
    </w:p>
    <w:p w14:paraId="1AB5425F" w14:textId="5B6D6442" w:rsidR="00084367" w:rsidRPr="00084367" w:rsidRDefault="00E06B9E" w:rsidP="00094A7D">
      <w:pPr>
        <w:pStyle w:val="ListParagraph"/>
        <w:numPr>
          <w:ilvl w:val="2"/>
          <w:numId w:val="16"/>
        </w:numPr>
        <w:rPr>
          <w:rFonts w:cs="Arial"/>
          <w:b/>
          <w:color w:val="1F497D" w:themeColor="text2"/>
        </w:rPr>
      </w:pPr>
      <w:r>
        <w:rPr>
          <w:rFonts w:cs="Arial"/>
          <w:b/>
          <w:color w:val="1F497D" w:themeColor="text2"/>
          <w:szCs w:val="20"/>
        </w:rPr>
        <w:t>F</w:t>
      </w:r>
      <w:r w:rsidR="00084367" w:rsidRPr="00084367">
        <w:rPr>
          <w:rFonts w:cs="Arial"/>
          <w:b/>
          <w:color w:val="1F497D" w:themeColor="text2"/>
          <w:szCs w:val="20"/>
        </w:rPr>
        <w:t>or non-preferred prophylactic agent</w:t>
      </w:r>
      <w:r w:rsidR="001C1B13">
        <w:rPr>
          <w:rFonts w:cs="Arial"/>
          <w:b/>
          <w:color w:val="1F497D" w:themeColor="text2"/>
          <w:szCs w:val="20"/>
        </w:rPr>
        <w:t>s</w:t>
      </w:r>
      <w:r w:rsidR="00084367" w:rsidRPr="00084367">
        <w:rPr>
          <w:rFonts w:cs="Arial"/>
          <w:b/>
          <w:color w:val="1F497D" w:themeColor="text2"/>
          <w:szCs w:val="20"/>
        </w:rPr>
        <w:t>:</w:t>
      </w:r>
    </w:p>
    <w:p w14:paraId="36BFE797" w14:textId="6F3E1E1A" w:rsidR="00084367" w:rsidRPr="00084367" w:rsidRDefault="00084367" w:rsidP="00094A7D">
      <w:pPr>
        <w:pStyle w:val="ListParagraph"/>
        <w:numPr>
          <w:ilvl w:val="3"/>
          <w:numId w:val="16"/>
        </w:numPr>
        <w:ind w:left="1440"/>
        <w:rPr>
          <w:rFonts w:cs="Arial"/>
          <w:b/>
          <w:color w:val="1F497D" w:themeColor="text2"/>
        </w:rPr>
      </w:pPr>
      <w:r w:rsidRPr="00084367">
        <w:rPr>
          <w:rFonts w:cs="Arial"/>
          <w:b/>
          <w:color w:val="1F497D" w:themeColor="text2"/>
          <w:szCs w:val="20"/>
        </w:rPr>
        <w:t xml:space="preserve">Reason of medical necessity why Takhzyro cannot be </w:t>
      </w:r>
      <w:proofErr w:type="gramStart"/>
      <w:r w:rsidRPr="00084367">
        <w:rPr>
          <w:rFonts w:cs="Arial"/>
          <w:b/>
          <w:color w:val="1F497D" w:themeColor="text2"/>
          <w:szCs w:val="20"/>
        </w:rPr>
        <w:t>utilized</w:t>
      </w:r>
      <w:r w:rsidR="00E06B9E">
        <w:rPr>
          <w:rFonts w:cs="Arial"/>
          <w:b/>
          <w:color w:val="1F497D" w:themeColor="text2"/>
          <w:szCs w:val="20"/>
        </w:rPr>
        <w:t>;</w:t>
      </w:r>
      <w:proofErr w:type="gramEnd"/>
      <w:r w:rsidR="00E06B9E">
        <w:rPr>
          <w:rFonts w:cs="Arial"/>
          <w:b/>
          <w:color w:val="1F497D" w:themeColor="text2"/>
          <w:szCs w:val="20"/>
        </w:rPr>
        <w:t xml:space="preserve"> OR</w:t>
      </w:r>
    </w:p>
    <w:p w14:paraId="7B2464B8" w14:textId="58D8FC83" w:rsidR="00084367" w:rsidRPr="00084367" w:rsidRDefault="00E06B9E" w:rsidP="00094A7D">
      <w:pPr>
        <w:pStyle w:val="ListParagraph"/>
        <w:numPr>
          <w:ilvl w:val="2"/>
          <w:numId w:val="16"/>
        </w:numPr>
        <w:rPr>
          <w:rFonts w:cs="Arial"/>
          <w:b/>
          <w:color w:val="1F497D" w:themeColor="text2"/>
        </w:rPr>
      </w:pPr>
      <w:r>
        <w:rPr>
          <w:rFonts w:cs="Arial"/>
          <w:b/>
          <w:color w:val="1F497D" w:themeColor="text2"/>
          <w:szCs w:val="20"/>
        </w:rPr>
        <w:t>F</w:t>
      </w:r>
      <w:r w:rsidR="00084367" w:rsidRPr="00084367">
        <w:rPr>
          <w:rFonts w:cs="Arial"/>
          <w:b/>
          <w:color w:val="1F497D" w:themeColor="text2"/>
          <w:szCs w:val="20"/>
        </w:rPr>
        <w:t>or non-preferred treatment agent</w:t>
      </w:r>
      <w:r w:rsidR="001C1B13">
        <w:rPr>
          <w:rFonts w:cs="Arial"/>
          <w:b/>
          <w:color w:val="1F497D" w:themeColor="text2"/>
          <w:szCs w:val="20"/>
        </w:rPr>
        <w:t>s</w:t>
      </w:r>
      <w:r w:rsidR="00084367" w:rsidRPr="00084367">
        <w:rPr>
          <w:rFonts w:cs="Arial"/>
          <w:b/>
          <w:color w:val="1F497D" w:themeColor="text2"/>
          <w:szCs w:val="20"/>
        </w:rPr>
        <w:t>:</w:t>
      </w:r>
    </w:p>
    <w:p w14:paraId="3E38D105" w14:textId="095472DA" w:rsidR="00084367" w:rsidRPr="00084367" w:rsidRDefault="00084367" w:rsidP="006D02E8">
      <w:pPr>
        <w:pStyle w:val="ListParagraph"/>
        <w:numPr>
          <w:ilvl w:val="3"/>
          <w:numId w:val="16"/>
        </w:numPr>
        <w:ind w:left="1440"/>
        <w:rPr>
          <w:rFonts w:cs="Arial"/>
          <w:b/>
          <w:color w:val="1F497D" w:themeColor="text2"/>
        </w:rPr>
      </w:pPr>
      <w:r w:rsidRPr="00084367">
        <w:rPr>
          <w:rFonts w:cs="Arial"/>
          <w:b/>
          <w:color w:val="1F497D" w:themeColor="text2"/>
          <w:szCs w:val="20"/>
        </w:rPr>
        <w:t>Reason of medical necessity why</w:t>
      </w:r>
      <w:r w:rsidR="005773AE">
        <w:rPr>
          <w:rFonts w:cs="Arial"/>
          <w:b/>
          <w:color w:val="1F497D" w:themeColor="text2"/>
          <w:szCs w:val="20"/>
        </w:rPr>
        <w:t xml:space="preserve"> a</w:t>
      </w:r>
      <w:r w:rsidRPr="00084367">
        <w:rPr>
          <w:rFonts w:cs="Arial"/>
          <w:b/>
          <w:color w:val="1F497D" w:themeColor="text2"/>
          <w:szCs w:val="20"/>
        </w:rPr>
        <w:t xml:space="preserve"> </w:t>
      </w:r>
      <w:r w:rsidR="00F117FD">
        <w:rPr>
          <w:rFonts w:cs="Arial"/>
          <w:b/>
          <w:color w:val="1F497D" w:themeColor="text2"/>
          <w:szCs w:val="20"/>
        </w:rPr>
        <w:t>preferred icatibant</w:t>
      </w:r>
      <w:r w:rsidRPr="00084367">
        <w:rPr>
          <w:rFonts w:cs="Arial"/>
          <w:b/>
          <w:color w:val="1F497D" w:themeColor="text2"/>
          <w:szCs w:val="20"/>
        </w:rPr>
        <w:t xml:space="preserve"> </w:t>
      </w:r>
      <w:r w:rsidR="005773AE">
        <w:rPr>
          <w:rFonts w:cs="Arial"/>
          <w:b/>
          <w:color w:val="1F497D" w:themeColor="text2"/>
          <w:szCs w:val="20"/>
        </w:rPr>
        <w:t>agent</w:t>
      </w:r>
      <w:r w:rsidRPr="00084367">
        <w:rPr>
          <w:rFonts w:cs="Arial"/>
          <w:b/>
          <w:color w:val="1F497D" w:themeColor="text2"/>
          <w:szCs w:val="20"/>
        </w:rPr>
        <w:t xml:space="preserve"> cannot be utilized. </w:t>
      </w:r>
    </w:p>
    <w:p w14:paraId="06375F41" w14:textId="77777777" w:rsidR="005E76C5" w:rsidRPr="00060A08" w:rsidRDefault="005E76C5" w:rsidP="005E76C5">
      <w:pPr>
        <w:pStyle w:val="ListParagraph"/>
        <w:numPr>
          <w:ilvl w:val="0"/>
          <w:numId w:val="16"/>
        </w:numPr>
        <w:rPr>
          <w:rFonts w:cs="Arial"/>
          <w:bCs/>
        </w:rPr>
      </w:pPr>
      <w:r w:rsidRPr="00060A08">
        <w:rPr>
          <w:rFonts w:cs="Arial"/>
          <w:bCs/>
          <w:szCs w:val="20"/>
        </w:rPr>
        <w:t xml:space="preserve">Initial approval </w:t>
      </w:r>
      <w:r>
        <w:rPr>
          <w:rFonts w:cs="Arial"/>
          <w:bCs/>
          <w:szCs w:val="20"/>
        </w:rPr>
        <w:t>period:</w:t>
      </w:r>
      <w:r w:rsidRPr="00060A08">
        <w:rPr>
          <w:rFonts w:cs="Arial"/>
          <w:bCs/>
          <w:szCs w:val="20"/>
        </w:rPr>
        <w:t xml:space="preserve"> 6 months</w:t>
      </w:r>
    </w:p>
    <w:p w14:paraId="1B509DCA" w14:textId="77777777" w:rsidR="00635DDB" w:rsidRPr="002C2C41" w:rsidRDefault="00635DDB" w:rsidP="00635DDB">
      <w:pPr>
        <w:rPr>
          <w:rFonts w:cs="Arial"/>
          <w:szCs w:val="20"/>
        </w:rPr>
      </w:pPr>
    </w:p>
    <w:p w14:paraId="7EC2017B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Continuation of Therapy:</w:t>
      </w:r>
    </w:p>
    <w:p w14:paraId="5A9B2C00" w14:textId="77777777" w:rsidR="00D22825" w:rsidRPr="003F567A" w:rsidRDefault="00D22825" w:rsidP="00D22825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Must meet all of the following:</w:t>
      </w:r>
    </w:p>
    <w:p w14:paraId="0DF3CF8C" w14:textId="77777777" w:rsidR="00D22825" w:rsidRDefault="00D22825" w:rsidP="00D22825">
      <w:pPr>
        <w:pStyle w:val="ListParagraph"/>
        <w:numPr>
          <w:ilvl w:val="1"/>
          <w:numId w:val="16"/>
        </w:numPr>
        <w:rPr>
          <w:rFonts w:cs="Arial"/>
          <w:bCs/>
          <w:szCs w:val="20"/>
        </w:rPr>
      </w:pPr>
      <w:r w:rsidRPr="3554AFA4">
        <w:rPr>
          <w:rFonts w:cs="Arial"/>
          <w:szCs w:val="20"/>
        </w:rPr>
        <w:t xml:space="preserve">Documented compliance on </w:t>
      </w:r>
      <w:r w:rsidRPr="3554AFA4">
        <w:rPr>
          <w:rFonts w:cs="Arial"/>
          <w:noProof/>
          <w:szCs w:val="20"/>
        </w:rPr>
        <w:t>current</w:t>
      </w:r>
      <w:r w:rsidRPr="3554AFA4">
        <w:rPr>
          <w:rFonts w:cs="Arial"/>
          <w:szCs w:val="20"/>
        </w:rPr>
        <w:t xml:space="preserve"> therapy regimen</w:t>
      </w:r>
      <w:r>
        <w:rPr>
          <w:rFonts w:cs="Arial"/>
          <w:szCs w:val="20"/>
        </w:rPr>
        <w:t>.</w:t>
      </w:r>
    </w:p>
    <w:p w14:paraId="5D6DF5A4" w14:textId="77777777" w:rsidR="00D22825" w:rsidRDefault="00D22825" w:rsidP="00D22825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Additional continuation of therapy criteria f</w:t>
      </w:r>
      <w:r w:rsidRPr="008B2F76">
        <w:rPr>
          <w:rFonts w:cs="Arial"/>
          <w:bCs/>
          <w:szCs w:val="20"/>
        </w:rPr>
        <w:t>or Orladeyo</w:t>
      </w:r>
      <w:r>
        <w:rPr>
          <w:rFonts w:cs="Arial"/>
          <w:bCs/>
          <w:szCs w:val="20"/>
        </w:rPr>
        <w:t>:</w:t>
      </w:r>
    </w:p>
    <w:p w14:paraId="5E756EDD" w14:textId="77777777" w:rsidR="00D22825" w:rsidRPr="008B2F76" w:rsidRDefault="00D22825" w:rsidP="00D22825">
      <w:pPr>
        <w:pStyle w:val="ListParagraph"/>
        <w:numPr>
          <w:ilvl w:val="1"/>
          <w:numId w:val="16"/>
        </w:numPr>
        <w:rPr>
          <w:rFonts w:cs="Arial"/>
          <w:bCs/>
          <w:szCs w:val="20"/>
        </w:rPr>
      </w:pPr>
      <w:r w:rsidRPr="3554AFA4">
        <w:rPr>
          <w:rFonts w:cs="Arial"/>
          <w:szCs w:val="20"/>
        </w:rPr>
        <w:t>Renewal of prior authorization may be given for an additional 12 months following documentation of all of the following:</w:t>
      </w:r>
    </w:p>
    <w:p w14:paraId="5A2B0FC4" w14:textId="77777777" w:rsidR="00D22825" w:rsidRPr="00A80EC5" w:rsidRDefault="00D22825" w:rsidP="00D22825">
      <w:pPr>
        <w:pStyle w:val="ListParagraph"/>
        <w:numPr>
          <w:ilvl w:val="2"/>
          <w:numId w:val="16"/>
        </w:numPr>
        <w:rPr>
          <w:rFonts w:cs="Arial"/>
          <w:b/>
        </w:rPr>
      </w:pPr>
      <w:r w:rsidRPr="00A65191">
        <w:rPr>
          <w:rFonts w:cs="Arial"/>
          <w:bCs/>
        </w:rPr>
        <w:t xml:space="preserve">Documented compliance on </w:t>
      </w:r>
      <w:r w:rsidRPr="00A65191">
        <w:rPr>
          <w:rFonts w:cs="Arial"/>
          <w:bCs/>
          <w:noProof/>
        </w:rPr>
        <w:t>current</w:t>
      </w:r>
      <w:r w:rsidRPr="00A65191">
        <w:rPr>
          <w:rFonts w:cs="Arial"/>
          <w:bCs/>
        </w:rPr>
        <w:t xml:space="preserve"> therapy regimen</w:t>
      </w:r>
      <w:r>
        <w:rPr>
          <w:rFonts w:cs="Arial"/>
          <w:bCs/>
        </w:rPr>
        <w:t xml:space="preserve">; </w:t>
      </w:r>
      <w:r w:rsidRPr="00CB4414">
        <w:rPr>
          <w:rFonts w:cs="Arial"/>
          <w:b/>
          <w:bCs/>
        </w:rPr>
        <w:t>AND</w:t>
      </w:r>
    </w:p>
    <w:p w14:paraId="4108B93B" w14:textId="77777777" w:rsidR="00D22825" w:rsidRDefault="00D22825" w:rsidP="00D22825">
      <w:pPr>
        <w:pStyle w:val="ListParagraph"/>
        <w:numPr>
          <w:ilvl w:val="2"/>
          <w:numId w:val="16"/>
        </w:numPr>
        <w:rPr>
          <w:rFonts w:cs="Arial"/>
          <w:bCs/>
          <w:szCs w:val="20"/>
        </w:rPr>
      </w:pPr>
      <w:r w:rsidRPr="008B2F76">
        <w:rPr>
          <w:rFonts w:cs="Arial"/>
          <w:bCs/>
          <w:szCs w:val="20"/>
        </w:rPr>
        <w:t>Documentation of benefit of therapy based on goals of therapy</w:t>
      </w:r>
      <w:r>
        <w:rPr>
          <w:rFonts w:cs="Arial"/>
          <w:bCs/>
          <w:szCs w:val="20"/>
        </w:rPr>
        <w:t>.</w:t>
      </w:r>
    </w:p>
    <w:p w14:paraId="67036D6F" w14:textId="77777777" w:rsidR="00C30257" w:rsidRPr="00C30257" w:rsidRDefault="00C30257" w:rsidP="00C30257">
      <w:pPr>
        <w:pStyle w:val="ListParagraph"/>
        <w:numPr>
          <w:ilvl w:val="0"/>
          <w:numId w:val="16"/>
        </w:numPr>
        <w:rPr>
          <w:rFonts w:cs="Arial"/>
          <w:b/>
          <w:color w:val="1F497D" w:themeColor="text2"/>
          <w:szCs w:val="20"/>
        </w:rPr>
      </w:pPr>
      <w:r w:rsidRPr="00C30257">
        <w:rPr>
          <w:rFonts w:cs="Arial"/>
          <w:b/>
          <w:color w:val="1F497D" w:themeColor="text2"/>
          <w:szCs w:val="20"/>
        </w:rPr>
        <w:t>Additional continuation of therapy criteria for Dawnzera:</w:t>
      </w:r>
    </w:p>
    <w:p w14:paraId="098A19F6" w14:textId="77777777" w:rsidR="00C30257" w:rsidRPr="00C30257" w:rsidRDefault="00C30257" w:rsidP="00C30257">
      <w:pPr>
        <w:pStyle w:val="ListParagraph"/>
        <w:numPr>
          <w:ilvl w:val="1"/>
          <w:numId w:val="16"/>
        </w:numPr>
        <w:rPr>
          <w:rFonts w:cs="Arial"/>
          <w:b/>
          <w:color w:val="1F497D" w:themeColor="text2"/>
          <w:szCs w:val="20"/>
        </w:rPr>
      </w:pPr>
      <w:r w:rsidRPr="00C30257">
        <w:rPr>
          <w:rFonts w:cs="Arial"/>
          <w:b/>
          <w:color w:val="1F497D" w:themeColor="text2"/>
          <w:szCs w:val="20"/>
        </w:rPr>
        <w:t>Frequency requested is every 8 weeks; OR</w:t>
      </w:r>
    </w:p>
    <w:p w14:paraId="1212B5A8" w14:textId="28D42E5D" w:rsidR="00C30257" w:rsidRPr="00C30257" w:rsidRDefault="00C30257" w:rsidP="00C30257">
      <w:pPr>
        <w:pStyle w:val="ListParagraph"/>
        <w:numPr>
          <w:ilvl w:val="1"/>
          <w:numId w:val="16"/>
        </w:numPr>
        <w:rPr>
          <w:rFonts w:cs="Arial"/>
          <w:b/>
          <w:color w:val="1F497D" w:themeColor="text2"/>
          <w:szCs w:val="20"/>
        </w:rPr>
      </w:pPr>
      <w:r w:rsidRPr="00C30257">
        <w:rPr>
          <w:rFonts w:cs="Arial"/>
          <w:b/>
          <w:color w:val="1F497D" w:themeColor="text2"/>
          <w:szCs w:val="20"/>
        </w:rPr>
        <w:t>Reasons of medical necessity why dosing every 8 weeks cannot been utilized</w:t>
      </w:r>
      <w:r w:rsidR="00E45B41">
        <w:rPr>
          <w:rFonts w:cs="Arial"/>
          <w:b/>
          <w:color w:val="1F497D" w:themeColor="text2"/>
          <w:szCs w:val="20"/>
        </w:rPr>
        <w:t>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34DD01B8" w14:textId="77777777" w:rsidR="00904D7A" w:rsidRPr="005328B2" w:rsidRDefault="00904D7A" w:rsidP="00C722C9">
      <w:pPr>
        <w:pStyle w:val="ListParagraph"/>
        <w:numPr>
          <w:ilvl w:val="1"/>
          <w:numId w:val="6"/>
        </w:numPr>
      </w:pPr>
      <w:r w:rsidRPr="005328B2">
        <w:t>Any approval criteria are not met;</w:t>
      </w:r>
      <w:r>
        <w:t xml:space="preserve"> </w:t>
      </w:r>
      <w:r w:rsidRPr="005A4232">
        <w:rPr>
          <w:b/>
          <w:bCs/>
        </w:rPr>
        <w:t>OR</w:t>
      </w:r>
    </w:p>
    <w:p w14:paraId="7D7A2594" w14:textId="66BE64E9" w:rsidR="007F1091" w:rsidRPr="007F1091" w:rsidRDefault="007F1091" w:rsidP="007F1091">
      <w:pPr>
        <w:pStyle w:val="ListParagraph"/>
        <w:numPr>
          <w:ilvl w:val="1"/>
          <w:numId w:val="6"/>
        </w:numPr>
        <w:rPr>
          <w:rFonts w:cs="Arial"/>
        </w:rPr>
      </w:pPr>
      <w:r w:rsidRPr="006D2A42">
        <w:t>Claim exceeds maximum dosing limitation for the following:</w:t>
      </w:r>
    </w:p>
    <w:tbl>
      <w:tblPr>
        <w:tblW w:w="76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070"/>
        <w:gridCol w:w="2430"/>
      </w:tblGrid>
      <w:tr w:rsidR="007F1091" w:rsidRPr="00E52AB2" w14:paraId="67EE6E87" w14:textId="77777777" w:rsidTr="005E294F">
        <w:tc>
          <w:tcPr>
            <w:tcW w:w="3150" w:type="dxa"/>
            <w:shd w:val="clear" w:color="auto" w:fill="FABF8F" w:themeFill="accent6" w:themeFillTint="99"/>
            <w:vAlign w:val="bottom"/>
          </w:tcPr>
          <w:p w14:paraId="5200A436" w14:textId="77777777" w:rsidR="007F1091" w:rsidRPr="0029159A" w:rsidRDefault="007F1091" w:rsidP="005E294F">
            <w:pPr>
              <w:rPr>
                <w:rFonts w:cs="Arial"/>
                <w:szCs w:val="20"/>
              </w:rPr>
            </w:pPr>
            <w:r w:rsidRPr="0029159A">
              <w:rPr>
                <w:rFonts w:cs="Arial"/>
                <w:b/>
                <w:szCs w:val="20"/>
              </w:rPr>
              <w:t>Drug Description</w:t>
            </w:r>
          </w:p>
        </w:tc>
        <w:tc>
          <w:tcPr>
            <w:tcW w:w="2070" w:type="dxa"/>
            <w:shd w:val="clear" w:color="auto" w:fill="FABF8F" w:themeFill="accent6" w:themeFillTint="99"/>
            <w:vAlign w:val="bottom"/>
          </w:tcPr>
          <w:p w14:paraId="7DA898C9" w14:textId="77777777" w:rsidR="007F1091" w:rsidRPr="00E52AB2" w:rsidRDefault="007F1091" w:rsidP="005E294F">
            <w:pPr>
              <w:rPr>
                <w:rFonts w:cs="Arial"/>
                <w:szCs w:val="20"/>
              </w:rPr>
            </w:pPr>
            <w:r w:rsidRPr="00E52AB2">
              <w:rPr>
                <w:rFonts w:cs="Arial"/>
                <w:b/>
                <w:szCs w:val="20"/>
              </w:rPr>
              <w:t>Generic Equivalent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47FA49CF" w14:textId="77777777" w:rsidR="007F1091" w:rsidRPr="00E52AB2" w:rsidRDefault="007F1091" w:rsidP="005E294F">
            <w:pPr>
              <w:rPr>
                <w:rFonts w:cs="Arial"/>
                <w:b/>
                <w:szCs w:val="20"/>
              </w:rPr>
            </w:pPr>
            <w:r w:rsidRPr="00E52AB2">
              <w:rPr>
                <w:rFonts w:cs="Arial"/>
                <w:b/>
                <w:szCs w:val="20"/>
              </w:rPr>
              <w:t>Max Dosing Limitation</w:t>
            </w:r>
          </w:p>
        </w:tc>
      </w:tr>
      <w:tr w:rsidR="007F1091" w:rsidRPr="00E52AB2" w14:paraId="7A69C885" w14:textId="77777777" w:rsidTr="005E294F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31333" w14:textId="77777777" w:rsidR="007F1091" w:rsidRPr="000A32E4" w:rsidRDefault="007F1091" w:rsidP="005E294F">
            <w:pPr>
              <w:rPr>
                <w:rFonts w:cs="Arial"/>
                <w:caps/>
                <w:szCs w:val="20"/>
              </w:rPr>
            </w:pPr>
            <w:r w:rsidRPr="000A32E4">
              <w:rPr>
                <w:rFonts w:cs="Arial"/>
                <w:caps/>
                <w:szCs w:val="20"/>
              </w:rPr>
              <w:t>ORLADEYO 110 MG CAPSULE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4636C" w14:textId="77777777" w:rsidR="007F1091" w:rsidRPr="000A32E4" w:rsidRDefault="007F1091" w:rsidP="005E294F">
            <w:pPr>
              <w:rPr>
                <w:rFonts w:cs="Arial"/>
                <w:caps/>
                <w:szCs w:val="20"/>
              </w:rPr>
            </w:pPr>
            <w:r w:rsidRPr="000A32E4">
              <w:rPr>
                <w:rFonts w:cs="Arial"/>
                <w:caps/>
                <w:szCs w:val="20"/>
              </w:rPr>
              <w:t>BEROTRALSTAT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6DC2F" w14:textId="77777777" w:rsidR="007F1091" w:rsidRPr="000A32E4" w:rsidRDefault="007F1091" w:rsidP="005E294F">
            <w:pPr>
              <w:rPr>
                <w:rFonts w:cs="Arial"/>
                <w:szCs w:val="20"/>
              </w:rPr>
            </w:pPr>
            <w:r w:rsidRPr="000A32E4">
              <w:rPr>
                <w:rFonts w:cs="Arial"/>
                <w:szCs w:val="20"/>
              </w:rPr>
              <w:t>1 capsule per day</w:t>
            </w:r>
          </w:p>
        </w:tc>
      </w:tr>
      <w:tr w:rsidR="007F1091" w14:paraId="1C349E31" w14:textId="77777777" w:rsidTr="005E294F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E812A" w14:textId="77777777" w:rsidR="007F1091" w:rsidRPr="000A32E4" w:rsidRDefault="007F1091" w:rsidP="005E294F">
            <w:pPr>
              <w:rPr>
                <w:rFonts w:cs="Arial"/>
                <w:caps/>
                <w:szCs w:val="20"/>
              </w:rPr>
            </w:pPr>
            <w:r w:rsidRPr="000A32E4">
              <w:rPr>
                <w:rFonts w:cs="Arial"/>
                <w:caps/>
                <w:szCs w:val="20"/>
              </w:rPr>
              <w:t>ORLADEYO 150 MG CAPSULE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E02FF" w14:textId="77777777" w:rsidR="007F1091" w:rsidRPr="000A32E4" w:rsidRDefault="007F1091" w:rsidP="005E294F">
            <w:pPr>
              <w:rPr>
                <w:rFonts w:cs="Arial"/>
                <w:caps/>
                <w:szCs w:val="20"/>
              </w:rPr>
            </w:pPr>
            <w:r w:rsidRPr="000A32E4">
              <w:rPr>
                <w:rFonts w:cs="Arial"/>
                <w:caps/>
                <w:szCs w:val="20"/>
              </w:rPr>
              <w:t>BEROTRALSTAT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5C934" w14:textId="77777777" w:rsidR="007F1091" w:rsidRPr="000A32E4" w:rsidRDefault="007F1091" w:rsidP="005E294F">
            <w:pPr>
              <w:rPr>
                <w:rFonts w:cs="Arial"/>
                <w:szCs w:val="20"/>
              </w:rPr>
            </w:pPr>
            <w:r w:rsidRPr="000A32E4">
              <w:rPr>
                <w:rFonts w:cs="Arial"/>
                <w:szCs w:val="20"/>
              </w:rPr>
              <w:t>1 capsule per day</w:t>
            </w:r>
          </w:p>
        </w:tc>
      </w:tr>
      <w:tr w:rsidR="00AA606E" w:rsidRPr="0058613E" w14:paraId="2A3B45F9" w14:textId="77777777" w:rsidTr="005E294F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6F3EC" w14:textId="1AFA60A8" w:rsidR="00AA606E" w:rsidRPr="0058613E" w:rsidRDefault="00AA606E" w:rsidP="005E294F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58613E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EKTERLY 300 MG TABLET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88EC3" w14:textId="69B42C45" w:rsidR="00AA606E" w:rsidRPr="0058613E" w:rsidRDefault="00AA606E" w:rsidP="005E294F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58613E">
              <w:rPr>
                <w:rFonts w:cs="Arial"/>
                <w:b/>
                <w:bCs/>
                <w:caps/>
                <w:color w:val="1F497D" w:themeColor="text2"/>
                <w:szCs w:val="20"/>
              </w:rPr>
              <w:t>SEBETRALSTAT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99A25" w14:textId="4A0F180D" w:rsidR="00AA606E" w:rsidRPr="0058613E" w:rsidRDefault="002044F6" w:rsidP="005E294F">
            <w:pPr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58613E">
              <w:rPr>
                <w:rFonts w:cs="Arial"/>
                <w:b/>
                <w:bCs/>
                <w:color w:val="1F497D" w:themeColor="text2"/>
                <w:szCs w:val="20"/>
              </w:rPr>
              <w:t>8 tablets per 90 days</w:t>
            </w:r>
          </w:p>
        </w:tc>
      </w:tr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lastRenderedPageBreak/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608B8578" w14:textId="029AA318" w:rsidR="00762212" w:rsidRPr="00EC207E" w:rsidRDefault="00762212" w:rsidP="00EE1174">
      <w:pPr>
        <w:pStyle w:val="ListParagraph"/>
      </w:pPr>
      <w:r w:rsidRPr="00EC207E">
        <w:t>Evidence-Based Medicine and Fiscal Analysis: “Therapeutic Class Review: RESPIRATORY: Agents to Treat Hereditary Angioedema”, Gainwell Technologies; Last updated</w:t>
      </w:r>
      <w:r w:rsidR="00AE0C6E" w:rsidRPr="00AE0C6E">
        <w:t xml:space="preserve"> November 21, 2025</w:t>
      </w:r>
      <w:r w:rsidRPr="00EC207E">
        <w:t xml:space="preserve">. </w:t>
      </w:r>
    </w:p>
    <w:p w14:paraId="638C3DF6" w14:textId="6FDF5288" w:rsidR="00762212" w:rsidRPr="00E23B31" w:rsidRDefault="00762212" w:rsidP="00762212">
      <w:pPr>
        <w:pStyle w:val="ListParagraph"/>
      </w:pPr>
      <w:r w:rsidRPr="00E23B31">
        <w:t xml:space="preserve">Evidence-Based Medicine Analysis: “Hereditary Angioedema Treatment Agents”, UMKC-DIC; </w:t>
      </w:r>
      <w:r>
        <w:t>September</w:t>
      </w:r>
      <w:r w:rsidRPr="00E23B31">
        <w:t xml:space="preserve"> 202</w:t>
      </w:r>
      <w:r w:rsidR="00F206E2">
        <w:t>5</w:t>
      </w:r>
      <w:r w:rsidRPr="00E23B31">
        <w:t>.</w:t>
      </w:r>
    </w:p>
    <w:p w14:paraId="1631F065" w14:textId="717D6B31" w:rsidR="00762212" w:rsidRPr="00DD6416" w:rsidRDefault="00762212" w:rsidP="00762212">
      <w:pPr>
        <w:pStyle w:val="ListParagraph"/>
      </w:pPr>
      <w:r w:rsidRPr="000E7C79">
        <w:rPr>
          <w:lang w:val="it-IT"/>
        </w:rPr>
        <w:t xml:space="preserve">Busse PJ, Christinasen SC, Riedl MA, et. al. </w:t>
      </w:r>
      <w:r w:rsidRPr="00DD6416">
        <w:t xml:space="preserve">US HAEA Medical Advisory Board 2020 Guidelines for the Management of Hereditary Angioedema.  </w:t>
      </w:r>
      <w:hyperlink r:id="rId11" w:history="1">
        <w:r w:rsidRPr="008357F9">
          <w:rPr>
            <w:rStyle w:val="Hyperlink"/>
            <w:rFonts w:cs="Arial"/>
            <w:szCs w:val="20"/>
          </w:rPr>
          <w:t>https://www.haea.org/assets/img/TreatmentGuidelines040321.pdf</w:t>
        </w:r>
      </w:hyperlink>
      <w:r w:rsidRPr="00DD6416">
        <w:t xml:space="preserve">. J Allergy clin Immunol Pract 2021 Jan; 9(1): 132-150. </w:t>
      </w:r>
    </w:p>
    <w:p w14:paraId="14E006FF" w14:textId="7B122888" w:rsidR="00762212" w:rsidRPr="00DD6416" w:rsidRDefault="00762212" w:rsidP="00762212">
      <w:pPr>
        <w:pStyle w:val="ListParagraph"/>
      </w:pPr>
      <w:r w:rsidRPr="00DD6416">
        <w:t xml:space="preserve">Tarzi M, Hickey A, Forster T, et. al. An evaluation of tests used for the diagnosis and monitoring of C1 inhibitor deficiency: normal serum C4 does not exclude hereditary angio-oedema. </w:t>
      </w:r>
      <w:hyperlink r:id="rId12" w:history="1">
        <w:r w:rsidRPr="001E7D6F">
          <w:rPr>
            <w:rStyle w:val="Hyperlink"/>
            <w:rFonts w:cs="Arial"/>
            <w:szCs w:val="20"/>
          </w:rPr>
          <w:t>https://www.ncbi.nlm.nih.gov/pmc/articles/PMC2219337/pdf/cei0149-0513.pdf</w:t>
        </w:r>
      </w:hyperlink>
      <w:r w:rsidRPr="00DD6416">
        <w:t xml:space="preserve">. Clin Exp Immunol. 2007 Sept; 149(3): 513-516. </w:t>
      </w:r>
    </w:p>
    <w:p w14:paraId="71790FDE" w14:textId="71D060B8" w:rsidR="00762212" w:rsidRPr="00DD6416" w:rsidRDefault="00762212" w:rsidP="00762212">
      <w:pPr>
        <w:pStyle w:val="ListParagraph"/>
      </w:pPr>
      <w:r w:rsidRPr="00DD6416">
        <w:t>USPDI, Micromedex; 202</w:t>
      </w:r>
      <w:r>
        <w:t>5.</w:t>
      </w:r>
    </w:p>
    <w:p w14:paraId="4C62B06F" w14:textId="6340DD3E" w:rsidR="00762212" w:rsidRDefault="00762212" w:rsidP="00762212">
      <w:pPr>
        <w:pStyle w:val="ListParagraph"/>
      </w:pPr>
      <w:r w:rsidRPr="00DD6416">
        <w:t>Drug Facts and Comparisons On-line; 202</w:t>
      </w:r>
      <w:r>
        <w:t>5.</w:t>
      </w:r>
    </w:p>
    <w:p w14:paraId="3FA1E7DB" w14:textId="011764AD" w:rsidR="00777CA4" w:rsidRDefault="00762212" w:rsidP="00762212">
      <w:pPr>
        <w:pStyle w:val="ListParagraph"/>
      </w:pPr>
      <w:r>
        <w:t xml:space="preserve">Zuraw B, Farkas H, Sarbjit S, Feldweg AM. </w:t>
      </w:r>
      <w:r w:rsidRPr="00DB63C6">
        <w:t>Hereditary angioedema due to C1 inhibitor deficiency: Epidemiology, clinical manifestations, exacerbating factors, and prognosis. UpToDate. Updated October 4, 2024. Accessed December 6, 2024</w:t>
      </w:r>
      <w:r w:rsidR="00777CA4">
        <w:t>.</w:t>
      </w:r>
    </w:p>
    <w:sectPr w:rsidR="00777CA4" w:rsidSect="00AB0B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721B" w14:textId="77777777" w:rsidR="00AB6654" w:rsidRPr="00C02553" w:rsidRDefault="00AB6654" w:rsidP="00AE77DB">
      <w:r w:rsidRPr="00C02553">
        <w:separator/>
      </w:r>
    </w:p>
  </w:endnote>
  <w:endnote w:type="continuationSeparator" w:id="0">
    <w:p w14:paraId="1E2BF3FB" w14:textId="77777777" w:rsidR="00AB6654" w:rsidRPr="00C02553" w:rsidRDefault="00AB6654" w:rsidP="00AE77DB">
      <w:r w:rsidRPr="00C02553">
        <w:continuationSeparator/>
      </w:r>
    </w:p>
  </w:endnote>
  <w:endnote w:type="continuationNotice" w:id="1">
    <w:p w14:paraId="66CB2252" w14:textId="77777777" w:rsidR="00AB6654" w:rsidRPr="00C02553" w:rsidRDefault="00AB6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3BA4" w14:textId="77777777" w:rsidR="00AB6654" w:rsidRPr="00C02553" w:rsidRDefault="00AB6654" w:rsidP="00AE77DB">
      <w:r w:rsidRPr="00C02553">
        <w:separator/>
      </w:r>
    </w:p>
  </w:footnote>
  <w:footnote w:type="continuationSeparator" w:id="0">
    <w:p w14:paraId="15881FB1" w14:textId="77777777" w:rsidR="00AB6654" w:rsidRPr="00C02553" w:rsidRDefault="00AB6654" w:rsidP="00AE77DB">
      <w:r w:rsidRPr="00C02553">
        <w:continuationSeparator/>
      </w:r>
    </w:p>
  </w:footnote>
  <w:footnote w:type="continuationNotice" w:id="1">
    <w:p w14:paraId="5455BC70" w14:textId="77777777" w:rsidR="00AB6654" w:rsidRPr="00C02553" w:rsidRDefault="00AB6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AB6654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AB6654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654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6A6604"/>
    <w:multiLevelType w:val="hybridMultilevel"/>
    <w:tmpl w:val="FE826386"/>
    <w:lvl w:ilvl="0" w:tplc="040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4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8D40C3"/>
    <w:multiLevelType w:val="multilevel"/>
    <w:tmpl w:val="E1A2A51C"/>
    <w:numStyleLink w:val="References"/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5A69B3"/>
    <w:multiLevelType w:val="hybridMultilevel"/>
    <w:tmpl w:val="65EA53AA"/>
    <w:lvl w:ilvl="0" w:tplc="D35C0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A31F1"/>
    <w:multiLevelType w:val="hybridMultilevel"/>
    <w:tmpl w:val="37E46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4D5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642D7D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C85F2F"/>
    <w:multiLevelType w:val="hybridMultilevel"/>
    <w:tmpl w:val="5E88082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6"/>
  </w:num>
  <w:num w:numId="3" w16cid:durableId="1729067566">
    <w:abstractNumId w:val="5"/>
  </w:num>
  <w:num w:numId="4" w16cid:durableId="320159068">
    <w:abstractNumId w:val="10"/>
  </w:num>
  <w:num w:numId="5" w16cid:durableId="1769498754">
    <w:abstractNumId w:val="4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2"/>
  </w:num>
  <w:num w:numId="10" w16cid:durableId="917518096">
    <w:abstractNumId w:val="11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6"/>
  </w:num>
  <w:num w:numId="14" w16cid:durableId="1805081292">
    <w:abstractNumId w:val="13"/>
  </w:num>
  <w:num w:numId="15" w16cid:durableId="714163039">
    <w:abstractNumId w:val="8"/>
  </w:num>
  <w:num w:numId="16" w16cid:durableId="1802141078">
    <w:abstractNumId w:val="9"/>
  </w:num>
  <w:num w:numId="17" w16cid:durableId="2022660544">
    <w:abstractNumId w:val="17"/>
  </w:num>
  <w:num w:numId="18" w16cid:durableId="49847039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0E46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84367"/>
    <w:rsid w:val="000913C3"/>
    <w:rsid w:val="00094A7D"/>
    <w:rsid w:val="000953B9"/>
    <w:rsid w:val="000A413B"/>
    <w:rsid w:val="000A6279"/>
    <w:rsid w:val="000B496B"/>
    <w:rsid w:val="000C3940"/>
    <w:rsid w:val="000C5992"/>
    <w:rsid w:val="000E12ED"/>
    <w:rsid w:val="000E1479"/>
    <w:rsid w:val="000E231E"/>
    <w:rsid w:val="000E247D"/>
    <w:rsid w:val="000E6B14"/>
    <w:rsid w:val="000E70D8"/>
    <w:rsid w:val="001062F6"/>
    <w:rsid w:val="00112FC7"/>
    <w:rsid w:val="00114C55"/>
    <w:rsid w:val="00125F5F"/>
    <w:rsid w:val="00126951"/>
    <w:rsid w:val="00126B60"/>
    <w:rsid w:val="00127EF6"/>
    <w:rsid w:val="001310AD"/>
    <w:rsid w:val="001314A5"/>
    <w:rsid w:val="00132C7F"/>
    <w:rsid w:val="0013481D"/>
    <w:rsid w:val="00144DBE"/>
    <w:rsid w:val="00152C8B"/>
    <w:rsid w:val="0015636A"/>
    <w:rsid w:val="00172053"/>
    <w:rsid w:val="00177A80"/>
    <w:rsid w:val="001A50CB"/>
    <w:rsid w:val="001A74B7"/>
    <w:rsid w:val="001B2D47"/>
    <w:rsid w:val="001C0250"/>
    <w:rsid w:val="001C1B13"/>
    <w:rsid w:val="001C6DA4"/>
    <w:rsid w:val="001C73B1"/>
    <w:rsid w:val="001D1E7D"/>
    <w:rsid w:val="001D6567"/>
    <w:rsid w:val="001E2CCB"/>
    <w:rsid w:val="001E4CBA"/>
    <w:rsid w:val="001E523C"/>
    <w:rsid w:val="001E61DF"/>
    <w:rsid w:val="001E7D6F"/>
    <w:rsid w:val="001F2B9F"/>
    <w:rsid w:val="001F5954"/>
    <w:rsid w:val="00202DD3"/>
    <w:rsid w:val="002044F6"/>
    <w:rsid w:val="00206E7D"/>
    <w:rsid w:val="00217E14"/>
    <w:rsid w:val="00217EFD"/>
    <w:rsid w:val="00222134"/>
    <w:rsid w:val="0022233F"/>
    <w:rsid w:val="00226275"/>
    <w:rsid w:val="00227555"/>
    <w:rsid w:val="00230A4A"/>
    <w:rsid w:val="00246564"/>
    <w:rsid w:val="00246A3B"/>
    <w:rsid w:val="0025047A"/>
    <w:rsid w:val="00255404"/>
    <w:rsid w:val="0025594F"/>
    <w:rsid w:val="00270C5E"/>
    <w:rsid w:val="00273CB8"/>
    <w:rsid w:val="00290A03"/>
    <w:rsid w:val="0029159A"/>
    <w:rsid w:val="00291600"/>
    <w:rsid w:val="002A02F4"/>
    <w:rsid w:val="002C2C41"/>
    <w:rsid w:val="002C62E7"/>
    <w:rsid w:val="002E05E2"/>
    <w:rsid w:val="002E2DD6"/>
    <w:rsid w:val="002E3F28"/>
    <w:rsid w:val="002E61E4"/>
    <w:rsid w:val="002F0E52"/>
    <w:rsid w:val="002F2274"/>
    <w:rsid w:val="002F2405"/>
    <w:rsid w:val="002F690F"/>
    <w:rsid w:val="002F7C10"/>
    <w:rsid w:val="0030301F"/>
    <w:rsid w:val="00303B21"/>
    <w:rsid w:val="0031098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3907"/>
    <w:rsid w:val="003355AC"/>
    <w:rsid w:val="00343D6B"/>
    <w:rsid w:val="00346DFC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B7D89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5BE"/>
    <w:rsid w:val="0045192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6759"/>
    <w:rsid w:val="005572D5"/>
    <w:rsid w:val="00566BE4"/>
    <w:rsid w:val="00570D21"/>
    <w:rsid w:val="00573205"/>
    <w:rsid w:val="00573856"/>
    <w:rsid w:val="00576113"/>
    <w:rsid w:val="005773AE"/>
    <w:rsid w:val="0058613E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E76C5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06FA"/>
    <w:rsid w:val="00693152"/>
    <w:rsid w:val="00694FAE"/>
    <w:rsid w:val="00696E3A"/>
    <w:rsid w:val="006A0834"/>
    <w:rsid w:val="006A4BBD"/>
    <w:rsid w:val="006A52F1"/>
    <w:rsid w:val="006B561D"/>
    <w:rsid w:val="006B6D5D"/>
    <w:rsid w:val="006B7744"/>
    <w:rsid w:val="006D02E8"/>
    <w:rsid w:val="006D1D30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23731"/>
    <w:rsid w:val="00732C67"/>
    <w:rsid w:val="00734418"/>
    <w:rsid w:val="00757826"/>
    <w:rsid w:val="00762212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81530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091"/>
    <w:rsid w:val="007F1774"/>
    <w:rsid w:val="00807F8B"/>
    <w:rsid w:val="00811A70"/>
    <w:rsid w:val="0081368E"/>
    <w:rsid w:val="0081406E"/>
    <w:rsid w:val="0082679D"/>
    <w:rsid w:val="00832211"/>
    <w:rsid w:val="008325F4"/>
    <w:rsid w:val="00832AC8"/>
    <w:rsid w:val="008357F9"/>
    <w:rsid w:val="00844981"/>
    <w:rsid w:val="00846FA4"/>
    <w:rsid w:val="008524BA"/>
    <w:rsid w:val="00852B74"/>
    <w:rsid w:val="00856928"/>
    <w:rsid w:val="00856A35"/>
    <w:rsid w:val="00865538"/>
    <w:rsid w:val="00870875"/>
    <w:rsid w:val="00882177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3FD8"/>
    <w:rsid w:val="008D6B05"/>
    <w:rsid w:val="008E7D2D"/>
    <w:rsid w:val="008F44C0"/>
    <w:rsid w:val="008F5999"/>
    <w:rsid w:val="00903AD6"/>
    <w:rsid w:val="00904D7A"/>
    <w:rsid w:val="00915332"/>
    <w:rsid w:val="009201D0"/>
    <w:rsid w:val="009204BB"/>
    <w:rsid w:val="00935918"/>
    <w:rsid w:val="00935EC3"/>
    <w:rsid w:val="00951097"/>
    <w:rsid w:val="00952D46"/>
    <w:rsid w:val="00953C1E"/>
    <w:rsid w:val="00953F27"/>
    <w:rsid w:val="00957B46"/>
    <w:rsid w:val="0096210F"/>
    <w:rsid w:val="00962633"/>
    <w:rsid w:val="00963187"/>
    <w:rsid w:val="0096379B"/>
    <w:rsid w:val="00963ACF"/>
    <w:rsid w:val="00963D1C"/>
    <w:rsid w:val="00964284"/>
    <w:rsid w:val="0097028A"/>
    <w:rsid w:val="00973BD6"/>
    <w:rsid w:val="0098040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77E05"/>
    <w:rsid w:val="00A858A7"/>
    <w:rsid w:val="00AA606E"/>
    <w:rsid w:val="00AA70AB"/>
    <w:rsid w:val="00AA71BE"/>
    <w:rsid w:val="00AB0B9F"/>
    <w:rsid w:val="00AB1713"/>
    <w:rsid w:val="00AB63BE"/>
    <w:rsid w:val="00AB6654"/>
    <w:rsid w:val="00AC1EBC"/>
    <w:rsid w:val="00AC2599"/>
    <w:rsid w:val="00AC2DE9"/>
    <w:rsid w:val="00AD2C5F"/>
    <w:rsid w:val="00AE0C6E"/>
    <w:rsid w:val="00AE1481"/>
    <w:rsid w:val="00AE27F9"/>
    <w:rsid w:val="00AE77DB"/>
    <w:rsid w:val="00AF7453"/>
    <w:rsid w:val="00B00FFF"/>
    <w:rsid w:val="00B06084"/>
    <w:rsid w:val="00B114C0"/>
    <w:rsid w:val="00B16735"/>
    <w:rsid w:val="00B17EDE"/>
    <w:rsid w:val="00B22585"/>
    <w:rsid w:val="00B24613"/>
    <w:rsid w:val="00B25A67"/>
    <w:rsid w:val="00B33693"/>
    <w:rsid w:val="00B33BDC"/>
    <w:rsid w:val="00B34A44"/>
    <w:rsid w:val="00B34C53"/>
    <w:rsid w:val="00B507A5"/>
    <w:rsid w:val="00B52475"/>
    <w:rsid w:val="00B535DA"/>
    <w:rsid w:val="00B56DCC"/>
    <w:rsid w:val="00B56F54"/>
    <w:rsid w:val="00B6293C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0C5A"/>
    <w:rsid w:val="00BB3B4D"/>
    <w:rsid w:val="00BC351E"/>
    <w:rsid w:val="00BC3F77"/>
    <w:rsid w:val="00BC5635"/>
    <w:rsid w:val="00BC5675"/>
    <w:rsid w:val="00BC6078"/>
    <w:rsid w:val="00BD081C"/>
    <w:rsid w:val="00BD277B"/>
    <w:rsid w:val="00BD47CA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2DA3"/>
    <w:rsid w:val="00C14D52"/>
    <w:rsid w:val="00C21E97"/>
    <w:rsid w:val="00C2586C"/>
    <w:rsid w:val="00C26001"/>
    <w:rsid w:val="00C30257"/>
    <w:rsid w:val="00C34E72"/>
    <w:rsid w:val="00C563E3"/>
    <w:rsid w:val="00C56B1F"/>
    <w:rsid w:val="00C61B52"/>
    <w:rsid w:val="00C62745"/>
    <w:rsid w:val="00C654CA"/>
    <w:rsid w:val="00C722C9"/>
    <w:rsid w:val="00C763BD"/>
    <w:rsid w:val="00C779A8"/>
    <w:rsid w:val="00C82E19"/>
    <w:rsid w:val="00C91BFE"/>
    <w:rsid w:val="00C96873"/>
    <w:rsid w:val="00CA1735"/>
    <w:rsid w:val="00CA3C4B"/>
    <w:rsid w:val="00CA7252"/>
    <w:rsid w:val="00CB2C5A"/>
    <w:rsid w:val="00CE0C1C"/>
    <w:rsid w:val="00CE169E"/>
    <w:rsid w:val="00CE34AF"/>
    <w:rsid w:val="00CF00A4"/>
    <w:rsid w:val="00CF25FB"/>
    <w:rsid w:val="00CF614C"/>
    <w:rsid w:val="00D02F34"/>
    <w:rsid w:val="00D13D87"/>
    <w:rsid w:val="00D16590"/>
    <w:rsid w:val="00D20720"/>
    <w:rsid w:val="00D22825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759DE"/>
    <w:rsid w:val="00D93A61"/>
    <w:rsid w:val="00D93C6A"/>
    <w:rsid w:val="00DA0459"/>
    <w:rsid w:val="00DA3A0F"/>
    <w:rsid w:val="00DA4E62"/>
    <w:rsid w:val="00DA6990"/>
    <w:rsid w:val="00DB27BA"/>
    <w:rsid w:val="00DB337A"/>
    <w:rsid w:val="00DB5E89"/>
    <w:rsid w:val="00DB7F39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6B9E"/>
    <w:rsid w:val="00E07ABE"/>
    <w:rsid w:val="00E11A3F"/>
    <w:rsid w:val="00E1386E"/>
    <w:rsid w:val="00E2369B"/>
    <w:rsid w:val="00E23EC0"/>
    <w:rsid w:val="00E354AA"/>
    <w:rsid w:val="00E3555D"/>
    <w:rsid w:val="00E43D54"/>
    <w:rsid w:val="00E442FB"/>
    <w:rsid w:val="00E45B41"/>
    <w:rsid w:val="00E50010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25FE"/>
    <w:rsid w:val="00EF6F8B"/>
    <w:rsid w:val="00F03898"/>
    <w:rsid w:val="00F117FD"/>
    <w:rsid w:val="00F1527A"/>
    <w:rsid w:val="00F206E2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5BB"/>
    <w:rsid w:val="00FA16EC"/>
    <w:rsid w:val="00FA2811"/>
    <w:rsid w:val="00FA4837"/>
    <w:rsid w:val="00FB1D33"/>
    <w:rsid w:val="00FB5E96"/>
    <w:rsid w:val="00FC05A0"/>
    <w:rsid w:val="00FC6758"/>
    <w:rsid w:val="00FD34EA"/>
    <w:rsid w:val="00FE1D71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406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807F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7F8B"/>
    <w:rPr>
      <w:rFonts w:ascii="Arial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5A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A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25A6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A6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3481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bi.nlm.nih.gov/pmc/articles/PMC2219337/pdf/cei0149-0513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ea.org/assets/img/TreatmentGuidelines04032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CF26D-9401-463E-AFB5-2BB7DC7CC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efb00-5952-4f7e-8cf8-96f81cfadd01"/>
    <ds:schemaRef ds:uri="aba01ddc-ae9a-4c9e-819c-7140b4239cde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Hereditary Angioedema Agents PDL Edit</vt:lpstr>
    </vt:vector>
  </TitlesOfParts>
  <Company>DSS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Hereditary Angioedema Agents PDL Edit</dc:title>
  <dc:creator>DMS</dc:creator>
  <cp:lastModifiedBy>Morsches, Phuonglinh</cp:lastModifiedBy>
  <cp:revision>63</cp:revision>
  <cp:lastPrinted>2018-10-31T20:17:00Z</cp:lastPrinted>
  <dcterms:created xsi:type="dcterms:W3CDTF">2025-12-03T21:35:00Z</dcterms:created>
  <dcterms:modified xsi:type="dcterms:W3CDTF">2025-12-21T21:32:00Z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