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8D396E2" w:rsidR="004C5767" w:rsidRPr="008859E1" w:rsidRDefault="004C5767" w:rsidP="00D27533">
      <w:pPr>
        <w:pStyle w:val="tbody"/>
        <w:rPr>
          <w:b w:val="0"/>
          <w:bCs/>
        </w:rPr>
      </w:pPr>
      <w:r w:rsidRPr="00C02553">
        <w:t>Drug/Drug Class:</w:t>
      </w:r>
      <w:r w:rsidR="003B4820" w:rsidRPr="00573856">
        <w:rPr>
          <w:b w:val="0"/>
          <w:bCs/>
        </w:rPr>
        <w:t xml:space="preserve"> </w:t>
      </w:r>
      <w:r w:rsidR="00646AC6" w:rsidRPr="00646AC6">
        <w:rPr>
          <w:b w:val="0"/>
          <w:bCs/>
        </w:rPr>
        <w:t>NSAIDs PDL Edit</w:t>
      </w:r>
    </w:p>
    <w:p w14:paraId="7AD7FFCE" w14:textId="03CF86C8" w:rsidR="004C5767" w:rsidRPr="00C02553" w:rsidRDefault="004C5767" w:rsidP="00D27533">
      <w:pPr>
        <w:pStyle w:val="tbody"/>
      </w:pPr>
      <w:r w:rsidRPr="00C02553">
        <w:t>First Implementation Date:</w:t>
      </w:r>
      <w:r w:rsidRPr="00573856">
        <w:rPr>
          <w:b w:val="0"/>
          <w:bCs/>
        </w:rPr>
        <w:t xml:space="preserve"> </w:t>
      </w:r>
      <w:r w:rsidR="002B3776" w:rsidRPr="002B3776">
        <w:rPr>
          <w:b w:val="0"/>
          <w:bCs/>
        </w:rPr>
        <w:t>June 25, 2012</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AF4F1D4"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9AB1F0B" w14:textId="77777777" w:rsidR="00975EEC" w:rsidRPr="0045735F" w:rsidRDefault="00975EEC" w:rsidP="00975EEC">
      <w:pPr>
        <w:pStyle w:val="Header"/>
        <w:tabs>
          <w:tab w:val="left" w:pos="720"/>
        </w:tabs>
        <w:rPr>
          <w:rFonts w:cs="Arial"/>
          <w:spacing w:val="-3"/>
          <w:sz w:val="20"/>
        </w:rPr>
      </w:pPr>
      <w:r w:rsidRPr="0045735F">
        <w:rPr>
          <w:rFonts w:cs="Arial"/>
          <w:spacing w:val="-3"/>
          <w:sz w:val="20"/>
        </w:rPr>
        <w:t xml:space="preserve">Nonsteroidal anti-inflammatory drugs (NSAIDs) are commonly used to treat rheumatoid arthritis (RA), osteoarthritis (OA), and pain from various etiologies. NSAIDs are the most widely used drugs in the United States, with approximately 80 million prescriptions being filled yearly. These drugs, however, are associated with adverse events including gastrointestinal bleeding, peptic ulcer disease, hypertension, edema, renal disease, and increased risk of myocardial infarction.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598119AA" w14:textId="77777777" w:rsidR="00A3645C" w:rsidRPr="00A3645C" w:rsidRDefault="00A3645C" w:rsidP="00A3645C">
      <w:pPr>
        <w:numPr>
          <w:ilvl w:val="0"/>
          <w:numId w:val="15"/>
        </w:numPr>
      </w:pPr>
      <w:r w:rsidRPr="00A3645C">
        <w:t>Celecoxib</w:t>
      </w:r>
    </w:p>
    <w:p w14:paraId="48C283DF" w14:textId="77777777" w:rsidR="00A3645C" w:rsidRPr="00A3645C" w:rsidRDefault="00A3645C" w:rsidP="00A3645C">
      <w:pPr>
        <w:numPr>
          <w:ilvl w:val="0"/>
          <w:numId w:val="15"/>
        </w:numPr>
      </w:pPr>
      <w:r w:rsidRPr="00A3645C">
        <w:t>Diclofenac 1% Gel OTC</w:t>
      </w:r>
    </w:p>
    <w:p w14:paraId="6949D82D" w14:textId="77777777" w:rsidR="00A3645C" w:rsidRPr="00A3645C" w:rsidRDefault="00A3645C" w:rsidP="00A3645C">
      <w:pPr>
        <w:numPr>
          <w:ilvl w:val="0"/>
          <w:numId w:val="15"/>
        </w:numPr>
      </w:pPr>
      <w:r w:rsidRPr="00A3645C">
        <w:t>Diclofenac Sodium DR/EC Tabs</w:t>
      </w:r>
    </w:p>
    <w:p w14:paraId="50F73234" w14:textId="5248335B" w:rsidR="00A3645C" w:rsidRPr="00A3645C" w:rsidRDefault="00A3645C" w:rsidP="00A3645C">
      <w:pPr>
        <w:numPr>
          <w:ilvl w:val="0"/>
          <w:numId w:val="15"/>
        </w:numPr>
      </w:pPr>
      <w:r w:rsidRPr="00A3645C">
        <w:t>Ibuprofen</w:t>
      </w:r>
      <w:r w:rsidR="00C36724">
        <w:t xml:space="preserve"> </w:t>
      </w:r>
      <w:r w:rsidR="00C36724" w:rsidRPr="00C36724">
        <w:rPr>
          <w:b/>
          <w:bCs/>
          <w:color w:val="1F497D" w:themeColor="text2"/>
        </w:rPr>
        <w:t>(except 300 mg Tabs)</w:t>
      </w:r>
    </w:p>
    <w:p w14:paraId="364DD865" w14:textId="77777777" w:rsidR="00A3645C" w:rsidRPr="00A3645C" w:rsidRDefault="00A3645C" w:rsidP="00A3645C">
      <w:pPr>
        <w:numPr>
          <w:ilvl w:val="0"/>
          <w:numId w:val="15"/>
        </w:numPr>
      </w:pPr>
      <w:r w:rsidRPr="00A3645C">
        <w:t>Ketorolac Tabs</w:t>
      </w:r>
    </w:p>
    <w:p w14:paraId="63737CEC" w14:textId="77777777" w:rsidR="00A3645C" w:rsidRPr="00A3645C" w:rsidRDefault="00A3645C" w:rsidP="00A3645C">
      <w:pPr>
        <w:numPr>
          <w:ilvl w:val="0"/>
          <w:numId w:val="15"/>
        </w:numPr>
      </w:pPr>
      <w:r w:rsidRPr="00A3645C">
        <w:t>Meloxicam Tabs</w:t>
      </w:r>
    </w:p>
    <w:p w14:paraId="6C0800B8" w14:textId="77777777" w:rsidR="00A3645C" w:rsidRDefault="00A3645C" w:rsidP="00A3645C">
      <w:pPr>
        <w:numPr>
          <w:ilvl w:val="0"/>
          <w:numId w:val="15"/>
        </w:numPr>
      </w:pPr>
      <w:r w:rsidRPr="00A3645C">
        <w:t>Naproxen OTC</w:t>
      </w:r>
    </w:p>
    <w:p w14:paraId="47320590" w14:textId="4D69B9C1" w:rsidR="00FD34EA" w:rsidRDefault="00A3645C" w:rsidP="00A3645C">
      <w:pPr>
        <w:numPr>
          <w:ilvl w:val="0"/>
          <w:numId w:val="15"/>
        </w:numPr>
        <w:rPr>
          <w:lang w:val="es-US"/>
        </w:rPr>
      </w:pPr>
      <w:r w:rsidRPr="00A3645C">
        <w:rPr>
          <w:lang w:val="es-US"/>
        </w:rPr>
        <w:t>Naproxen Tabs Rx (gen Naprosyn</w:t>
      </w:r>
      <w:r w:rsidRPr="00A3645C">
        <w:rPr>
          <w:vertAlign w:val="superscript"/>
          <w:lang w:val="es-US"/>
        </w:rPr>
        <w:t>®</w:t>
      </w:r>
      <w:r w:rsidRPr="00A3645C">
        <w:rPr>
          <w:lang w:val="es-US"/>
        </w:rPr>
        <w:t>)</w:t>
      </w:r>
    </w:p>
    <w:p w14:paraId="3798941C" w14:textId="77777777" w:rsidR="00A3645C" w:rsidRPr="00A3645C" w:rsidRDefault="00A3645C" w:rsidP="00A3645C">
      <w:pPr>
        <w:ind w:left="360"/>
        <w:rPr>
          <w:lang w:val="es-US"/>
        </w:rPr>
      </w:pPr>
    </w:p>
    <w:p w14:paraId="56404718" w14:textId="252714AD" w:rsidR="00846FA4" w:rsidRDefault="00846FA4" w:rsidP="00846FA4">
      <w:pPr>
        <w:rPr>
          <w:b/>
          <w:bCs/>
        </w:rPr>
      </w:pPr>
      <w:r>
        <w:rPr>
          <w:b/>
          <w:bCs/>
        </w:rPr>
        <w:t>Non-Preferred Agents:</w:t>
      </w:r>
    </w:p>
    <w:p w14:paraId="3178E5C1" w14:textId="77777777" w:rsidR="00E2794B" w:rsidRPr="00E2794B" w:rsidRDefault="00E2794B" w:rsidP="00E2794B">
      <w:pPr>
        <w:numPr>
          <w:ilvl w:val="0"/>
          <w:numId w:val="16"/>
        </w:numPr>
      </w:pPr>
      <w:r w:rsidRPr="00E2794B">
        <w:t>Arthrotec</w:t>
      </w:r>
      <w:r w:rsidRPr="00E2794B">
        <w:rPr>
          <w:vertAlign w:val="superscript"/>
        </w:rPr>
        <w:t>®</w:t>
      </w:r>
    </w:p>
    <w:p w14:paraId="565DAB89" w14:textId="24DA4FBB" w:rsidR="00766E59" w:rsidRPr="00766E59" w:rsidRDefault="00766E59" w:rsidP="00E2794B">
      <w:pPr>
        <w:numPr>
          <w:ilvl w:val="0"/>
          <w:numId w:val="16"/>
        </w:numPr>
        <w:rPr>
          <w:b/>
          <w:bCs/>
          <w:color w:val="1F497D" w:themeColor="text2"/>
        </w:rPr>
      </w:pPr>
      <w:r w:rsidRPr="00766E59">
        <w:rPr>
          <w:b/>
          <w:bCs/>
          <w:color w:val="1F497D" w:themeColor="text2"/>
        </w:rPr>
        <w:t>Cataflam</w:t>
      </w:r>
      <w:r w:rsidRPr="00E2794B">
        <w:rPr>
          <w:b/>
          <w:bCs/>
          <w:color w:val="1F497D" w:themeColor="text2"/>
          <w:vertAlign w:val="superscript"/>
        </w:rPr>
        <w:t>®</w:t>
      </w:r>
    </w:p>
    <w:p w14:paraId="0612E4C0" w14:textId="0C73ED27" w:rsidR="00E2794B" w:rsidRPr="00E2794B" w:rsidRDefault="00E2794B" w:rsidP="00E2794B">
      <w:pPr>
        <w:numPr>
          <w:ilvl w:val="0"/>
          <w:numId w:val="16"/>
        </w:numPr>
      </w:pPr>
      <w:r w:rsidRPr="00E2794B">
        <w:t>Celebrex</w:t>
      </w:r>
      <w:bookmarkStart w:id="1" w:name="_Hlk215212185"/>
      <w:r w:rsidRPr="00E2794B">
        <w:rPr>
          <w:vertAlign w:val="superscript"/>
        </w:rPr>
        <w:t>®</w:t>
      </w:r>
      <w:bookmarkEnd w:id="1"/>
    </w:p>
    <w:p w14:paraId="1DDE3FBE" w14:textId="77777777" w:rsidR="00E2794B" w:rsidRPr="00E2794B" w:rsidRDefault="00E2794B" w:rsidP="00E2794B">
      <w:pPr>
        <w:numPr>
          <w:ilvl w:val="0"/>
          <w:numId w:val="16"/>
        </w:numPr>
      </w:pPr>
      <w:r w:rsidRPr="00E2794B">
        <w:t>Daypro</w:t>
      </w:r>
      <w:r w:rsidRPr="00E2794B">
        <w:rPr>
          <w:vertAlign w:val="superscript"/>
        </w:rPr>
        <w:t>®</w:t>
      </w:r>
    </w:p>
    <w:p w14:paraId="72401305" w14:textId="77777777" w:rsidR="00E2794B" w:rsidRPr="00E2794B" w:rsidRDefault="00E2794B" w:rsidP="00E2794B">
      <w:pPr>
        <w:numPr>
          <w:ilvl w:val="0"/>
          <w:numId w:val="16"/>
        </w:numPr>
      </w:pPr>
      <w:r w:rsidRPr="00E2794B">
        <w:t>Diclofenac 1% Gel Rx</w:t>
      </w:r>
    </w:p>
    <w:p w14:paraId="1F268D19" w14:textId="77777777" w:rsidR="00E2794B" w:rsidRPr="00E2794B" w:rsidRDefault="00E2794B" w:rsidP="00E2794B">
      <w:pPr>
        <w:numPr>
          <w:ilvl w:val="0"/>
          <w:numId w:val="16"/>
        </w:numPr>
      </w:pPr>
      <w:r w:rsidRPr="00E2794B">
        <w:t>Diclofenac 1.3% Patch (gen Flector</w:t>
      </w:r>
      <w:r w:rsidRPr="00E2794B">
        <w:rPr>
          <w:vertAlign w:val="superscript"/>
        </w:rPr>
        <w:t>®</w:t>
      </w:r>
      <w:r w:rsidRPr="00E2794B">
        <w:t xml:space="preserve">) </w:t>
      </w:r>
    </w:p>
    <w:p w14:paraId="24FFA950" w14:textId="77777777" w:rsidR="00E2794B" w:rsidRPr="00E2794B" w:rsidRDefault="00E2794B" w:rsidP="00E2794B">
      <w:pPr>
        <w:numPr>
          <w:ilvl w:val="0"/>
          <w:numId w:val="15"/>
        </w:numPr>
      </w:pPr>
      <w:r w:rsidRPr="00E2794B">
        <w:t>Diclofenac Topical Soln</w:t>
      </w:r>
    </w:p>
    <w:p w14:paraId="7F0F227F" w14:textId="77777777" w:rsidR="00E2794B" w:rsidRPr="00E2794B" w:rsidRDefault="00E2794B" w:rsidP="00E2794B">
      <w:pPr>
        <w:numPr>
          <w:ilvl w:val="0"/>
          <w:numId w:val="15"/>
        </w:numPr>
      </w:pPr>
      <w:r w:rsidRPr="00E2794B">
        <w:t>Diclofenac Caps (gen Zorvolex</w:t>
      </w:r>
      <w:r w:rsidRPr="00E2794B">
        <w:rPr>
          <w:vertAlign w:val="superscript"/>
        </w:rPr>
        <w:t>®</w:t>
      </w:r>
      <w:r w:rsidRPr="00E2794B">
        <w:t>)</w:t>
      </w:r>
    </w:p>
    <w:p w14:paraId="02AB6A6F" w14:textId="77777777" w:rsidR="00E2794B" w:rsidRPr="00E2794B" w:rsidRDefault="00E2794B" w:rsidP="00E2794B">
      <w:pPr>
        <w:numPr>
          <w:ilvl w:val="0"/>
          <w:numId w:val="15"/>
        </w:numPr>
      </w:pPr>
      <w:r w:rsidRPr="00E2794B">
        <w:t xml:space="preserve">Diclofenac Potassium </w:t>
      </w:r>
    </w:p>
    <w:p w14:paraId="051EE764" w14:textId="77777777" w:rsidR="00E2794B" w:rsidRPr="00E2794B" w:rsidRDefault="00E2794B" w:rsidP="00E2794B">
      <w:pPr>
        <w:numPr>
          <w:ilvl w:val="0"/>
          <w:numId w:val="15"/>
        </w:numPr>
        <w:rPr>
          <w:lang w:val="it-IT"/>
        </w:rPr>
      </w:pPr>
      <w:r w:rsidRPr="00E2794B">
        <w:rPr>
          <w:lang w:val="it-IT"/>
        </w:rPr>
        <w:t>Diclofenac Sodium ER (gen Voltaren</w:t>
      </w:r>
      <w:r w:rsidRPr="00E2794B">
        <w:rPr>
          <w:vertAlign w:val="superscript"/>
          <w:lang w:val="it-IT"/>
        </w:rPr>
        <w:t>®</w:t>
      </w:r>
      <w:r w:rsidRPr="00E2794B">
        <w:rPr>
          <w:lang w:val="it-IT"/>
        </w:rPr>
        <w:t xml:space="preserve"> XR)</w:t>
      </w:r>
    </w:p>
    <w:p w14:paraId="0D9F8A40" w14:textId="77777777" w:rsidR="00E2794B" w:rsidRPr="00E2794B" w:rsidRDefault="00E2794B" w:rsidP="00E2794B">
      <w:pPr>
        <w:numPr>
          <w:ilvl w:val="0"/>
          <w:numId w:val="15"/>
        </w:numPr>
      </w:pPr>
      <w:r w:rsidRPr="00E2794B">
        <w:t>Diclofenac/Misoprostol</w:t>
      </w:r>
    </w:p>
    <w:p w14:paraId="3C877615" w14:textId="77777777" w:rsidR="00E2794B" w:rsidRPr="00E2794B" w:rsidRDefault="00E2794B" w:rsidP="00E2794B">
      <w:pPr>
        <w:numPr>
          <w:ilvl w:val="0"/>
          <w:numId w:val="16"/>
        </w:numPr>
      </w:pPr>
      <w:r w:rsidRPr="00E2794B">
        <w:t>Diflunisal</w:t>
      </w:r>
    </w:p>
    <w:p w14:paraId="33C9E11A" w14:textId="77777777" w:rsidR="00E2794B" w:rsidRPr="00E2794B" w:rsidRDefault="00E2794B" w:rsidP="00E2794B">
      <w:pPr>
        <w:numPr>
          <w:ilvl w:val="0"/>
          <w:numId w:val="16"/>
        </w:numPr>
      </w:pPr>
      <w:r w:rsidRPr="00E2794B">
        <w:t>Dolobid</w:t>
      </w:r>
      <w:r w:rsidRPr="00E2794B">
        <w:rPr>
          <w:vertAlign w:val="superscript"/>
        </w:rPr>
        <w:t>®</w:t>
      </w:r>
    </w:p>
    <w:p w14:paraId="62CD7FF4" w14:textId="77777777" w:rsidR="00E2794B" w:rsidRPr="00E2794B" w:rsidRDefault="00E2794B" w:rsidP="00E2794B">
      <w:pPr>
        <w:numPr>
          <w:ilvl w:val="0"/>
          <w:numId w:val="16"/>
        </w:numPr>
      </w:pPr>
      <w:r w:rsidRPr="00E2794B">
        <w:t>Elyxyb</w:t>
      </w:r>
    </w:p>
    <w:p w14:paraId="00B2A7DC" w14:textId="77777777" w:rsidR="00E2794B" w:rsidRPr="00E2794B" w:rsidRDefault="00E2794B" w:rsidP="00E2794B">
      <w:pPr>
        <w:numPr>
          <w:ilvl w:val="0"/>
          <w:numId w:val="16"/>
        </w:numPr>
      </w:pPr>
      <w:r w:rsidRPr="00E2794B">
        <w:t>Etodolac</w:t>
      </w:r>
    </w:p>
    <w:p w14:paraId="60DE4BD5" w14:textId="77777777" w:rsidR="00E2794B" w:rsidRPr="00E2794B" w:rsidRDefault="00E2794B" w:rsidP="00E2794B">
      <w:pPr>
        <w:numPr>
          <w:ilvl w:val="0"/>
          <w:numId w:val="16"/>
        </w:numPr>
      </w:pPr>
      <w:r w:rsidRPr="00E2794B">
        <w:lastRenderedPageBreak/>
        <w:t>Etodolac ER</w:t>
      </w:r>
    </w:p>
    <w:p w14:paraId="4B100AF6" w14:textId="77777777" w:rsidR="00E2794B" w:rsidRPr="00E2794B" w:rsidRDefault="00E2794B" w:rsidP="00E2794B">
      <w:pPr>
        <w:numPr>
          <w:ilvl w:val="0"/>
          <w:numId w:val="16"/>
        </w:numPr>
      </w:pPr>
      <w:r w:rsidRPr="00E2794B">
        <w:t>Feldene</w:t>
      </w:r>
      <w:r w:rsidRPr="00E2794B">
        <w:rPr>
          <w:vertAlign w:val="superscript"/>
        </w:rPr>
        <w:t>®</w:t>
      </w:r>
    </w:p>
    <w:p w14:paraId="418169D7" w14:textId="77777777" w:rsidR="00E2794B" w:rsidRDefault="00E2794B" w:rsidP="00E2794B">
      <w:pPr>
        <w:numPr>
          <w:ilvl w:val="0"/>
          <w:numId w:val="16"/>
        </w:numPr>
      </w:pPr>
      <w:r w:rsidRPr="00E2794B">
        <w:t>Fenoprofen</w:t>
      </w:r>
    </w:p>
    <w:p w14:paraId="4EF5BC09" w14:textId="3AD8AAAD" w:rsidR="00220E44" w:rsidRPr="00E2794B" w:rsidRDefault="00220E44" w:rsidP="00E2794B">
      <w:pPr>
        <w:numPr>
          <w:ilvl w:val="0"/>
          <w:numId w:val="16"/>
        </w:numPr>
        <w:rPr>
          <w:b/>
          <w:bCs/>
          <w:color w:val="1F497D" w:themeColor="text2"/>
        </w:rPr>
      </w:pPr>
      <w:r w:rsidRPr="00220E44">
        <w:rPr>
          <w:b/>
          <w:bCs/>
          <w:color w:val="1F497D" w:themeColor="text2"/>
        </w:rPr>
        <w:t>Fenopron</w:t>
      </w:r>
      <w:r w:rsidR="00EC7352">
        <w:rPr>
          <w:b/>
          <w:bCs/>
          <w:color w:val="1F497D" w:themeColor="text2"/>
          <w:szCs w:val="20"/>
          <w:vertAlign w:val="superscript"/>
        </w:rPr>
        <w:t>™</w:t>
      </w:r>
    </w:p>
    <w:p w14:paraId="1CC63B38" w14:textId="77777777" w:rsidR="00E2794B" w:rsidRDefault="00E2794B" w:rsidP="00E2794B">
      <w:pPr>
        <w:numPr>
          <w:ilvl w:val="0"/>
          <w:numId w:val="16"/>
        </w:numPr>
      </w:pPr>
      <w:r w:rsidRPr="00E2794B">
        <w:t>Flurbiprofen</w:t>
      </w:r>
    </w:p>
    <w:p w14:paraId="4A4D547F" w14:textId="59D1BB41" w:rsidR="004327FA" w:rsidRPr="00E2794B" w:rsidRDefault="002F2F07" w:rsidP="00E2794B">
      <w:pPr>
        <w:numPr>
          <w:ilvl w:val="0"/>
          <w:numId w:val="16"/>
        </w:numPr>
        <w:rPr>
          <w:b/>
          <w:bCs/>
          <w:color w:val="1F497D" w:themeColor="text2"/>
        </w:rPr>
      </w:pPr>
      <w:r w:rsidRPr="002F2F07">
        <w:rPr>
          <w:b/>
          <w:bCs/>
          <w:color w:val="1F497D" w:themeColor="text2"/>
        </w:rPr>
        <w:t>Ibuprofen 300 mg Tabs</w:t>
      </w:r>
    </w:p>
    <w:p w14:paraId="7BDA8C36" w14:textId="77777777" w:rsidR="00E2794B" w:rsidRPr="00E2794B" w:rsidRDefault="00E2794B" w:rsidP="00E2794B">
      <w:pPr>
        <w:numPr>
          <w:ilvl w:val="0"/>
          <w:numId w:val="16"/>
        </w:numPr>
      </w:pPr>
      <w:r w:rsidRPr="00E2794B">
        <w:t>Ibuprofen/Famotidine</w:t>
      </w:r>
    </w:p>
    <w:p w14:paraId="0A41EEA7" w14:textId="77777777" w:rsidR="00E2794B" w:rsidRPr="00E2794B" w:rsidRDefault="00E2794B" w:rsidP="00E2794B">
      <w:pPr>
        <w:numPr>
          <w:ilvl w:val="0"/>
          <w:numId w:val="16"/>
        </w:numPr>
      </w:pPr>
      <w:r w:rsidRPr="00E2794B">
        <w:t>Indocin</w:t>
      </w:r>
      <w:r w:rsidRPr="00E2794B">
        <w:rPr>
          <w:vertAlign w:val="superscript"/>
        </w:rPr>
        <w:t>®</w:t>
      </w:r>
    </w:p>
    <w:p w14:paraId="1E6D3A09" w14:textId="77777777" w:rsidR="00E2794B" w:rsidRDefault="00E2794B" w:rsidP="00E2794B">
      <w:pPr>
        <w:numPr>
          <w:ilvl w:val="0"/>
          <w:numId w:val="16"/>
        </w:numPr>
      </w:pPr>
      <w:r w:rsidRPr="00E2794B">
        <w:t>Indomethacin</w:t>
      </w:r>
    </w:p>
    <w:p w14:paraId="6D0FB802" w14:textId="77777777" w:rsidR="00C8302D" w:rsidRPr="00C8302D" w:rsidRDefault="00C8302D" w:rsidP="00C8302D">
      <w:pPr>
        <w:numPr>
          <w:ilvl w:val="0"/>
          <w:numId w:val="16"/>
        </w:numPr>
      </w:pPr>
      <w:r w:rsidRPr="00C8302D">
        <w:t>Indomethacin ER</w:t>
      </w:r>
    </w:p>
    <w:p w14:paraId="0F1326A8" w14:textId="77777777" w:rsidR="00C8302D" w:rsidRPr="00C8302D" w:rsidRDefault="00C8302D" w:rsidP="00C8302D">
      <w:pPr>
        <w:numPr>
          <w:ilvl w:val="0"/>
          <w:numId w:val="16"/>
        </w:numPr>
      </w:pPr>
      <w:r w:rsidRPr="00C8302D">
        <w:t>Ketoprofen</w:t>
      </w:r>
    </w:p>
    <w:p w14:paraId="6CBEAD4E" w14:textId="77777777" w:rsidR="00C8302D" w:rsidRPr="00C8302D" w:rsidRDefault="00C8302D" w:rsidP="00C8302D">
      <w:pPr>
        <w:numPr>
          <w:ilvl w:val="0"/>
          <w:numId w:val="16"/>
        </w:numPr>
      </w:pPr>
      <w:r w:rsidRPr="00C8302D">
        <w:t>Ketoprofen ER</w:t>
      </w:r>
    </w:p>
    <w:p w14:paraId="6A0B84F7" w14:textId="77777777" w:rsidR="00C8302D" w:rsidRPr="00C8302D" w:rsidRDefault="00C8302D" w:rsidP="00C8302D">
      <w:pPr>
        <w:numPr>
          <w:ilvl w:val="0"/>
          <w:numId w:val="16"/>
        </w:numPr>
      </w:pPr>
      <w:r w:rsidRPr="00C8302D">
        <w:t>Lofena</w:t>
      </w:r>
      <w:r w:rsidRPr="00C8302D">
        <w:rPr>
          <w:vertAlign w:val="superscript"/>
        </w:rPr>
        <w:t>™</w:t>
      </w:r>
    </w:p>
    <w:p w14:paraId="56F8ECD8" w14:textId="77777777" w:rsidR="00C8302D" w:rsidRPr="00C8302D" w:rsidRDefault="00C8302D" w:rsidP="00C8302D">
      <w:pPr>
        <w:numPr>
          <w:ilvl w:val="0"/>
          <w:numId w:val="16"/>
        </w:numPr>
      </w:pPr>
      <w:r w:rsidRPr="00C8302D">
        <w:t>Meclofenamate</w:t>
      </w:r>
    </w:p>
    <w:p w14:paraId="26A2F0A3" w14:textId="77777777" w:rsidR="00C8302D" w:rsidRPr="00C8302D" w:rsidRDefault="00C8302D" w:rsidP="00C8302D">
      <w:pPr>
        <w:numPr>
          <w:ilvl w:val="0"/>
          <w:numId w:val="16"/>
        </w:numPr>
      </w:pPr>
      <w:r w:rsidRPr="00C8302D">
        <w:t>Mefenamic Acid</w:t>
      </w:r>
    </w:p>
    <w:p w14:paraId="53F672B5" w14:textId="77777777" w:rsidR="00C8302D" w:rsidRPr="00C8302D" w:rsidRDefault="00C8302D" w:rsidP="00C8302D">
      <w:pPr>
        <w:numPr>
          <w:ilvl w:val="0"/>
          <w:numId w:val="16"/>
        </w:numPr>
      </w:pPr>
      <w:r w:rsidRPr="00C8302D">
        <w:t>Meloxicam Caps</w:t>
      </w:r>
    </w:p>
    <w:p w14:paraId="309B6D43" w14:textId="77777777" w:rsidR="00C8302D" w:rsidRPr="00C8302D" w:rsidRDefault="00C8302D" w:rsidP="00C8302D">
      <w:pPr>
        <w:numPr>
          <w:ilvl w:val="0"/>
          <w:numId w:val="16"/>
        </w:numPr>
      </w:pPr>
      <w:r w:rsidRPr="00C8302D">
        <w:t>Mobic</w:t>
      </w:r>
      <w:r w:rsidRPr="00C8302D">
        <w:rPr>
          <w:vertAlign w:val="superscript"/>
        </w:rPr>
        <w:t>®</w:t>
      </w:r>
    </w:p>
    <w:p w14:paraId="55BB5F35" w14:textId="77777777" w:rsidR="00C8302D" w:rsidRPr="00C8302D" w:rsidRDefault="00C8302D" w:rsidP="00C8302D">
      <w:pPr>
        <w:numPr>
          <w:ilvl w:val="0"/>
          <w:numId w:val="16"/>
        </w:numPr>
      </w:pPr>
      <w:r w:rsidRPr="00C8302D">
        <w:t>Nabumetone</w:t>
      </w:r>
    </w:p>
    <w:p w14:paraId="1040531E" w14:textId="77777777" w:rsidR="00C8302D" w:rsidRPr="00C8302D" w:rsidRDefault="00C8302D" w:rsidP="00C8302D">
      <w:pPr>
        <w:numPr>
          <w:ilvl w:val="0"/>
          <w:numId w:val="16"/>
        </w:numPr>
      </w:pPr>
      <w:r w:rsidRPr="00C8302D">
        <w:t>Nalfon</w:t>
      </w:r>
      <w:r w:rsidRPr="00C8302D">
        <w:rPr>
          <w:vertAlign w:val="superscript"/>
        </w:rPr>
        <w:t>®</w:t>
      </w:r>
    </w:p>
    <w:p w14:paraId="0EC157BB" w14:textId="77777777" w:rsidR="00C8302D" w:rsidRPr="00C8302D" w:rsidRDefault="00C8302D" w:rsidP="00C8302D">
      <w:pPr>
        <w:numPr>
          <w:ilvl w:val="0"/>
          <w:numId w:val="16"/>
        </w:numPr>
      </w:pPr>
      <w:r w:rsidRPr="00C8302D">
        <w:t>Naprelan</w:t>
      </w:r>
      <w:r w:rsidRPr="00C8302D">
        <w:rPr>
          <w:vertAlign w:val="superscript"/>
        </w:rPr>
        <w:t>®</w:t>
      </w:r>
    </w:p>
    <w:p w14:paraId="2A4F4C65" w14:textId="77777777" w:rsidR="00C8302D" w:rsidRPr="00C8302D" w:rsidRDefault="00C8302D" w:rsidP="00C8302D">
      <w:pPr>
        <w:numPr>
          <w:ilvl w:val="0"/>
          <w:numId w:val="16"/>
        </w:numPr>
      </w:pPr>
      <w:r w:rsidRPr="00C8302D">
        <w:t>Naprosyn</w:t>
      </w:r>
      <w:r w:rsidRPr="00C8302D">
        <w:rPr>
          <w:vertAlign w:val="superscript"/>
        </w:rPr>
        <w:t>®</w:t>
      </w:r>
    </w:p>
    <w:p w14:paraId="3F327FA8" w14:textId="77777777" w:rsidR="00C8302D" w:rsidRPr="00C8302D" w:rsidRDefault="00C8302D" w:rsidP="00C8302D">
      <w:pPr>
        <w:numPr>
          <w:ilvl w:val="0"/>
          <w:numId w:val="16"/>
        </w:numPr>
      </w:pPr>
      <w:r w:rsidRPr="00C8302D">
        <w:t>Naproxen CR (gen Naprelan</w:t>
      </w:r>
      <w:r w:rsidRPr="00C8302D">
        <w:rPr>
          <w:vertAlign w:val="superscript"/>
        </w:rPr>
        <w:t>®</w:t>
      </w:r>
      <w:r w:rsidRPr="00C8302D">
        <w:t>)</w:t>
      </w:r>
    </w:p>
    <w:p w14:paraId="0F581604" w14:textId="77777777" w:rsidR="00C8302D" w:rsidRPr="00C8302D" w:rsidRDefault="00C8302D" w:rsidP="00C8302D">
      <w:pPr>
        <w:numPr>
          <w:ilvl w:val="0"/>
          <w:numId w:val="16"/>
        </w:numPr>
        <w:rPr>
          <w:lang w:val="es-US"/>
        </w:rPr>
      </w:pPr>
      <w:r w:rsidRPr="00C8302D">
        <w:rPr>
          <w:lang w:val="es-US"/>
        </w:rPr>
        <w:t>Naproxen DS (gen Anaprox</w:t>
      </w:r>
      <w:r w:rsidRPr="00C8302D">
        <w:rPr>
          <w:vertAlign w:val="superscript"/>
          <w:lang w:val="es-US"/>
        </w:rPr>
        <w:t>®</w:t>
      </w:r>
      <w:r w:rsidRPr="00C8302D">
        <w:rPr>
          <w:lang w:val="es-US"/>
        </w:rPr>
        <w:t xml:space="preserve"> DS)</w:t>
      </w:r>
    </w:p>
    <w:p w14:paraId="415163F5" w14:textId="77777777" w:rsidR="00C8302D" w:rsidRPr="00C8302D" w:rsidRDefault="00C8302D" w:rsidP="00C8302D">
      <w:pPr>
        <w:numPr>
          <w:ilvl w:val="0"/>
          <w:numId w:val="16"/>
        </w:numPr>
        <w:rPr>
          <w:lang w:val="es-US"/>
        </w:rPr>
      </w:pPr>
      <w:r w:rsidRPr="00C8302D">
        <w:rPr>
          <w:lang w:val="es-US"/>
        </w:rPr>
        <w:t>Naproxen EC (gen Naprosyn</w:t>
      </w:r>
      <w:r w:rsidRPr="00C8302D">
        <w:rPr>
          <w:vertAlign w:val="superscript"/>
          <w:lang w:val="es-US"/>
        </w:rPr>
        <w:t>®</w:t>
      </w:r>
      <w:r w:rsidRPr="00C8302D">
        <w:rPr>
          <w:lang w:val="es-US"/>
        </w:rPr>
        <w:t xml:space="preserve"> EC)</w:t>
      </w:r>
    </w:p>
    <w:p w14:paraId="6A7472F0" w14:textId="77777777" w:rsidR="00C8302D" w:rsidRPr="00C8302D" w:rsidRDefault="00C8302D" w:rsidP="00C8302D">
      <w:pPr>
        <w:numPr>
          <w:ilvl w:val="0"/>
          <w:numId w:val="16"/>
        </w:numPr>
      </w:pPr>
      <w:r w:rsidRPr="00C8302D">
        <w:t>Naproxen Sodium (gen Anaprox</w:t>
      </w:r>
      <w:r w:rsidRPr="00C8302D">
        <w:rPr>
          <w:vertAlign w:val="superscript"/>
        </w:rPr>
        <w:t>®</w:t>
      </w:r>
      <w:r w:rsidRPr="00C8302D">
        <w:t>)</w:t>
      </w:r>
    </w:p>
    <w:p w14:paraId="106A3F3A" w14:textId="77777777" w:rsidR="00C8302D" w:rsidRPr="00C8302D" w:rsidRDefault="00C8302D" w:rsidP="00C8302D">
      <w:pPr>
        <w:numPr>
          <w:ilvl w:val="0"/>
          <w:numId w:val="16"/>
        </w:numPr>
      </w:pPr>
      <w:r w:rsidRPr="00C8302D">
        <w:t>Naproxen Susp</w:t>
      </w:r>
    </w:p>
    <w:p w14:paraId="570845F9" w14:textId="77777777" w:rsidR="00C8302D" w:rsidRPr="00C8302D" w:rsidRDefault="00C8302D" w:rsidP="00C8302D">
      <w:pPr>
        <w:numPr>
          <w:ilvl w:val="0"/>
          <w:numId w:val="16"/>
        </w:numPr>
      </w:pPr>
      <w:r w:rsidRPr="00C8302D">
        <w:t>Naproxen/Esomeprazole</w:t>
      </w:r>
    </w:p>
    <w:p w14:paraId="73713A3F" w14:textId="77777777" w:rsidR="00C8302D" w:rsidRPr="00C8302D" w:rsidRDefault="00C8302D" w:rsidP="00C8302D">
      <w:pPr>
        <w:numPr>
          <w:ilvl w:val="0"/>
          <w:numId w:val="16"/>
        </w:numPr>
      </w:pPr>
      <w:r w:rsidRPr="00C8302D">
        <w:t>Oxaprozin</w:t>
      </w:r>
    </w:p>
    <w:p w14:paraId="445D6D14" w14:textId="77777777" w:rsidR="00C8302D" w:rsidRDefault="00C8302D" w:rsidP="00C8302D">
      <w:pPr>
        <w:numPr>
          <w:ilvl w:val="0"/>
          <w:numId w:val="16"/>
        </w:numPr>
      </w:pPr>
      <w:r w:rsidRPr="00C8302D">
        <w:t>Piroxicam</w:t>
      </w:r>
    </w:p>
    <w:p w14:paraId="4165C52F" w14:textId="516095C3" w:rsidR="00292301" w:rsidRPr="00292301" w:rsidRDefault="00292301" w:rsidP="00C8302D">
      <w:pPr>
        <w:numPr>
          <w:ilvl w:val="0"/>
          <w:numId w:val="16"/>
        </w:numPr>
        <w:rPr>
          <w:b/>
          <w:bCs/>
          <w:color w:val="1F497D" w:themeColor="text2"/>
        </w:rPr>
      </w:pPr>
      <w:r w:rsidRPr="00292301">
        <w:rPr>
          <w:b/>
          <w:bCs/>
          <w:color w:val="1F497D" w:themeColor="text2"/>
        </w:rPr>
        <w:t>Relafen</w:t>
      </w:r>
      <w:r w:rsidRPr="00292301">
        <w:rPr>
          <w:b/>
          <w:bCs/>
          <w:color w:val="1F497D" w:themeColor="text2"/>
          <w:vertAlign w:val="superscript"/>
        </w:rPr>
        <w:t>®</w:t>
      </w:r>
    </w:p>
    <w:p w14:paraId="4F2E613F" w14:textId="77777777" w:rsidR="00C8302D" w:rsidRPr="00C8302D" w:rsidRDefault="00C8302D" w:rsidP="00C8302D">
      <w:pPr>
        <w:numPr>
          <w:ilvl w:val="0"/>
          <w:numId w:val="16"/>
        </w:numPr>
        <w:rPr>
          <w:bCs/>
        </w:rPr>
      </w:pPr>
      <w:r w:rsidRPr="00C8302D">
        <w:rPr>
          <w:bCs/>
        </w:rPr>
        <w:t>Relafen</w:t>
      </w:r>
      <w:r w:rsidRPr="00C8302D">
        <w:rPr>
          <w:bCs/>
          <w:vertAlign w:val="superscript"/>
        </w:rPr>
        <w:t>®</w:t>
      </w:r>
      <w:r w:rsidRPr="00C8302D">
        <w:rPr>
          <w:bCs/>
        </w:rPr>
        <w:t xml:space="preserve"> DS</w:t>
      </w:r>
    </w:p>
    <w:p w14:paraId="41558494" w14:textId="77777777" w:rsidR="00C8302D" w:rsidRPr="00C8302D" w:rsidRDefault="00C8302D" w:rsidP="00C8302D">
      <w:pPr>
        <w:numPr>
          <w:ilvl w:val="0"/>
          <w:numId w:val="16"/>
        </w:numPr>
      </w:pPr>
      <w:r w:rsidRPr="00C8302D">
        <w:t>Sulindac</w:t>
      </w:r>
    </w:p>
    <w:p w14:paraId="08CC01AD" w14:textId="77777777" w:rsidR="00C8302D" w:rsidRPr="00C8302D" w:rsidRDefault="00C8302D" w:rsidP="00C8302D">
      <w:pPr>
        <w:numPr>
          <w:ilvl w:val="0"/>
          <w:numId w:val="16"/>
        </w:numPr>
      </w:pPr>
      <w:r w:rsidRPr="00C8302D">
        <w:t>Tolectin</w:t>
      </w:r>
      <w:r w:rsidRPr="00C8302D">
        <w:rPr>
          <w:vertAlign w:val="superscript"/>
        </w:rPr>
        <w:t>®</w:t>
      </w:r>
    </w:p>
    <w:p w14:paraId="15691082" w14:textId="77777777" w:rsidR="00C8302D" w:rsidRPr="00C8302D" w:rsidRDefault="00C8302D" w:rsidP="00C8302D">
      <w:pPr>
        <w:numPr>
          <w:ilvl w:val="0"/>
          <w:numId w:val="16"/>
        </w:numPr>
      </w:pPr>
      <w:r w:rsidRPr="00C8302D">
        <w:t>Tolmetin</w:t>
      </w:r>
    </w:p>
    <w:p w14:paraId="5BC5D5A7" w14:textId="0EA09E0E" w:rsidR="00C8302D" w:rsidRPr="00835DA0" w:rsidRDefault="00C8302D" w:rsidP="00C8302D">
      <w:pPr>
        <w:numPr>
          <w:ilvl w:val="0"/>
          <w:numId w:val="16"/>
        </w:numPr>
      </w:pPr>
      <w:r w:rsidRPr="00C8302D">
        <w:t>Voltaren</w:t>
      </w:r>
      <w:r w:rsidRPr="00C8302D">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E39BC8B" w:rsidR="0097028A" w:rsidRPr="0079438F" w:rsidRDefault="0097028A" w:rsidP="00696E3A">
      <w:pPr>
        <w:rPr>
          <w:b/>
        </w:rPr>
      </w:pPr>
      <w:r w:rsidRPr="00696E3A">
        <w:rPr>
          <w:b/>
          <w:bCs/>
        </w:rPr>
        <w:t>Drug class for review:</w:t>
      </w:r>
      <w:r w:rsidRPr="00C02553">
        <w:t xml:space="preserve"> </w:t>
      </w:r>
      <w:r w:rsidR="005A6D2F" w:rsidRPr="0045735F">
        <w:rPr>
          <w:rFonts w:cs="Arial"/>
        </w:rPr>
        <w:t>NSAID</w:t>
      </w:r>
      <w:r w:rsidR="005A6D2F">
        <w:rPr>
          <w:rFonts w:cs="Arial"/>
        </w:rPr>
        <w: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CCD046D" w14:textId="77777777" w:rsidR="00A5190E" w:rsidRDefault="00A5190E" w:rsidP="00A5190E">
      <w:pPr>
        <w:pStyle w:val="ListBullet2"/>
        <w:numPr>
          <w:ilvl w:val="0"/>
          <w:numId w:val="17"/>
        </w:numPr>
        <w:rPr>
          <w:rFonts w:ascii="Arial" w:hAnsi="Arial" w:cs="Arial"/>
          <w:sz w:val="20"/>
        </w:rPr>
      </w:pPr>
      <w:r>
        <w:rPr>
          <w:rFonts w:ascii="Arial" w:hAnsi="Arial" w:cs="Arial"/>
          <w:sz w:val="20"/>
        </w:rPr>
        <w:t>Must meet one of the following:</w:t>
      </w:r>
    </w:p>
    <w:p w14:paraId="202F90DB" w14:textId="77777777" w:rsidR="00A5190E" w:rsidRPr="008F2DDE" w:rsidRDefault="00A5190E" w:rsidP="00A5190E">
      <w:pPr>
        <w:pStyle w:val="ListBullet2"/>
        <w:numPr>
          <w:ilvl w:val="1"/>
          <w:numId w:val="17"/>
        </w:numPr>
        <w:rPr>
          <w:rFonts w:ascii="Arial" w:hAnsi="Arial" w:cs="Arial"/>
          <w:sz w:val="20"/>
        </w:rPr>
      </w:pPr>
      <w:r w:rsidRPr="008F2DDE">
        <w:rPr>
          <w:rFonts w:ascii="Arial" w:hAnsi="Arial" w:cs="Arial"/>
          <w:sz w:val="20"/>
        </w:rPr>
        <w:t xml:space="preserve">Claim is for a preferred agent; </w:t>
      </w:r>
      <w:r w:rsidRPr="008F2DDE">
        <w:rPr>
          <w:rFonts w:ascii="Arial" w:hAnsi="Arial" w:cs="Arial"/>
          <w:b/>
          <w:bCs/>
          <w:sz w:val="20"/>
        </w:rPr>
        <w:t>OR</w:t>
      </w:r>
    </w:p>
    <w:p w14:paraId="5BD4F16E" w14:textId="77777777" w:rsidR="00A5190E" w:rsidRPr="008F2DDE" w:rsidRDefault="00A5190E" w:rsidP="00A5190E">
      <w:pPr>
        <w:pStyle w:val="ListBullet2"/>
        <w:numPr>
          <w:ilvl w:val="1"/>
          <w:numId w:val="17"/>
        </w:numPr>
        <w:rPr>
          <w:rFonts w:ascii="Arial" w:hAnsi="Arial" w:cs="Arial"/>
          <w:sz w:val="20"/>
        </w:rPr>
      </w:pPr>
      <w:r w:rsidRPr="008F2DDE">
        <w:rPr>
          <w:rFonts w:ascii="Arial" w:hAnsi="Arial" w:cs="Arial"/>
          <w:sz w:val="20"/>
        </w:rPr>
        <w:t xml:space="preserve">Failure to achieve desired therapeutic outcomes with a </w:t>
      </w:r>
      <w:r w:rsidRPr="008F2DDE">
        <w:rPr>
          <w:rFonts w:ascii="Arial" w:hAnsi="Arial" w:cs="Arial"/>
          <w:noProof/>
          <w:sz w:val="20"/>
        </w:rPr>
        <w:t>trial</w:t>
      </w:r>
      <w:r w:rsidRPr="008F2DDE">
        <w:rPr>
          <w:rFonts w:ascii="Arial" w:hAnsi="Arial" w:cs="Arial"/>
          <w:sz w:val="20"/>
        </w:rPr>
        <w:t xml:space="preserve"> on 4 or more preferred agents; </w:t>
      </w:r>
    </w:p>
    <w:p w14:paraId="133EFAEE" w14:textId="77777777" w:rsidR="00A5190E" w:rsidRPr="008F2DDE" w:rsidRDefault="00A5190E" w:rsidP="00A5190E">
      <w:pPr>
        <w:numPr>
          <w:ilvl w:val="2"/>
          <w:numId w:val="17"/>
        </w:numPr>
        <w:tabs>
          <w:tab w:val="left" w:pos="1080"/>
        </w:tabs>
        <w:rPr>
          <w:rFonts w:cs="Arial"/>
        </w:rPr>
      </w:pPr>
      <w:r w:rsidRPr="008F2DDE">
        <w:rPr>
          <w:rFonts w:cs="Arial"/>
          <w:noProof/>
        </w:rPr>
        <w:t>Documented</w:t>
      </w:r>
      <w:r w:rsidRPr="008F2DDE">
        <w:rPr>
          <w:rFonts w:cs="Arial"/>
        </w:rPr>
        <w:t xml:space="preserve"> trial period for preferred agents; </w:t>
      </w:r>
      <w:r w:rsidRPr="008F2DDE">
        <w:rPr>
          <w:rFonts w:cs="Arial"/>
          <w:b/>
        </w:rPr>
        <w:t>OR</w:t>
      </w:r>
    </w:p>
    <w:p w14:paraId="722D3A80" w14:textId="77777777" w:rsidR="00A5190E" w:rsidRPr="008F2DDE" w:rsidRDefault="00A5190E" w:rsidP="00A5190E">
      <w:pPr>
        <w:numPr>
          <w:ilvl w:val="2"/>
          <w:numId w:val="17"/>
        </w:numPr>
        <w:tabs>
          <w:tab w:val="left" w:pos="1080"/>
        </w:tabs>
        <w:rPr>
          <w:rFonts w:cs="Arial"/>
        </w:rPr>
      </w:pPr>
      <w:r w:rsidRPr="008F2DDE">
        <w:rPr>
          <w:rFonts w:cs="Arial"/>
        </w:rPr>
        <w:t>Documented ADE/ADR to preferred agents.</w:t>
      </w:r>
    </w:p>
    <w:p w14:paraId="4C2A29A0" w14:textId="77777777" w:rsidR="00A5190E" w:rsidRPr="008F2DDE" w:rsidRDefault="00A5190E" w:rsidP="00A5190E">
      <w:pPr>
        <w:pStyle w:val="ListBullet2"/>
        <w:numPr>
          <w:ilvl w:val="0"/>
          <w:numId w:val="17"/>
        </w:numPr>
        <w:rPr>
          <w:rFonts w:ascii="Arial" w:hAnsi="Arial" w:cs="Arial"/>
          <w:sz w:val="20"/>
        </w:rPr>
      </w:pPr>
      <w:r w:rsidRPr="008F2DDE">
        <w:rPr>
          <w:rFonts w:ascii="Arial" w:hAnsi="Arial" w:cs="Arial"/>
          <w:sz w:val="20"/>
        </w:rPr>
        <w:t>Additional approval criteria for diclofenac epolamine 1.3% patch:</w:t>
      </w:r>
    </w:p>
    <w:p w14:paraId="088BB2F9" w14:textId="77777777" w:rsidR="00A5190E" w:rsidRPr="008F2DDE" w:rsidRDefault="00A5190E" w:rsidP="00A5190E">
      <w:pPr>
        <w:pStyle w:val="ListBullet2"/>
        <w:numPr>
          <w:ilvl w:val="1"/>
          <w:numId w:val="17"/>
        </w:numPr>
        <w:rPr>
          <w:rFonts w:ascii="Arial" w:hAnsi="Arial" w:cs="Arial"/>
          <w:sz w:val="20"/>
        </w:rPr>
      </w:pPr>
      <w:r w:rsidRPr="008F2DDE">
        <w:rPr>
          <w:rFonts w:ascii="Arial" w:hAnsi="Arial" w:cs="Arial"/>
          <w:sz w:val="20"/>
        </w:rPr>
        <w:t xml:space="preserve">Failure to achieve desired therapeutic outcomes with a </w:t>
      </w:r>
      <w:r w:rsidRPr="008F2DDE">
        <w:rPr>
          <w:rFonts w:ascii="Arial" w:hAnsi="Arial" w:cs="Arial"/>
          <w:noProof/>
          <w:sz w:val="20"/>
        </w:rPr>
        <w:t>trial</w:t>
      </w:r>
      <w:r w:rsidRPr="008F2DDE">
        <w:rPr>
          <w:rFonts w:ascii="Arial" w:hAnsi="Arial" w:cs="Arial"/>
          <w:sz w:val="20"/>
        </w:rPr>
        <w:t xml:space="preserve"> on 2 or more preferred oral agents; </w:t>
      </w:r>
    </w:p>
    <w:p w14:paraId="725DB7BF" w14:textId="77777777" w:rsidR="00A5190E" w:rsidRPr="008F2DDE" w:rsidRDefault="00A5190E" w:rsidP="00A5190E">
      <w:pPr>
        <w:pStyle w:val="ListParagraph"/>
        <w:numPr>
          <w:ilvl w:val="2"/>
          <w:numId w:val="17"/>
        </w:numPr>
        <w:tabs>
          <w:tab w:val="left" w:pos="1530"/>
        </w:tabs>
        <w:rPr>
          <w:rFonts w:cs="Arial"/>
        </w:rPr>
      </w:pPr>
      <w:r w:rsidRPr="008F2DDE">
        <w:rPr>
          <w:rFonts w:cs="Arial"/>
          <w:noProof/>
        </w:rPr>
        <w:t>Documented</w:t>
      </w:r>
      <w:r w:rsidRPr="008F2DDE">
        <w:rPr>
          <w:rFonts w:cs="Arial"/>
        </w:rPr>
        <w:t xml:space="preserve"> trial period for preferred agents; </w:t>
      </w:r>
      <w:r w:rsidRPr="008F2DDE">
        <w:rPr>
          <w:rFonts w:cs="Arial"/>
          <w:b/>
        </w:rPr>
        <w:t>OR</w:t>
      </w:r>
    </w:p>
    <w:p w14:paraId="105F0A8F" w14:textId="77777777" w:rsidR="00A5190E" w:rsidRPr="008F2DDE" w:rsidRDefault="00A5190E" w:rsidP="00A5190E">
      <w:pPr>
        <w:pStyle w:val="ListParagraph"/>
        <w:numPr>
          <w:ilvl w:val="2"/>
          <w:numId w:val="17"/>
        </w:numPr>
        <w:tabs>
          <w:tab w:val="left" w:pos="1530"/>
        </w:tabs>
        <w:rPr>
          <w:rFonts w:cs="Arial"/>
        </w:rPr>
      </w:pPr>
      <w:r w:rsidRPr="008F2DDE">
        <w:rPr>
          <w:rFonts w:cs="Arial"/>
        </w:rPr>
        <w:t>Documented ADE/ADR to preferred agents (gastrointestinal effects, high risk for congestive heart failure, renal failure, concomitant use of lithium).</w:t>
      </w:r>
    </w:p>
    <w:p w14:paraId="2924C048" w14:textId="77777777" w:rsidR="00A5190E" w:rsidRPr="008F2DDE" w:rsidRDefault="00A5190E" w:rsidP="00A5190E">
      <w:pPr>
        <w:pStyle w:val="ListParagraph"/>
        <w:numPr>
          <w:ilvl w:val="0"/>
          <w:numId w:val="17"/>
        </w:numPr>
        <w:rPr>
          <w:rFonts w:cs="Arial"/>
        </w:rPr>
      </w:pPr>
      <w:r w:rsidRPr="008F2DDE">
        <w:rPr>
          <w:rFonts w:cs="Arial"/>
        </w:rPr>
        <w:lastRenderedPageBreak/>
        <w:t xml:space="preserve">Additional approval criteria for diclofenac sodium solution: </w:t>
      </w:r>
    </w:p>
    <w:p w14:paraId="01F143B5" w14:textId="77777777" w:rsidR="00A5190E" w:rsidRPr="008F2DDE" w:rsidRDefault="00A5190E" w:rsidP="00A5190E">
      <w:pPr>
        <w:pStyle w:val="ListParagraph"/>
        <w:numPr>
          <w:ilvl w:val="1"/>
          <w:numId w:val="17"/>
        </w:numPr>
        <w:rPr>
          <w:rFonts w:cs="Arial"/>
        </w:rPr>
      </w:pPr>
      <w:r w:rsidRPr="008F2DDE">
        <w:rPr>
          <w:rFonts w:cs="Arial"/>
        </w:rPr>
        <w:t>Documented diagnosis of osteoarthritis of knee.</w:t>
      </w:r>
    </w:p>
    <w:p w14:paraId="1FBF170D" w14:textId="77777777" w:rsidR="00A5190E" w:rsidRPr="008F2DDE" w:rsidRDefault="00A5190E" w:rsidP="00A5190E">
      <w:pPr>
        <w:pStyle w:val="ListParagraph"/>
        <w:numPr>
          <w:ilvl w:val="0"/>
          <w:numId w:val="17"/>
        </w:numPr>
        <w:rPr>
          <w:rFonts w:cs="Arial"/>
        </w:rPr>
      </w:pPr>
      <w:r w:rsidRPr="008F2DDE">
        <w:rPr>
          <w:rFonts w:cs="Arial"/>
        </w:rPr>
        <w:t xml:space="preserve">Additional approval criteria for Elyxyb: </w:t>
      </w:r>
    </w:p>
    <w:p w14:paraId="00E40C38" w14:textId="77777777" w:rsidR="00A5190E" w:rsidRPr="008F2DDE" w:rsidRDefault="00A5190E" w:rsidP="00A5190E">
      <w:pPr>
        <w:pStyle w:val="ListParagraph"/>
        <w:numPr>
          <w:ilvl w:val="1"/>
          <w:numId w:val="17"/>
        </w:numPr>
        <w:rPr>
          <w:rFonts w:cs="Arial"/>
        </w:rPr>
      </w:pPr>
      <w:r w:rsidRPr="008F2DDE">
        <w:rPr>
          <w:rFonts w:cs="Arial"/>
        </w:rPr>
        <w:t>Clinical Consultant Review for medical necessity.</w:t>
      </w:r>
    </w:p>
    <w:p w14:paraId="47B57731" w14:textId="77777777" w:rsidR="00A5190E" w:rsidRPr="008F2DDE" w:rsidRDefault="00A5190E" w:rsidP="00A5190E">
      <w:pPr>
        <w:pStyle w:val="ListParagraph"/>
        <w:numPr>
          <w:ilvl w:val="0"/>
          <w:numId w:val="17"/>
        </w:numPr>
        <w:rPr>
          <w:rFonts w:cs="Arial"/>
        </w:rPr>
      </w:pPr>
      <w:r w:rsidRPr="008F2DDE">
        <w:rPr>
          <w:rFonts w:cs="Arial"/>
        </w:rPr>
        <w:t xml:space="preserve">Additional approval criteria for Vimovo: </w:t>
      </w:r>
    </w:p>
    <w:p w14:paraId="17AA6B25" w14:textId="77777777" w:rsidR="00A5190E" w:rsidRPr="008F2DDE" w:rsidRDefault="00A5190E" w:rsidP="00A5190E">
      <w:pPr>
        <w:pStyle w:val="ListParagraph"/>
        <w:numPr>
          <w:ilvl w:val="1"/>
          <w:numId w:val="17"/>
        </w:numPr>
        <w:rPr>
          <w:rFonts w:cs="Arial"/>
        </w:rPr>
      </w:pPr>
      <w:r w:rsidRPr="008F2DDE">
        <w:rPr>
          <w:rFonts w:cs="Arial"/>
        </w:rPr>
        <w:t>Documented compliance on naproxen and omeprazole single agents (30/180 days).</w:t>
      </w:r>
    </w:p>
    <w:p w14:paraId="7FDD2F4C" w14:textId="77777777" w:rsidR="00A5190E" w:rsidRPr="003144D3" w:rsidRDefault="00A5190E" w:rsidP="00A5190E">
      <w:pPr>
        <w:numPr>
          <w:ilvl w:val="0"/>
          <w:numId w:val="17"/>
        </w:numPr>
        <w:rPr>
          <w:rFonts w:cs="Arial"/>
          <w:szCs w:val="20"/>
        </w:rPr>
      </w:pPr>
      <w:r w:rsidRPr="003144D3">
        <w:rPr>
          <w:rFonts w:cs="Arial"/>
          <w:szCs w:val="20"/>
        </w:rPr>
        <w:t>Additional approval criteria for diclofenac potassium capsule (generic Zipsor):</w:t>
      </w:r>
    </w:p>
    <w:p w14:paraId="636C740A" w14:textId="77777777" w:rsidR="00A5190E" w:rsidRDefault="00A5190E" w:rsidP="00A5190E">
      <w:pPr>
        <w:numPr>
          <w:ilvl w:val="1"/>
          <w:numId w:val="17"/>
        </w:numPr>
        <w:rPr>
          <w:rFonts w:cs="Arial"/>
          <w:szCs w:val="20"/>
        </w:rPr>
      </w:pPr>
      <w:r>
        <w:rPr>
          <w:rFonts w:cs="Arial"/>
          <w:szCs w:val="20"/>
        </w:rPr>
        <w:t>Clinical Consultant Review for reason why diclofenac sodium cannot be utilized.</w:t>
      </w:r>
    </w:p>
    <w:p w14:paraId="52AC802B" w14:textId="56D6F311" w:rsidR="00A5190E" w:rsidRPr="00A5190E" w:rsidRDefault="00A5190E" w:rsidP="00A5190E">
      <w:pPr>
        <w:numPr>
          <w:ilvl w:val="0"/>
          <w:numId w:val="17"/>
        </w:numPr>
        <w:rPr>
          <w:rFonts w:cs="Arial"/>
          <w:szCs w:val="20"/>
        </w:rPr>
      </w:pPr>
      <w:r w:rsidRPr="00A5190E">
        <w:rPr>
          <w:rFonts w:cs="Arial"/>
          <w:szCs w:val="20"/>
        </w:rPr>
        <w:t xml:space="preserve">Additional approval criteria for Dolobid 250 </w:t>
      </w:r>
      <w:r w:rsidR="00B025AF" w:rsidRPr="00B025AF">
        <w:rPr>
          <w:rFonts w:cs="Arial"/>
          <w:b/>
          <w:bCs/>
          <w:color w:val="1F497D" w:themeColor="text2"/>
          <w:szCs w:val="20"/>
        </w:rPr>
        <w:t>and 375</w:t>
      </w:r>
      <w:r w:rsidR="00B025AF" w:rsidRPr="00B025AF">
        <w:rPr>
          <w:rFonts w:cs="Arial"/>
          <w:color w:val="1F497D" w:themeColor="text2"/>
          <w:szCs w:val="20"/>
        </w:rPr>
        <w:t xml:space="preserve"> </w:t>
      </w:r>
      <w:r w:rsidRPr="00A5190E">
        <w:rPr>
          <w:rFonts w:cs="Arial"/>
          <w:szCs w:val="20"/>
        </w:rPr>
        <w:t>mg tablets:</w:t>
      </w:r>
    </w:p>
    <w:p w14:paraId="24169DBB" w14:textId="1B84DF34" w:rsidR="001A7390" w:rsidRPr="00E32787" w:rsidRDefault="00A5190E" w:rsidP="00E32787">
      <w:pPr>
        <w:numPr>
          <w:ilvl w:val="1"/>
          <w:numId w:val="17"/>
        </w:numPr>
        <w:rPr>
          <w:rFonts w:cs="Arial"/>
          <w:szCs w:val="20"/>
        </w:rPr>
      </w:pPr>
      <w:r w:rsidRPr="00A5190E">
        <w:rPr>
          <w:rFonts w:cs="Arial"/>
          <w:szCs w:val="20"/>
        </w:rPr>
        <w:t>Clinical Consultant Review for reason why diflunisal 500 mg tablets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34DD01B8" w14:textId="77777777" w:rsidR="00904D7A" w:rsidRPr="005328B2" w:rsidRDefault="00904D7A" w:rsidP="00C722C9">
      <w:pPr>
        <w:pStyle w:val="ListParagraph"/>
        <w:numPr>
          <w:ilvl w:val="1"/>
          <w:numId w:val="6"/>
        </w:numPr>
      </w:pPr>
      <w:r w:rsidRPr="005328B2">
        <w:t>Any approval criteria are not met;</w:t>
      </w:r>
      <w:r>
        <w:t xml:space="preserve"> </w:t>
      </w:r>
      <w:r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0" w:type="auto"/>
        <w:tblLook w:val="0620" w:firstRow="1" w:lastRow="0" w:firstColumn="0" w:lastColumn="0" w:noHBand="1" w:noVBand="1"/>
      </w:tblPr>
      <w:tblGrid>
        <w:gridCol w:w="3417"/>
        <w:gridCol w:w="3418"/>
        <w:gridCol w:w="2515"/>
      </w:tblGrid>
      <w:tr w:rsidR="00904D7A" w:rsidRPr="00C02553" w14:paraId="1F6DE132" w14:textId="77777777" w:rsidTr="00493594">
        <w:trPr>
          <w:trHeight w:val="276"/>
        </w:trPr>
        <w:tc>
          <w:tcPr>
            <w:tcW w:w="3417"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418"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515" w:type="dxa"/>
            <w:shd w:val="clear" w:color="auto" w:fill="FABF8F"/>
          </w:tcPr>
          <w:p w14:paraId="17F14EEF" w14:textId="77777777" w:rsidR="00904D7A" w:rsidRPr="00C02553" w:rsidRDefault="00904D7A" w:rsidP="00493594">
            <w:pPr>
              <w:jc w:val="center"/>
              <w:rPr>
                <w:rFonts w:cs="Arial"/>
                <w:b/>
                <w:bCs/>
                <w:szCs w:val="20"/>
              </w:rPr>
            </w:pPr>
            <w:r w:rsidRPr="00C02553">
              <w:rPr>
                <w:rFonts w:cs="Arial"/>
                <w:b/>
                <w:bCs/>
                <w:szCs w:val="20"/>
              </w:rPr>
              <w:t>Max Dosing Limitation</w:t>
            </w:r>
          </w:p>
        </w:tc>
      </w:tr>
      <w:tr w:rsidR="00D972DF" w:rsidRPr="00C02553" w14:paraId="05C5E883" w14:textId="77777777" w:rsidTr="00685544">
        <w:trPr>
          <w:trHeight w:val="276"/>
        </w:trPr>
        <w:tc>
          <w:tcPr>
            <w:tcW w:w="3417" w:type="dxa"/>
            <w:vAlign w:val="center"/>
          </w:tcPr>
          <w:p w14:paraId="556501BF" w14:textId="0F193712" w:rsidR="00D972DF" w:rsidRPr="00F730BA" w:rsidRDefault="00D972DF" w:rsidP="00D972DF">
            <w:pPr>
              <w:rPr>
                <w:rFonts w:cs="Arial"/>
                <w:szCs w:val="20"/>
              </w:rPr>
            </w:pPr>
            <w:r w:rsidRPr="00F35C1A">
              <w:rPr>
                <w:rFonts w:cs="Arial"/>
                <w:caps/>
                <w:szCs w:val="20"/>
              </w:rPr>
              <w:t>Celebrex 50 mg cap</w:t>
            </w:r>
          </w:p>
        </w:tc>
        <w:tc>
          <w:tcPr>
            <w:tcW w:w="3418" w:type="dxa"/>
            <w:vAlign w:val="center"/>
          </w:tcPr>
          <w:p w14:paraId="1F00DA46" w14:textId="3A5EA60E" w:rsidR="00D972DF" w:rsidRPr="00F730BA" w:rsidRDefault="00D972DF" w:rsidP="00D972DF">
            <w:pPr>
              <w:rPr>
                <w:rFonts w:cs="Arial"/>
                <w:caps/>
                <w:szCs w:val="20"/>
              </w:rPr>
            </w:pPr>
            <w:r w:rsidRPr="00F35C1A">
              <w:rPr>
                <w:rFonts w:cs="Arial"/>
                <w:caps/>
                <w:szCs w:val="20"/>
              </w:rPr>
              <w:t>Celecoxib</w:t>
            </w:r>
          </w:p>
        </w:tc>
        <w:tc>
          <w:tcPr>
            <w:tcW w:w="2515" w:type="dxa"/>
            <w:vAlign w:val="center"/>
          </w:tcPr>
          <w:p w14:paraId="7EC279C1" w14:textId="37F543EC" w:rsidR="00D972DF" w:rsidRPr="00F730BA" w:rsidRDefault="00D972DF" w:rsidP="00D972DF">
            <w:pPr>
              <w:rPr>
                <w:rFonts w:cs="Arial"/>
                <w:szCs w:val="20"/>
              </w:rPr>
            </w:pPr>
            <w:r w:rsidRPr="00F35C1A">
              <w:rPr>
                <w:rFonts w:cs="Arial"/>
                <w:szCs w:val="20"/>
              </w:rPr>
              <w:t>2 capsules per day</w:t>
            </w:r>
          </w:p>
        </w:tc>
      </w:tr>
      <w:tr w:rsidR="00D972DF" w:rsidRPr="00C02553" w14:paraId="2DA97194" w14:textId="77777777" w:rsidTr="00685544">
        <w:trPr>
          <w:trHeight w:val="276"/>
        </w:trPr>
        <w:tc>
          <w:tcPr>
            <w:tcW w:w="3417" w:type="dxa"/>
            <w:vAlign w:val="center"/>
          </w:tcPr>
          <w:p w14:paraId="0DED2D82" w14:textId="5876FA01" w:rsidR="00D972DF" w:rsidRPr="00F35C1A" w:rsidRDefault="00D972DF" w:rsidP="00D972DF">
            <w:pPr>
              <w:rPr>
                <w:rFonts w:cs="Arial"/>
                <w:caps/>
                <w:szCs w:val="20"/>
              </w:rPr>
            </w:pPr>
            <w:r w:rsidRPr="00F35C1A">
              <w:rPr>
                <w:rFonts w:cs="Arial"/>
                <w:caps/>
                <w:szCs w:val="20"/>
              </w:rPr>
              <w:t>Celebrex 100 mg cap</w:t>
            </w:r>
          </w:p>
        </w:tc>
        <w:tc>
          <w:tcPr>
            <w:tcW w:w="3418" w:type="dxa"/>
            <w:vAlign w:val="center"/>
          </w:tcPr>
          <w:p w14:paraId="5EF784B4" w14:textId="6761DDE4" w:rsidR="00D972DF" w:rsidRPr="00F35C1A" w:rsidRDefault="00D972DF" w:rsidP="00D972DF">
            <w:pPr>
              <w:rPr>
                <w:rFonts w:cs="Arial"/>
                <w:caps/>
                <w:szCs w:val="20"/>
              </w:rPr>
            </w:pPr>
            <w:r w:rsidRPr="00F35C1A">
              <w:rPr>
                <w:rFonts w:cs="Arial"/>
                <w:caps/>
                <w:szCs w:val="20"/>
              </w:rPr>
              <w:t>Celecoxib</w:t>
            </w:r>
          </w:p>
        </w:tc>
        <w:tc>
          <w:tcPr>
            <w:tcW w:w="2515" w:type="dxa"/>
            <w:vAlign w:val="center"/>
          </w:tcPr>
          <w:p w14:paraId="58AADB3C" w14:textId="308A5264" w:rsidR="00D972DF" w:rsidRPr="00F35C1A" w:rsidRDefault="00D972DF" w:rsidP="00D972DF">
            <w:pPr>
              <w:rPr>
                <w:rFonts w:cs="Arial"/>
                <w:szCs w:val="20"/>
              </w:rPr>
            </w:pPr>
            <w:r w:rsidRPr="00F35C1A">
              <w:rPr>
                <w:rFonts w:cs="Arial"/>
                <w:szCs w:val="20"/>
              </w:rPr>
              <w:t>2 capsules per day</w:t>
            </w:r>
          </w:p>
        </w:tc>
      </w:tr>
      <w:tr w:rsidR="00D972DF" w:rsidRPr="00C02553" w14:paraId="37E82FCB" w14:textId="77777777" w:rsidTr="00685544">
        <w:trPr>
          <w:trHeight w:val="276"/>
        </w:trPr>
        <w:tc>
          <w:tcPr>
            <w:tcW w:w="3417" w:type="dxa"/>
            <w:vAlign w:val="center"/>
          </w:tcPr>
          <w:p w14:paraId="1AF284A1" w14:textId="617E4999" w:rsidR="00D972DF" w:rsidRPr="00F35C1A" w:rsidRDefault="00D972DF" w:rsidP="00D972DF">
            <w:pPr>
              <w:rPr>
                <w:rFonts w:cs="Arial"/>
                <w:caps/>
                <w:szCs w:val="20"/>
              </w:rPr>
            </w:pPr>
            <w:r w:rsidRPr="00F35C1A">
              <w:rPr>
                <w:rFonts w:cs="Arial"/>
                <w:caps/>
                <w:szCs w:val="20"/>
              </w:rPr>
              <w:t>Celebrex 200 mg cap</w:t>
            </w:r>
          </w:p>
        </w:tc>
        <w:tc>
          <w:tcPr>
            <w:tcW w:w="3418" w:type="dxa"/>
            <w:vAlign w:val="center"/>
          </w:tcPr>
          <w:p w14:paraId="64D6C74A" w14:textId="44DA5E07" w:rsidR="00D972DF" w:rsidRPr="00F35C1A" w:rsidRDefault="00D972DF" w:rsidP="00D972DF">
            <w:pPr>
              <w:rPr>
                <w:rFonts w:cs="Arial"/>
                <w:caps/>
                <w:szCs w:val="20"/>
              </w:rPr>
            </w:pPr>
            <w:r w:rsidRPr="00F35C1A">
              <w:rPr>
                <w:rFonts w:cs="Arial"/>
                <w:caps/>
                <w:szCs w:val="20"/>
              </w:rPr>
              <w:t>Celecoxib</w:t>
            </w:r>
          </w:p>
        </w:tc>
        <w:tc>
          <w:tcPr>
            <w:tcW w:w="2515" w:type="dxa"/>
            <w:vAlign w:val="center"/>
          </w:tcPr>
          <w:p w14:paraId="1EA84192" w14:textId="08561E85" w:rsidR="00D972DF" w:rsidRPr="00F35C1A" w:rsidRDefault="00D972DF" w:rsidP="00D972DF">
            <w:pPr>
              <w:rPr>
                <w:rFonts w:cs="Arial"/>
                <w:szCs w:val="20"/>
              </w:rPr>
            </w:pPr>
            <w:r w:rsidRPr="00F35C1A">
              <w:rPr>
                <w:rFonts w:cs="Arial"/>
                <w:szCs w:val="20"/>
              </w:rPr>
              <w:t>2 capsules per day</w:t>
            </w:r>
          </w:p>
        </w:tc>
      </w:tr>
      <w:tr w:rsidR="00D972DF" w:rsidRPr="00C02553" w14:paraId="7543BE34" w14:textId="77777777" w:rsidTr="00685544">
        <w:trPr>
          <w:trHeight w:val="276"/>
        </w:trPr>
        <w:tc>
          <w:tcPr>
            <w:tcW w:w="3417" w:type="dxa"/>
            <w:vAlign w:val="center"/>
          </w:tcPr>
          <w:p w14:paraId="3EDE4FE0" w14:textId="42E4BC0A" w:rsidR="00D972DF" w:rsidRPr="00F35C1A" w:rsidRDefault="00D972DF" w:rsidP="00D972DF">
            <w:pPr>
              <w:rPr>
                <w:rFonts w:cs="Arial"/>
                <w:caps/>
                <w:szCs w:val="20"/>
              </w:rPr>
            </w:pPr>
            <w:r w:rsidRPr="00F35C1A">
              <w:rPr>
                <w:rFonts w:cs="Arial"/>
                <w:caps/>
                <w:szCs w:val="20"/>
              </w:rPr>
              <w:t>Celebrex 400 mg cap</w:t>
            </w:r>
          </w:p>
        </w:tc>
        <w:tc>
          <w:tcPr>
            <w:tcW w:w="3418" w:type="dxa"/>
            <w:vAlign w:val="center"/>
          </w:tcPr>
          <w:p w14:paraId="71AB0CFA" w14:textId="5C0E9BE1" w:rsidR="00D972DF" w:rsidRPr="00F35C1A" w:rsidRDefault="00D972DF" w:rsidP="00D972DF">
            <w:pPr>
              <w:rPr>
                <w:rFonts w:cs="Arial"/>
                <w:caps/>
                <w:szCs w:val="20"/>
              </w:rPr>
            </w:pPr>
            <w:r w:rsidRPr="00F35C1A">
              <w:rPr>
                <w:rFonts w:cs="Arial"/>
                <w:caps/>
                <w:szCs w:val="20"/>
              </w:rPr>
              <w:t>Celecoxib</w:t>
            </w:r>
          </w:p>
        </w:tc>
        <w:tc>
          <w:tcPr>
            <w:tcW w:w="2515" w:type="dxa"/>
            <w:vAlign w:val="center"/>
          </w:tcPr>
          <w:p w14:paraId="4A1DD366" w14:textId="377EF52F" w:rsidR="00D972DF" w:rsidRPr="00F35C1A" w:rsidRDefault="00D972DF" w:rsidP="00D972DF">
            <w:pPr>
              <w:rPr>
                <w:rFonts w:cs="Arial"/>
                <w:szCs w:val="20"/>
              </w:rPr>
            </w:pPr>
            <w:r w:rsidRPr="00F35C1A">
              <w:rPr>
                <w:rFonts w:cs="Arial"/>
                <w:szCs w:val="20"/>
              </w:rPr>
              <w:t>1 capsule per day</w:t>
            </w:r>
          </w:p>
        </w:tc>
      </w:tr>
      <w:tr w:rsidR="00D972DF" w:rsidRPr="00C02553" w14:paraId="31C9579B" w14:textId="77777777" w:rsidTr="00685544">
        <w:trPr>
          <w:trHeight w:val="276"/>
        </w:trPr>
        <w:tc>
          <w:tcPr>
            <w:tcW w:w="3417" w:type="dxa"/>
            <w:vAlign w:val="center"/>
          </w:tcPr>
          <w:p w14:paraId="568C8E13" w14:textId="14329347" w:rsidR="00D972DF" w:rsidRPr="00F35C1A" w:rsidRDefault="00D972DF" w:rsidP="00D972DF">
            <w:pPr>
              <w:rPr>
                <w:rFonts w:cs="Arial"/>
                <w:caps/>
                <w:szCs w:val="20"/>
              </w:rPr>
            </w:pPr>
            <w:r>
              <w:rPr>
                <w:rFonts w:cs="Arial"/>
                <w:caps/>
                <w:szCs w:val="20"/>
              </w:rPr>
              <w:t>DiCLOFENAC 1</w:t>
            </w:r>
            <w:r w:rsidRPr="00E42771">
              <w:rPr>
                <w:rFonts w:cs="Arial"/>
                <w:caps/>
                <w:szCs w:val="20"/>
              </w:rPr>
              <w:t>.3% Patch</w:t>
            </w:r>
          </w:p>
        </w:tc>
        <w:tc>
          <w:tcPr>
            <w:tcW w:w="3418" w:type="dxa"/>
            <w:vAlign w:val="center"/>
          </w:tcPr>
          <w:p w14:paraId="69334D29" w14:textId="7348C695" w:rsidR="00D972DF" w:rsidRPr="00F35C1A" w:rsidRDefault="00D972DF" w:rsidP="00D972DF">
            <w:pPr>
              <w:rPr>
                <w:rFonts w:cs="Arial"/>
                <w:caps/>
                <w:szCs w:val="20"/>
              </w:rPr>
            </w:pPr>
            <w:r w:rsidRPr="00E42771">
              <w:rPr>
                <w:rFonts w:cs="Arial"/>
                <w:caps/>
                <w:szCs w:val="20"/>
              </w:rPr>
              <w:t>Diclofenac Epolamine</w:t>
            </w:r>
          </w:p>
        </w:tc>
        <w:tc>
          <w:tcPr>
            <w:tcW w:w="2515" w:type="dxa"/>
            <w:vAlign w:val="center"/>
          </w:tcPr>
          <w:p w14:paraId="70240B10" w14:textId="49F74062" w:rsidR="00D972DF" w:rsidRPr="00F35C1A" w:rsidRDefault="00D972DF" w:rsidP="00D972DF">
            <w:pPr>
              <w:rPr>
                <w:rFonts w:cs="Arial"/>
                <w:szCs w:val="20"/>
              </w:rPr>
            </w:pPr>
            <w:r w:rsidRPr="00E42771">
              <w:rPr>
                <w:rFonts w:cs="Arial"/>
                <w:szCs w:val="20"/>
              </w:rPr>
              <w:t>2 patches per day</w:t>
            </w:r>
          </w:p>
        </w:tc>
      </w:tr>
      <w:tr w:rsidR="00D972DF" w:rsidRPr="00C02553" w14:paraId="5BAE0988" w14:textId="77777777" w:rsidTr="00685544">
        <w:trPr>
          <w:trHeight w:val="276"/>
        </w:trPr>
        <w:tc>
          <w:tcPr>
            <w:tcW w:w="3417" w:type="dxa"/>
            <w:vAlign w:val="center"/>
          </w:tcPr>
          <w:p w14:paraId="42F819B4" w14:textId="3EB08A10" w:rsidR="00D972DF" w:rsidRDefault="00D972DF" w:rsidP="00D972DF">
            <w:pPr>
              <w:rPr>
                <w:rFonts w:cs="Arial"/>
                <w:caps/>
                <w:szCs w:val="20"/>
              </w:rPr>
            </w:pPr>
            <w:r w:rsidRPr="00E42771">
              <w:rPr>
                <w:rFonts w:cs="Arial"/>
                <w:caps/>
                <w:szCs w:val="20"/>
              </w:rPr>
              <w:t>Relafen 500 mg</w:t>
            </w:r>
            <w:r>
              <w:rPr>
                <w:rFonts w:cs="Arial"/>
                <w:caps/>
                <w:szCs w:val="20"/>
              </w:rPr>
              <w:t xml:space="preserve"> tab</w:t>
            </w:r>
          </w:p>
        </w:tc>
        <w:tc>
          <w:tcPr>
            <w:tcW w:w="3418" w:type="dxa"/>
            <w:vAlign w:val="center"/>
          </w:tcPr>
          <w:p w14:paraId="42FED57F" w14:textId="15AD519F" w:rsidR="00D972DF" w:rsidRPr="00E42771" w:rsidRDefault="00D972DF" w:rsidP="00D972DF">
            <w:pPr>
              <w:rPr>
                <w:rFonts w:cs="Arial"/>
                <w:caps/>
                <w:szCs w:val="20"/>
              </w:rPr>
            </w:pPr>
            <w:r w:rsidRPr="00E42771">
              <w:rPr>
                <w:rFonts w:cs="Arial"/>
                <w:caps/>
                <w:szCs w:val="20"/>
              </w:rPr>
              <w:t>Nabumetone</w:t>
            </w:r>
          </w:p>
        </w:tc>
        <w:tc>
          <w:tcPr>
            <w:tcW w:w="2515" w:type="dxa"/>
            <w:vAlign w:val="center"/>
          </w:tcPr>
          <w:p w14:paraId="45515170" w14:textId="3520F104" w:rsidR="00D972DF" w:rsidRPr="00E42771" w:rsidRDefault="00D972DF" w:rsidP="00D972DF">
            <w:pPr>
              <w:rPr>
                <w:rFonts w:cs="Arial"/>
                <w:szCs w:val="20"/>
              </w:rPr>
            </w:pPr>
            <w:r w:rsidRPr="00E42771">
              <w:rPr>
                <w:rFonts w:cs="Arial"/>
                <w:szCs w:val="20"/>
              </w:rPr>
              <w:t>4 tablets per day</w:t>
            </w:r>
          </w:p>
        </w:tc>
      </w:tr>
      <w:tr w:rsidR="00D972DF" w:rsidRPr="00C02553" w14:paraId="28E0FDB8" w14:textId="77777777" w:rsidTr="00685544">
        <w:trPr>
          <w:trHeight w:val="276"/>
        </w:trPr>
        <w:tc>
          <w:tcPr>
            <w:tcW w:w="3417" w:type="dxa"/>
            <w:vAlign w:val="center"/>
          </w:tcPr>
          <w:p w14:paraId="039C12A3" w14:textId="5A723D8E" w:rsidR="00D972DF" w:rsidRPr="00E42771" w:rsidRDefault="00D972DF" w:rsidP="00D972DF">
            <w:pPr>
              <w:rPr>
                <w:rFonts w:cs="Arial"/>
                <w:caps/>
                <w:szCs w:val="20"/>
              </w:rPr>
            </w:pPr>
            <w:r w:rsidRPr="00E42771">
              <w:rPr>
                <w:rFonts w:cs="Arial"/>
                <w:caps/>
                <w:szCs w:val="20"/>
              </w:rPr>
              <w:t>Relafen 750 mg</w:t>
            </w:r>
            <w:r>
              <w:rPr>
                <w:rFonts w:cs="Arial"/>
                <w:caps/>
                <w:szCs w:val="20"/>
              </w:rPr>
              <w:t xml:space="preserve"> tab</w:t>
            </w:r>
          </w:p>
        </w:tc>
        <w:tc>
          <w:tcPr>
            <w:tcW w:w="3418" w:type="dxa"/>
            <w:vAlign w:val="center"/>
          </w:tcPr>
          <w:p w14:paraId="1583A081" w14:textId="6BB055E3" w:rsidR="00D972DF" w:rsidRPr="00E42771" w:rsidRDefault="00D972DF" w:rsidP="00D972DF">
            <w:pPr>
              <w:rPr>
                <w:rFonts w:cs="Arial"/>
                <w:caps/>
                <w:szCs w:val="20"/>
              </w:rPr>
            </w:pPr>
            <w:r w:rsidRPr="00E42771">
              <w:rPr>
                <w:rFonts w:cs="Arial"/>
                <w:caps/>
                <w:szCs w:val="20"/>
              </w:rPr>
              <w:t>Nabumetone</w:t>
            </w:r>
          </w:p>
        </w:tc>
        <w:tc>
          <w:tcPr>
            <w:tcW w:w="2515" w:type="dxa"/>
            <w:vAlign w:val="center"/>
          </w:tcPr>
          <w:p w14:paraId="75B12B8F" w14:textId="66DBD57B" w:rsidR="00D972DF" w:rsidRPr="00E42771" w:rsidRDefault="00D972DF" w:rsidP="00D972DF">
            <w:pPr>
              <w:rPr>
                <w:rFonts w:cs="Arial"/>
                <w:szCs w:val="20"/>
              </w:rPr>
            </w:pPr>
            <w:r w:rsidRPr="00E42771">
              <w:rPr>
                <w:rFonts w:cs="Arial"/>
                <w:szCs w:val="20"/>
              </w:rPr>
              <w:t>2 tablets per day</w:t>
            </w:r>
          </w:p>
        </w:tc>
      </w:tr>
      <w:tr w:rsidR="00D972DF" w:rsidRPr="00C02553" w14:paraId="0434A234" w14:textId="77777777" w:rsidTr="00685544">
        <w:trPr>
          <w:trHeight w:val="276"/>
        </w:trPr>
        <w:tc>
          <w:tcPr>
            <w:tcW w:w="3417" w:type="dxa"/>
            <w:vAlign w:val="center"/>
          </w:tcPr>
          <w:p w14:paraId="11B934CE" w14:textId="723F458E" w:rsidR="00D972DF" w:rsidRPr="00E42771" w:rsidRDefault="00D972DF" w:rsidP="00D972DF">
            <w:pPr>
              <w:rPr>
                <w:rFonts w:cs="Arial"/>
                <w:caps/>
                <w:szCs w:val="20"/>
              </w:rPr>
            </w:pPr>
            <w:r w:rsidRPr="00E42771">
              <w:rPr>
                <w:rFonts w:cs="Arial"/>
                <w:caps/>
                <w:szCs w:val="20"/>
              </w:rPr>
              <w:t>Relafen DS 1,000 mg</w:t>
            </w:r>
            <w:r>
              <w:rPr>
                <w:rFonts w:cs="Arial"/>
                <w:caps/>
                <w:szCs w:val="20"/>
              </w:rPr>
              <w:t xml:space="preserve"> tab</w:t>
            </w:r>
            <w:r w:rsidRPr="00E42771">
              <w:rPr>
                <w:rFonts w:cs="Arial"/>
                <w:caps/>
                <w:szCs w:val="20"/>
              </w:rPr>
              <w:t xml:space="preserve"> </w:t>
            </w:r>
          </w:p>
        </w:tc>
        <w:tc>
          <w:tcPr>
            <w:tcW w:w="3418" w:type="dxa"/>
            <w:vAlign w:val="center"/>
          </w:tcPr>
          <w:p w14:paraId="092B8BE5" w14:textId="005C6049" w:rsidR="00D972DF" w:rsidRPr="00E42771" w:rsidRDefault="00D972DF" w:rsidP="00D972DF">
            <w:pPr>
              <w:rPr>
                <w:rFonts w:cs="Arial"/>
                <w:caps/>
                <w:szCs w:val="20"/>
              </w:rPr>
            </w:pPr>
            <w:r w:rsidRPr="00E42771">
              <w:rPr>
                <w:rFonts w:cs="Arial"/>
                <w:caps/>
                <w:szCs w:val="20"/>
              </w:rPr>
              <w:t>Nabumetone</w:t>
            </w:r>
          </w:p>
        </w:tc>
        <w:tc>
          <w:tcPr>
            <w:tcW w:w="2515" w:type="dxa"/>
            <w:vAlign w:val="center"/>
          </w:tcPr>
          <w:p w14:paraId="66A2877D" w14:textId="72E68232" w:rsidR="00D972DF" w:rsidRPr="00E42771" w:rsidRDefault="00D972DF" w:rsidP="00D972DF">
            <w:pPr>
              <w:rPr>
                <w:rFonts w:cs="Arial"/>
                <w:szCs w:val="20"/>
              </w:rPr>
            </w:pPr>
            <w:r w:rsidRPr="00E42771">
              <w:rPr>
                <w:rFonts w:cs="Arial"/>
                <w:szCs w:val="20"/>
              </w:rPr>
              <w:t>2 tablets per day</w:t>
            </w:r>
          </w:p>
        </w:tc>
      </w:tr>
      <w:tr w:rsidR="00D972DF" w:rsidRPr="00C02553" w14:paraId="034EAA36" w14:textId="77777777" w:rsidTr="00685544">
        <w:trPr>
          <w:trHeight w:val="276"/>
        </w:trPr>
        <w:tc>
          <w:tcPr>
            <w:tcW w:w="3417" w:type="dxa"/>
            <w:vAlign w:val="center"/>
          </w:tcPr>
          <w:p w14:paraId="2ABCE509" w14:textId="7BE4824D" w:rsidR="00D972DF" w:rsidRPr="00E42771" w:rsidRDefault="00D972DF" w:rsidP="00D972DF">
            <w:pPr>
              <w:rPr>
                <w:rFonts w:cs="Arial"/>
                <w:caps/>
                <w:szCs w:val="20"/>
              </w:rPr>
            </w:pPr>
            <w:r w:rsidRPr="00E42771">
              <w:rPr>
                <w:rFonts w:cs="Arial"/>
                <w:caps/>
                <w:szCs w:val="20"/>
              </w:rPr>
              <w:t>Toradol 10</w:t>
            </w:r>
            <w:r>
              <w:rPr>
                <w:rFonts w:cs="Arial"/>
                <w:caps/>
                <w:szCs w:val="20"/>
              </w:rPr>
              <w:t xml:space="preserve"> </w:t>
            </w:r>
            <w:r w:rsidRPr="00E42771">
              <w:rPr>
                <w:rFonts w:cs="Arial"/>
                <w:caps/>
                <w:szCs w:val="20"/>
              </w:rPr>
              <w:t>mg tab</w:t>
            </w:r>
          </w:p>
        </w:tc>
        <w:tc>
          <w:tcPr>
            <w:tcW w:w="3418" w:type="dxa"/>
            <w:vAlign w:val="center"/>
          </w:tcPr>
          <w:p w14:paraId="2BAB4D42" w14:textId="0867B605" w:rsidR="00D972DF" w:rsidRPr="00E42771" w:rsidRDefault="00D972DF" w:rsidP="00D972DF">
            <w:pPr>
              <w:rPr>
                <w:rFonts w:cs="Arial"/>
                <w:caps/>
                <w:szCs w:val="20"/>
              </w:rPr>
            </w:pPr>
            <w:r w:rsidRPr="00E42771">
              <w:rPr>
                <w:rFonts w:cs="Arial"/>
                <w:caps/>
                <w:szCs w:val="20"/>
              </w:rPr>
              <w:t>Ketorolac</w:t>
            </w:r>
          </w:p>
        </w:tc>
        <w:tc>
          <w:tcPr>
            <w:tcW w:w="2515" w:type="dxa"/>
            <w:vAlign w:val="center"/>
          </w:tcPr>
          <w:p w14:paraId="23F67199" w14:textId="77777777" w:rsidR="00C626DC" w:rsidRDefault="00D972DF" w:rsidP="00D972DF">
            <w:pPr>
              <w:rPr>
                <w:rFonts w:cs="Arial"/>
                <w:szCs w:val="20"/>
              </w:rPr>
            </w:pPr>
            <w:r w:rsidRPr="00C56272">
              <w:rPr>
                <w:rFonts w:cs="Arial"/>
                <w:szCs w:val="20"/>
              </w:rPr>
              <w:t>4 tablets per day AND</w:t>
            </w:r>
          </w:p>
          <w:p w14:paraId="65BF9F49" w14:textId="4CF31195" w:rsidR="00D972DF" w:rsidRPr="00E42771" w:rsidRDefault="00D972DF" w:rsidP="00D972DF">
            <w:pPr>
              <w:rPr>
                <w:rFonts w:cs="Arial"/>
                <w:szCs w:val="20"/>
              </w:rPr>
            </w:pPr>
            <w:r w:rsidRPr="00C56272">
              <w:rPr>
                <w:rFonts w:cs="Arial"/>
                <w:szCs w:val="20"/>
              </w:rPr>
              <w:t xml:space="preserve">20 </w:t>
            </w:r>
            <w:r w:rsidRPr="00E42771">
              <w:rPr>
                <w:rFonts w:cs="Arial"/>
                <w:szCs w:val="20"/>
              </w:rPr>
              <w:t>tablets per month</w:t>
            </w:r>
          </w:p>
        </w:tc>
      </w:tr>
      <w:tr w:rsidR="00D972DF" w:rsidRPr="00C02553" w14:paraId="3DBE8140" w14:textId="77777777" w:rsidTr="00685544">
        <w:trPr>
          <w:trHeight w:val="276"/>
        </w:trPr>
        <w:tc>
          <w:tcPr>
            <w:tcW w:w="3417" w:type="dxa"/>
            <w:vAlign w:val="center"/>
          </w:tcPr>
          <w:p w14:paraId="23175700" w14:textId="50715A87" w:rsidR="00D972DF" w:rsidRPr="00E42771" w:rsidRDefault="00D972DF" w:rsidP="00D972DF">
            <w:pPr>
              <w:rPr>
                <w:rFonts w:cs="Arial"/>
                <w:caps/>
                <w:szCs w:val="20"/>
              </w:rPr>
            </w:pPr>
            <w:r w:rsidRPr="00E42771">
              <w:rPr>
                <w:rFonts w:cs="Arial"/>
                <w:caps/>
                <w:szCs w:val="20"/>
              </w:rPr>
              <w:t>Voltaren 1% Gel</w:t>
            </w:r>
          </w:p>
        </w:tc>
        <w:tc>
          <w:tcPr>
            <w:tcW w:w="3418" w:type="dxa"/>
            <w:vAlign w:val="center"/>
          </w:tcPr>
          <w:p w14:paraId="517162A1" w14:textId="27AAC490" w:rsidR="00D972DF" w:rsidRPr="00E42771" w:rsidRDefault="00D972DF" w:rsidP="00D972DF">
            <w:pPr>
              <w:rPr>
                <w:rFonts w:cs="Arial"/>
                <w:caps/>
                <w:szCs w:val="20"/>
              </w:rPr>
            </w:pPr>
            <w:r w:rsidRPr="00E42771">
              <w:rPr>
                <w:rFonts w:cs="Arial"/>
                <w:caps/>
                <w:szCs w:val="20"/>
              </w:rPr>
              <w:t>Diclofenac Sodium</w:t>
            </w:r>
          </w:p>
        </w:tc>
        <w:tc>
          <w:tcPr>
            <w:tcW w:w="2515" w:type="dxa"/>
            <w:vAlign w:val="center"/>
          </w:tcPr>
          <w:p w14:paraId="05E1AD35" w14:textId="5D4381C8" w:rsidR="00D972DF" w:rsidRPr="00C56272" w:rsidRDefault="00D972DF" w:rsidP="00D972DF">
            <w:pPr>
              <w:rPr>
                <w:rFonts w:cs="Arial"/>
                <w:szCs w:val="20"/>
              </w:rPr>
            </w:pPr>
            <w:r w:rsidRPr="00E42771">
              <w:rPr>
                <w:rFonts w:cs="Arial"/>
                <w:szCs w:val="20"/>
              </w:rPr>
              <w:t>17 grams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6431F61F" w14:textId="77777777" w:rsidR="005A0E82" w:rsidRPr="00A8769C" w:rsidRDefault="00343D6B" w:rsidP="005A0E82">
      <w:pPr>
        <w:rPr>
          <w:rFonts w:cs="Arial"/>
          <w:szCs w:val="20"/>
        </w:rPr>
      </w:pPr>
      <w:r w:rsidRPr="00696E3A">
        <w:rPr>
          <w:b/>
          <w:bCs/>
        </w:rPr>
        <w:t>Default Approval Period:</w:t>
      </w:r>
      <w:r w:rsidR="00973BD6">
        <w:t xml:space="preserve"> </w:t>
      </w:r>
      <w:r w:rsidR="005A0E82" w:rsidRPr="00A8769C">
        <w:rPr>
          <w:rFonts w:cs="Arial"/>
          <w:szCs w:val="20"/>
        </w:rPr>
        <w:t>3 months</w:t>
      </w:r>
    </w:p>
    <w:p w14:paraId="5D43D3D3" w14:textId="6BBBF79F" w:rsidR="00343D6B" w:rsidRPr="00C02553" w:rsidRDefault="00343D6B" w:rsidP="00696E3A"/>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3112DFA0" w14:textId="77777777" w:rsidR="00667F30" w:rsidRPr="00266D12" w:rsidRDefault="00667F30" w:rsidP="00667F30">
      <w:pPr>
        <w:numPr>
          <w:ilvl w:val="0"/>
          <w:numId w:val="18"/>
        </w:numPr>
        <w:tabs>
          <w:tab w:val="clear" w:pos="533"/>
          <w:tab w:val="num" w:pos="630"/>
        </w:tabs>
        <w:ind w:left="360"/>
        <w:rPr>
          <w:rFonts w:cs="Arial"/>
          <w:szCs w:val="20"/>
        </w:rPr>
      </w:pPr>
      <w:r w:rsidRPr="00266D12">
        <w:rPr>
          <w:rFonts w:cs="Arial"/>
          <w:szCs w:val="20"/>
        </w:rPr>
        <w:t>Evidence-Based Medicine and Fiscal Analysis: “NSAIDs – Therapeutic Class Review”, Conduent Business Services, L.L.C., Richmond, VA; November 2021.</w:t>
      </w:r>
    </w:p>
    <w:p w14:paraId="3C19BD1D" w14:textId="17D3BD9C" w:rsidR="00667F30" w:rsidRPr="00771D9E" w:rsidRDefault="00667F30" w:rsidP="00667F30">
      <w:pPr>
        <w:numPr>
          <w:ilvl w:val="0"/>
          <w:numId w:val="18"/>
        </w:numPr>
        <w:tabs>
          <w:tab w:val="clear" w:pos="533"/>
          <w:tab w:val="num" w:pos="630"/>
        </w:tabs>
        <w:ind w:left="360"/>
        <w:rPr>
          <w:rFonts w:cs="Arial"/>
          <w:szCs w:val="20"/>
        </w:rPr>
      </w:pPr>
      <w:r w:rsidRPr="00771D9E">
        <w:rPr>
          <w:rFonts w:cs="Arial"/>
          <w:szCs w:val="20"/>
        </w:rPr>
        <w:t xml:space="preserve">Evidence-Based Medicine Analysis: “Non-steroidal anti-inflammatory drugs (NSAIDs)”, UMKC-DIC; </w:t>
      </w:r>
      <w:r>
        <w:rPr>
          <w:rFonts w:cs="Arial"/>
          <w:szCs w:val="20"/>
        </w:rPr>
        <w:t>September 202</w:t>
      </w:r>
      <w:r w:rsidR="00E4138C">
        <w:rPr>
          <w:rFonts w:cs="Arial"/>
          <w:szCs w:val="20"/>
        </w:rPr>
        <w:t>5</w:t>
      </w:r>
      <w:r w:rsidRPr="00771D9E">
        <w:rPr>
          <w:rFonts w:cs="Arial"/>
          <w:szCs w:val="20"/>
        </w:rPr>
        <w:t>.</w:t>
      </w:r>
    </w:p>
    <w:p w14:paraId="4278E005" w14:textId="1D079AB2" w:rsidR="00667F30" w:rsidRDefault="00667F30" w:rsidP="00667F30">
      <w:pPr>
        <w:numPr>
          <w:ilvl w:val="0"/>
          <w:numId w:val="18"/>
        </w:numPr>
        <w:tabs>
          <w:tab w:val="clear" w:pos="533"/>
          <w:tab w:val="num" w:pos="630"/>
        </w:tabs>
        <w:ind w:left="360"/>
        <w:rPr>
          <w:rFonts w:cs="Arial"/>
          <w:szCs w:val="20"/>
        </w:rPr>
      </w:pPr>
      <w:r w:rsidRPr="0013297C">
        <w:rPr>
          <w:rFonts w:cs="Arial"/>
          <w:szCs w:val="20"/>
        </w:rPr>
        <w:t>USPDI, Micromedex; 202</w:t>
      </w:r>
      <w:r>
        <w:rPr>
          <w:rFonts w:cs="Arial"/>
          <w:szCs w:val="20"/>
        </w:rPr>
        <w:t>5</w:t>
      </w:r>
      <w:r w:rsidRPr="0013297C">
        <w:rPr>
          <w:rFonts w:cs="Arial"/>
          <w:szCs w:val="20"/>
        </w:rPr>
        <w:t>.</w:t>
      </w:r>
    </w:p>
    <w:p w14:paraId="3236FB88" w14:textId="1E66BF76" w:rsidR="00667F30" w:rsidRPr="00255900" w:rsidRDefault="00667F30" w:rsidP="00667F30">
      <w:pPr>
        <w:numPr>
          <w:ilvl w:val="0"/>
          <w:numId w:val="18"/>
        </w:numPr>
        <w:tabs>
          <w:tab w:val="clear" w:pos="533"/>
          <w:tab w:val="num" w:pos="630"/>
        </w:tabs>
        <w:ind w:left="360"/>
        <w:rPr>
          <w:rFonts w:cs="Arial"/>
          <w:szCs w:val="20"/>
        </w:rPr>
      </w:pPr>
      <w:r w:rsidRPr="00255900">
        <w:rPr>
          <w:rFonts w:cs="Arial"/>
          <w:szCs w:val="20"/>
        </w:rPr>
        <w:t>Facts and Comparisons eAnswers (online); 202</w:t>
      </w:r>
      <w:r>
        <w:rPr>
          <w:rFonts w:cs="Arial"/>
          <w:szCs w:val="20"/>
        </w:rPr>
        <w:t>5</w:t>
      </w:r>
      <w:r w:rsidRPr="00255900">
        <w:rPr>
          <w:rFonts w:cs="Arial"/>
          <w:szCs w:val="20"/>
        </w:rPr>
        <w:t xml:space="preserve"> Clinical Drug Information, LLC. </w:t>
      </w:r>
    </w:p>
    <w:p w14:paraId="3FA1E7DB" w14:textId="1CC0F20F" w:rsidR="00777CA4" w:rsidRDefault="00777CA4" w:rsidP="00667F30">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2450" w14:textId="77777777" w:rsidR="00833A24" w:rsidRPr="00C02553" w:rsidRDefault="00833A24" w:rsidP="00AE77DB">
      <w:r w:rsidRPr="00C02553">
        <w:separator/>
      </w:r>
    </w:p>
  </w:endnote>
  <w:endnote w:type="continuationSeparator" w:id="0">
    <w:p w14:paraId="6FDCEBE6" w14:textId="77777777" w:rsidR="00833A24" w:rsidRPr="00C02553" w:rsidRDefault="00833A24" w:rsidP="00AE77DB">
      <w:r w:rsidRPr="00C02553">
        <w:continuationSeparator/>
      </w:r>
    </w:p>
  </w:endnote>
  <w:endnote w:type="continuationNotice" w:id="1">
    <w:p w14:paraId="45C7131C" w14:textId="77777777" w:rsidR="00833A24" w:rsidRPr="00C02553" w:rsidRDefault="0083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E034" w14:textId="77777777" w:rsidR="00833A24" w:rsidRPr="00C02553" w:rsidRDefault="00833A24" w:rsidP="00AE77DB">
      <w:r w:rsidRPr="00C02553">
        <w:separator/>
      </w:r>
    </w:p>
  </w:footnote>
  <w:footnote w:type="continuationSeparator" w:id="0">
    <w:p w14:paraId="11428BDE" w14:textId="77777777" w:rsidR="00833A24" w:rsidRPr="00C02553" w:rsidRDefault="00833A24" w:rsidP="00AE77DB">
      <w:r w:rsidRPr="00C02553">
        <w:continuationSeparator/>
      </w:r>
    </w:p>
  </w:footnote>
  <w:footnote w:type="continuationNotice" w:id="1">
    <w:p w14:paraId="319DCAD9" w14:textId="77777777" w:rsidR="00833A24" w:rsidRPr="00C02553" w:rsidRDefault="00833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23580A">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23580A">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7;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23580A">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D282EA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27134D"/>
    <w:multiLevelType w:val="hybridMultilevel"/>
    <w:tmpl w:val="1AFA298A"/>
    <w:lvl w:ilvl="0" w:tplc="10086A4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A69B3"/>
    <w:multiLevelType w:val="hybridMultilevel"/>
    <w:tmpl w:val="6658B430"/>
    <w:lvl w:ilvl="0" w:tplc="D35C046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555BEE"/>
    <w:multiLevelType w:val="hybridMultilevel"/>
    <w:tmpl w:val="1ABAA8C0"/>
    <w:lvl w:ilvl="0" w:tplc="04090001">
      <w:start w:val="1"/>
      <w:numFmt w:val="bullet"/>
      <w:lvlText w:val=""/>
      <w:lvlJc w:val="left"/>
      <w:pPr>
        <w:tabs>
          <w:tab w:val="num" w:pos="533"/>
        </w:tabs>
        <w:ind w:left="533" w:hanging="360"/>
      </w:pPr>
      <w:rPr>
        <w:rFonts w:ascii="Symbol" w:hAnsi="Symbol" w:hint="default"/>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1"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11"/>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3"/>
  </w:num>
  <w:num w:numId="10" w16cid:durableId="917518096">
    <w:abstractNumId w:val="12"/>
  </w:num>
  <w:num w:numId="11" w16cid:durableId="1894998475">
    <w:abstractNumId w:val="1"/>
  </w:num>
  <w:num w:numId="12" w16cid:durableId="1418215296">
    <w:abstractNumId w:val="16"/>
  </w:num>
  <w:num w:numId="13" w16cid:durableId="604729665">
    <w:abstractNumId w:val="7"/>
  </w:num>
  <w:num w:numId="14" w16cid:durableId="1805081292">
    <w:abstractNumId w:val="14"/>
  </w:num>
  <w:num w:numId="15" w16cid:durableId="1084491920">
    <w:abstractNumId w:val="9"/>
  </w:num>
  <w:num w:numId="16" w16cid:durableId="874586639">
    <w:abstractNumId w:val="6"/>
  </w:num>
  <w:num w:numId="17" w16cid:durableId="549922810">
    <w:abstractNumId w:val="5"/>
  </w:num>
  <w:num w:numId="18" w16cid:durableId="8766233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4AEF"/>
    <w:rsid w:val="000064A5"/>
    <w:rsid w:val="00006A61"/>
    <w:rsid w:val="0001103A"/>
    <w:rsid w:val="00016277"/>
    <w:rsid w:val="000276D9"/>
    <w:rsid w:val="000344C5"/>
    <w:rsid w:val="00040AD3"/>
    <w:rsid w:val="00053807"/>
    <w:rsid w:val="000572E5"/>
    <w:rsid w:val="00057F84"/>
    <w:rsid w:val="00061541"/>
    <w:rsid w:val="00064162"/>
    <w:rsid w:val="00065C22"/>
    <w:rsid w:val="00072746"/>
    <w:rsid w:val="00074464"/>
    <w:rsid w:val="00076030"/>
    <w:rsid w:val="00082590"/>
    <w:rsid w:val="000913C3"/>
    <w:rsid w:val="000953B9"/>
    <w:rsid w:val="000A413B"/>
    <w:rsid w:val="000A6279"/>
    <w:rsid w:val="000B1CB1"/>
    <w:rsid w:val="000B310D"/>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534D"/>
    <w:rsid w:val="00177A80"/>
    <w:rsid w:val="001A50CB"/>
    <w:rsid w:val="001A5DCC"/>
    <w:rsid w:val="001A7390"/>
    <w:rsid w:val="001A74B7"/>
    <w:rsid w:val="001B0C64"/>
    <w:rsid w:val="001B2D47"/>
    <w:rsid w:val="001B32E2"/>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0E44"/>
    <w:rsid w:val="00222134"/>
    <w:rsid w:val="0022233F"/>
    <w:rsid w:val="00226275"/>
    <w:rsid w:val="00233EEE"/>
    <w:rsid w:val="0023580A"/>
    <w:rsid w:val="002455F5"/>
    <w:rsid w:val="00246564"/>
    <w:rsid w:val="00246A3B"/>
    <w:rsid w:val="00255011"/>
    <w:rsid w:val="00255404"/>
    <w:rsid w:val="0025594F"/>
    <w:rsid w:val="00270C5E"/>
    <w:rsid w:val="00282C2D"/>
    <w:rsid w:val="00290A03"/>
    <w:rsid w:val="0029159A"/>
    <w:rsid w:val="00291600"/>
    <w:rsid w:val="00292301"/>
    <w:rsid w:val="002A02F4"/>
    <w:rsid w:val="002B3776"/>
    <w:rsid w:val="002C2C41"/>
    <w:rsid w:val="002C62E7"/>
    <w:rsid w:val="002E05E2"/>
    <w:rsid w:val="002E2DD6"/>
    <w:rsid w:val="002E3F28"/>
    <w:rsid w:val="002F0E52"/>
    <w:rsid w:val="002F2274"/>
    <w:rsid w:val="002F2405"/>
    <w:rsid w:val="002F2F07"/>
    <w:rsid w:val="002F4F8C"/>
    <w:rsid w:val="002F690F"/>
    <w:rsid w:val="0030301F"/>
    <w:rsid w:val="00303B21"/>
    <w:rsid w:val="00313701"/>
    <w:rsid w:val="00314430"/>
    <w:rsid w:val="00316188"/>
    <w:rsid w:val="003171AF"/>
    <w:rsid w:val="00317469"/>
    <w:rsid w:val="0031799A"/>
    <w:rsid w:val="0032215C"/>
    <w:rsid w:val="0032616B"/>
    <w:rsid w:val="00326687"/>
    <w:rsid w:val="003275F9"/>
    <w:rsid w:val="003355AC"/>
    <w:rsid w:val="00343D6B"/>
    <w:rsid w:val="00347FB5"/>
    <w:rsid w:val="00355515"/>
    <w:rsid w:val="003608B5"/>
    <w:rsid w:val="003613AF"/>
    <w:rsid w:val="00384BD9"/>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27FA"/>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047A"/>
    <w:rsid w:val="004E611F"/>
    <w:rsid w:val="004E68FB"/>
    <w:rsid w:val="004F2A79"/>
    <w:rsid w:val="004F4D37"/>
    <w:rsid w:val="00501A14"/>
    <w:rsid w:val="00501DE3"/>
    <w:rsid w:val="005058CB"/>
    <w:rsid w:val="0051044D"/>
    <w:rsid w:val="005139E4"/>
    <w:rsid w:val="0051400B"/>
    <w:rsid w:val="00515075"/>
    <w:rsid w:val="00520FE9"/>
    <w:rsid w:val="005233E7"/>
    <w:rsid w:val="005328B2"/>
    <w:rsid w:val="00535BD5"/>
    <w:rsid w:val="00540977"/>
    <w:rsid w:val="00551668"/>
    <w:rsid w:val="005572D5"/>
    <w:rsid w:val="00560371"/>
    <w:rsid w:val="005604E2"/>
    <w:rsid w:val="00566BE4"/>
    <w:rsid w:val="00570C66"/>
    <w:rsid w:val="00570D21"/>
    <w:rsid w:val="00573856"/>
    <w:rsid w:val="00576113"/>
    <w:rsid w:val="00590652"/>
    <w:rsid w:val="0059235F"/>
    <w:rsid w:val="00596936"/>
    <w:rsid w:val="005A0E82"/>
    <w:rsid w:val="005A2F1E"/>
    <w:rsid w:val="005A4232"/>
    <w:rsid w:val="005A6D2F"/>
    <w:rsid w:val="005B62D8"/>
    <w:rsid w:val="005C31AF"/>
    <w:rsid w:val="005C3616"/>
    <w:rsid w:val="005C384C"/>
    <w:rsid w:val="005D36B2"/>
    <w:rsid w:val="005D52E7"/>
    <w:rsid w:val="005D78B5"/>
    <w:rsid w:val="005E3572"/>
    <w:rsid w:val="005E45E4"/>
    <w:rsid w:val="005F0A81"/>
    <w:rsid w:val="005F0FCF"/>
    <w:rsid w:val="0060042F"/>
    <w:rsid w:val="006008BC"/>
    <w:rsid w:val="00602CFD"/>
    <w:rsid w:val="006031E6"/>
    <w:rsid w:val="00606B55"/>
    <w:rsid w:val="00612A7B"/>
    <w:rsid w:val="00616E5E"/>
    <w:rsid w:val="006173A4"/>
    <w:rsid w:val="00617E50"/>
    <w:rsid w:val="006205AD"/>
    <w:rsid w:val="00625C3A"/>
    <w:rsid w:val="00635548"/>
    <w:rsid w:val="00635DDB"/>
    <w:rsid w:val="006370CB"/>
    <w:rsid w:val="0064149A"/>
    <w:rsid w:val="006420FA"/>
    <w:rsid w:val="00646AC6"/>
    <w:rsid w:val="00646DFE"/>
    <w:rsid w:val="00650530"/>
    <w:rsid w:val="00650C96"/>
    <w:rsid w:val="00653788"/>
    <w:rsid w:val="0065477F"/>
    <w:rsid w:val="00656896"/>
    <w:rsid w:val="00661656"/>
    <w:rsid w:val="0066374F"/>
    <w:rsid w:val="00665593"/>
    <w:rsid w:val="00667F30"/>
    <w:rsid w:val="00677C65"/>
    <w:rsid w:val="00685544"/>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0B50"/>
    <w:rsid w:val="007566D2"/>
    <w:rsid w:val="00757826"/>
    <w:rsid w:val="007632B7"/>
    <w:rsid w:val="0076382F"/>
    <w:rsid w:val="00765768"/>
    <w:rsid w:val="00765D10"/>
    <w:rsid w:val="00766AC8"/>
    <w:rsid w:val="00766E59"/>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7C75"/>
    <w:rsid w:val="007D2920"/>
    <w:rsid w:val="007D42DD"/>
    <w:rsid w:val="007E6A37"/>
    <w:rsid w:val="007F1774"/>
    <w:rsid w:val="00811A70"/>
    <w:rsid w:val="0081406E"/>
    <w:rsid w:val="00832211"/>
    <w:rsid w:val="008325F4"/>
    <w:rsid w:val="00832AC8"/>
    <w:rsid w:val="00833A24"/>
    <w:rsid w:val="00835DA0"/>
    <w:rsid w:val="0084092B"/>
    <w:rsid w:val="00844981"/>
    <w:rsid w:val="00846FA4"/>
    <w:rsid w:val="008524BA"/>
    <w:rsid w:val="00852B74"/>
    <w:rsid w:val="00856928"/>
    <w:rsid w:val="00865538"/>
    <w:rsid w:val="00870875"/>
    <w:rsid w:val="0088225C"/>
    <w:rsid w:val="0088237E"/>
    <w:rsid w:val="0088280F"/>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25944"/>
    <w:rsid w:val="009265E8"/>
    <w:rsid w:val="00930528"/>
    <w:rsid w:val="00935918"/>
    <w:rsid w:val="00935EC3"/>
    <w:rsid w:val="00951097"/>
    <w:rsid w:val="00953C1E"/>
    <w:rsid w:val="0096210F"/>
    <w:rsid w:val="00962633"/>
    <w:rsid w:val="00963187"/>
    <w:rsid w:val="00963ACF"/>
    <w:rsid w:val="00963D1C"/>
    <w:rsid w:val="00964284"/>
    <w:rsid w:val="0097028A"/>
    <w:rsid w:val="00973BD6"/>
    <w:rsid w:val="0097566E"/>
    <w:rsid w:val="00975EEC"/>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645C"/>
    <w:rsid w:val="00A37444"/>
    <w:rsid w:val="00A4281A"/>
    <w:rsid w:val="00A459CF"/>
    <w:rsid w:val="00A5014D"/>
    <w:rsid w:val="00A5190E"/>
    <w:rsid w:val="00A53E96"/>
    <w:rsid w:val="00A56F18"/>
    <w:rsid w:val="00A628F8"/>
    <w:rsid w:val="00A62BAA"/>
    <w:rsid w:val="00A66172"/>
    <w:rsid w:val="00A7079A"/>
    <w:rsid w:val="00A734E8"/>
    <w:rsid w:val="00A744C3"/>
    <w:rsid w:val="00A91EDE"/>
    <w:rsid w:val="00A96EEC"/>
    <w:rsid w:val="00AA70AB"/>
    <w:rsid w:val="00AB0B9F"/>
    <w:rsid w:val="00AB1713"/>
    <w:rsid w:val="00AB63BE"/>
    <w:rsid w:val="00AC1EBC"/>
    <w:rsid w:val="00AC2599"/>
    <w:rsid w:val="00AC2DE9"/>
    <w:rsid w:val="00AD2C5F"/>
    <w:rsid w:val="00AE1481"/>
    <w:rsid w:val="00AE27F9"/>
    <w:rsid w:val="00AE77DB"/>
    <w:rsid w:val="00AF7453"/>
    <w:rsid w:val="00B00FFF"/>
    <w:rsid w:val="00B025AF"/>
    <w:rsid w:val="00B06084"/>
    <w:rsid w:val="00B16735"/>
    <w:rsid w:val="00B17EDE"/>
    <w:rsid w:val="00B22585"/>
    <w:rsid w:val="00B33693"/>
    <w:rsid w:val="00B34C53"/>
    <w:rsid w:val="00B507A5"/>
    <w:rsid w:val="00B52475"/>
    <w:rsid w:val="00B535DA"/>
    <w:rsid w:val="00B557F0"/>
    <w:rsid w:val="00B56DCC"/>
    <w:rsid w:val="00B56F54"/>
    <w:rsid w:val="00B638C2"/>
    <w:rsid w:val="00B758AB"/>
    <w:rsid w:val="00B76277"/>
    <w:rsid w:val="00B772AB"/>
    <w:rsid w:val="00B80395"/>
    <w:rsid w:val="00B80B56"/>
    <w:rsid w:val="00B86372"/>
    <w:rsid w:val="00BA1C17"/>
    <w:rsid w:val="00BA1D65"/>
    <w:rsid w:val="00BA35A0"/>
    <w:rsid w:val="00BB3B4D"/>
    <w:rsid w:val="00BC351E"/>
    <w:rsid w:val="00BC3F77"/>
    <w:rsid w:val="00BC5635"/>
    <w:rsid w:val="00BC5675"/>
    <w:rsid w:val="00BD081C"/>
    <w:rsid w:val="00BD1A04"/>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27A27"/>
    <w:rsid w:val="00C34E72"/>
    <w:rsid w:val="00C36724"/>
    <w:rsid w:val="00C4085F"/>
    <w:rsid w:val="00C56B1F"/>
    <w:rsid w:val="00C61B52"/>
    <w:rsid w:val="00C626DC"/>
    <w:rsid w:val="00C62745"/>
    <w:rsid w:val="00C654CA"/>
    <w:rsid w:val="00C722C9"/>
    <w:rsid w:val="00C763BD"/>
    <w:rsid w:val="00C779A8"/>
    <w:rsid w:val="00C82E19"/>
    <w:rsid w:val="00C8302D"/>
    <w:rsid w:val="00C96873"/>
    <w:rsid w:val="00CA1735"/>
    <w:rsid w:val="00CA3C4B"/>
    <w:rsid w:val="00CA7252"/>
    <w:rsid w:val="00CB2C5A"/>
    <w:rsid w:val="00CC0869"/>
    <w:rsid w:val="00CE0C1C"/>
    <w:rsid w:val="00CE34AF"/>
    <w:rsid w:val="00CE7AD0"/>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972DF"/>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794B"/>
    <w:rsid w:val="00E30B72"/>
    <w:rsid w:val="00E32787"/>
    <w:rsid w:val="00E354AA"/>
    <w:rsid w:val="00E4138C"/>
    <w:rsid w:val="00E42F93"/>
    <w:rsid w:val="00E43D54"/>
    <w:rsid w:val="00E442FB"/>
    <w:rsid w:val="00E451F9"/>
    <w:rsid w:val="00E46748"/>
    <w:rsid w:val="00E529DB"/>
    <w:rsid w:val="00E53A5E"/>
    <w:rsid w:val="00E6466A"/>
    <w:rsid w:val="00E72221"/>
    <w:rsid w:val="00E83428"/>
    <w:rsid w:val="00E84C58"/>
    <w:rsid w:val="00E873A5"/>
    <w:rsid w:val="00E90D11"/>
    <w:rsid w:val="00E915E5"/>
    <w:rsid w:val="00EA5984"/>
    <w:rsid w:val="00EB0367"/>
    <w:rsid w:val="00EB4FB9"/>
    <w:rsid w:val="00EB5BC8"/>
    <w:rsid w:val="00EB6821"/>
    <w:rsid w:val="00EC2738"/>
    <w:rsid w:val="00EC7352"/>
    <w:rsid w:val="00ED5A77"/>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5630F"/>
    <w:rsid w:val="00F6068C"/>
    <w:rsid w:val="00F62BD4"/>
    <w:rsid w:val="00F62F33"/>
    <w:rsid w:val="00F63A52"/>
    <w:rsid w:val="00F730BA"/>
    <w:rsid w:val="00F83E01"/>
    <w:rsid w:val="00F903BE"/>
    <w:rsid w:val="00F95D04"/>
    <w:rsid w:val="00FA120F"/>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uiPriority w:val="99"/>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uiPriority w:val="99"/>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667F30"/>
    <w:rPr>
      <w:sz w:val="16"/>
      <w:szCs w:val="16"/>
    </w:rPr>
  </w:style>
  <w:style w:type="paragraph" w:styleId="CommentSubject">
    <w:name w:val="annotation subject"/>
    <w:basedOn w:val="CommentText"/>
    <w:next w:val="CommentText"/>
    <w:link w:val="CommentSubjectChar"/>
    <w:uiPriority w:val="99"/>
    <w:semiHidden/>
    <w:unhideWhenUsed/>
    <w:rsid w:val="00667F30"/>
    <w:rPr>
      <w:b/>
      <w:bCs/>
    </w:rPr>
  </w:style>
  <w:style w:type="character" w:customStyle="1" w:styleId="CommentTextChar">
    <w:name w:val="Comment Text Char"/>
    <w:basedOn w:val="DefaultParagraphFont"/>
    <w:link w:val="CommentText"/>
    <w:semiHidden/>
    <w:rsid w:val="00667F30"/>
    <w:rPr>
      <w:rFonts w:ascii="Arial" w:hAnsi="Arial"/>
    </w:rPr>
  </w:style>
  <w:style w:type="character" w:customStyle="1" w:styleId="CommentSubjectChar">
    <w:name w:val="Comment Subject Char"/>
    <w:basedOn w:val="CommentTextChar"/>
    <w:link w:val="CommentSubject"/>
    <w:uiPriority w:val="99"/>
    <w:semiHidden/>
    <w:rsid w:val="00667F3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50D598-D704-4BB6-AB64-574551A7B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purl.org/dc/terms/"/>
    <ds:schemaRef ds:uri="http://purl.org/dc/dcmitype/"/>
    <ds:schemaRef ds:uri="http://purl.org/dc/elements/1.1/"/>
    <ds:schemaRef ds:uri="http://www.w3.org/XML/1998/namespace"/>
    <ds:schemaRef ds:uri="http://schemas.openxmlformats.org/package/2006/metadata/core-properties"/>
    <ds:schemaRef ds:uri="f5eefb00-5952-4f7e-8cf8-96f81cfadd01"/>
    <ds:schemaRef ds:uri="http://schemas.microsoft.com/office/2006/documentManagement/types"/>
    <ds:schemaRef ds:uri="http://schemas.microsoft.com/office/infopath/2007/PartnerControls"/>
    <ds:schemaRef ds:uri="aba01ddc-ae9a-4c9e-819c-7140b4239cde"/>
    <ds:schemaRef ds:uri="http://schemas.microsoft.com/sharepoint/v3"/>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60</TotalTime>
  <Pages>3</Pages>
  <Words>636</Words>
  <Characters>3900</Characters>
  <Application>Microsoft Office Word</Application>
  <DocSecurity>0</DocSecurity>
  <Lines>162</Lines>
  <Paragraphs>161</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NSAIDs PDL Edit</dc:title>
  <dc:creator>DMS</dc:creator>
  <cp:lastModifiedBy>Dolan, John</cp:lastModifiedBy>
  <cp:revision>79</cp:revision>
  <cp:lastPrinted>2018-10-31T20:17:00Z</cp:lastPrinted>
  <dcterms:created xsi:type="dcterms:W3CDTF">2025-09-19T16:48:00Z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