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17C7A5C4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r w:rsidR="004E209B" w:rsidRPr="004E209B">
        <w:rPr>
          <w:b w:val="0"/>
          <w:bCs/>
        </w:rPr>
        <w:t>Sohonos Clinical Edit</w:t>
      </w:r>
    </w:p>
    <w:p w14:paraId="7AD7FFCE" w14:textId="097B6D2B" w:rsidR="004C5767" w:rsidRPr="00C02553" w:rsidRDefault="004C5767" w:rsidP="00D27533">
      <w:pPr>
        <w:pStyle w:val="tbody"/>
      </w:pPr>
      <w:r w:rsidRPr="00C02553">
        <w:t xml:space="preserve">First Implementation Date: </w:t>
      </w:r>
      <w:r w:rsidR="00F77896" w:rsidRPr="00C154EB">
        <w:rPr>
          <w:b w:val="0"/>
          <w:bCs/>
        </w:rPr>
        <w:t>May 9, 2024</w:t>
      </w:r>
    </w:p>
    <w:p w14:paraId="4B7D760D" w14:textId="34D8E710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D232D9">
        <w:rPr>
          <w:b w:val="0"/>
        </w:rPr>
        <w:t xml:space="preserve">January </w:t>
      </w:r>
      <w:r w:rsidR="79C8556E">
        <w:rPr>
          <w:b w:val="0"/>
        </w:rPr>
        <w:t>20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5F17C42A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F77896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6A07E6DB" w:rsidR="00D47996" w:rsidRDefault="79EEA449" w:rsidP="00696E3A">
      <w:r>
        <w:t>Ensure appropriate utilization and control of</w:t>
      </w:r>
      <w:r w:rsidR="00E33D8C" w:rsidRPr="00E33D8C">
        <w:rPr>
          <w:rFonts w:cs="Arial"/>
          <w:spacing w:val="-3"/>
        </w:rPr>
        <w:t xml:space="preserve"> </w:t>
      </w:r>
      <w:r w:rsidR="00E33D8C">
        <w:rPr>
          <w:rFonts w:cs="Arial"/>
          <w:spacing w:val="-3"/>
        </w:rPr>
        <w:t>Sohonos</w:t>
      </w:r>
      <w:r w:rsidR="00E33D8C">
        <w:rPr>
          <w:rFonts w:cs="Arial"/>
          <w:spacing w:val="-3"/>
          <w:vertAlign w:val="superscript"/>
        </w:rPr>
        <w:t>®</w:t>
      </w:r>
      <w:r w:rsidR="00E33D8C" w:rsidRPr="00C82F3D">
        <w:rPr>
          <w:rFonts w:cs="Arial"/>
          <w:spacing w:val="-3"/>
        </w:rPr>
        <w:t xml:space="preserve"> </w:t>
      </w:r>
      <w:r w:rsidR="00E33D8C">
        <w:rPr>
          <w:rFonts w:cs="Arial"/>
          <w:spacing w:val="-3"/>
        </w:rPr>
        <w:t>(palovarotene).</w:t>
      </w:r>
      <w:r w:rsidR="00D47996">
        <w:t xml:space="preserve">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7E846E6F" w14:textId="77777777" w:rsidR="00F012A2" w:rsidRDefault="00F012A2" w:rsidP="00F012A2">
      <w:pPr>
        <w:pStyle w:val="CommentText"/>
        <w:rPr>
          <w:rFonts w:eastAsia="Arial"/>
        </w:rPr>
      </w:pPr>
      <w:r w:rsidRPr="00836419">
        <w:rPr>
          <w:rFonts w:cs="Arial"/>
          <w:spacing w:val="-3"/>
        </w:rPr>
        <w:t xml:space="preserve">On </w:t>
      </w:r>
      <w:r>
        <w:rPr>
          <w:rFonts w:cs="Arial"/>
          <w:spacing w:val="-3"/>
        </w:rPr>
        <w:t>August 16, 2023</w:t>
      </w:r>
      <w:r w:rsidRPr="00836419">
        <w:rPr>
          <w:rFonts w:cs="Arial"/>
          <w:spacing w:val="-3"/>
        </w:rPr>
        <w:t xml:space="preserve">, the U.S. Food and Drug Administration (FDA) approved </w:t>
      </w:r>
      <w:r>
        <w:rPr>
          <w:rFonts w:cs="Arial"/>
          <w:spacing w:val="-3"/>
        </w:rPr>
        <w:t>Sohonos</w:t>
      </w:r>
      <w:r>
        <w:rPr>
          <w:rFonts w:cs="Arial"/>
          <w:spacing w:val="-3"/>
          <w:vertAlign w:val="superscript"/>
        </w:rPr>
        <w:t>®</w:t>
      </w:r>
      <w:r w:rsidRPr="00C82F3D">
        <w:rPr>
          <w:rFonts w:cs="Arial"/>
          <w:spacing w:val="-3"/>
        </w:rPr>
        <w:t xml:space="preserve"> (</w:t>
      </w:r>
      <w:sdt>
        <w:sdtPr>
          <w:rPr>
            <w:rFonts w:cs="Arial"/>
            <w:spacing w:val="-3"/>
          </w:rPr>
          <w:id w:val="-1830971000"/>
          <w:placeholder>
            <w:docPart w:val="95550E3652ED413BBF433C264E82B1D1"/>
          </w:placeholder>
        </w:sdtPr>
        <w:sdtEndPr/>
        <w:sdtContent>
          <w:r>
            <w:rPr>
              <w:rFonts w:cs="Arial"/>
              <w:spacing w:val="-3"/>
            </w:rPr>
            <w:t>palovarotene</w:t>
          </w:r>
        </w:sdtContent>
      </w:sdt>
      <w:r>
        <w:rPr>
          <w:rFonts w:cs="Arial"/>
          <w:spacing w:val="-3"/>
        </w:rPr>
        <w:t>),</w:t>
      </w:r>
      <w:r w:rsidRPr="00C82F3D">
        <w:rPr>
          <w:rFonts w:cs="Arial"/>
          <w:spacing w:val="-3"/>
        </w:rPr>
        <w:t xml:space="preserve"> </w:t>
      </w:r>
      <w:r w:rsidRPr="00836419">
        <w:rPr>
          <w:rFonts w:cs="Arial"/>
          <w:spacing w:val="-3"/>
        </w:rPr>
        <w:t xml:space="preserve">the first and only </w:t>
      </w:r>
      <w:r>
        <w:rPr>
          <w:rFonts w:cs="Arial"/>
          <w:spacing w:val="-3"/>
        </w:rPr>
        <w:t xml:space="preserve">treatment for </w:t>
      </w:r>
      <w:r w:rsidRPr="00F37DA9">
        <w:rPr>
          <w:rFonts w:eastAsia="Arial"/>
        </w:rPr>
        <w:t>fibrodysplasia</w:t>
      </w:r>
      <w:r>
        <w:rPr>
          <w:rFonts w:eastAsia="Arial"/>
        </w:rPr>
        <w:t xml:space="preserve"> </w:t>
      </w:r>
      <w:r w:rsidRPr="00F37DA9">
        <w:rPr>
          <w:rFonts w:eastAsia="Arial"/>
        </w:rPr>
        <w:t>ossificans progressiva (FOP)</w:t>
      </w:r>
      <w:r>
        <w:rPr>
          <w:rFonts w:eastAsia="Arial"/>
        </w:rPr>
        <w:t>. Sohonos is indicated for r</w:t>
      </w:r>
      <w:r w:rsidRPr="00D9322F">
        <w:rPr>
          <w:rFonts w:eastAsia="Arial"/>
        </w:rPr>
        <w:t>eduction in the volume of new heterotopic ossification in adults and children aged 8 years and older for females and 10 years and older for males with FOP.</w:t>
      </w:r>
    </w:p>
    <w:p w14:paraId="398D9EE5" w14:textId="77777777" w:rsidR="00F012A2" w:rsidRDefault="00F012A2" w:rsidP="00F012A2">
      <w:pPr>
        <w:pStyle w:val="CommentText"/>
        <w:rPr>
          <w:rFonts w:eastAsia="Arial"/>
        </w:rPr>
      </w:pPr>
    </w:p>
    <w:p w14:paraId="091599BA" w14:textId="77777777" w:rsidR="00F012A2" w:rsidRPr="00BA09BE" w:rsidRDefault="00F012A2" w:rsidP="00F012A2">
      <w:pPr>
        <w:pStyle w:val="CommentText"/>
        <w:rPr>
          <w:rFonts w:eastAsia="Arial"/>
        </w:rPr>
      </w:pPr>
      <w:r w:rsidRPr="00BA09BE">
        <w:rPr>
          <w:rFonts w:eastAsia="Arial"/>
        </w:rPr>
        <w:t>FOP is a rare, genetic connective tissue disorder characterized by severe, progressive development of bone in areas outside of the skeleton</w:t>
      </w:r>
      <w:r>
        <w:rPr>
          <w:rFonts w:eastAsia="Arial"/>
        </w:rPr>
        <w:t>, a condition known as heterotopic ossification. This can occur in areas</w:t>
      </w:r>
      <w:r w:rsidRPr="00BA09BE">
        <w:rPr>
          <w:rFonts w:eastAsia="Arial"/>
        </w:rPr>
        <w:t xml:space="preserve"> such as ligaments, tendons, and muscles. Episodes of painful soft tissue swelling (flare-ups) begin during the first decade of life. They usually present as nodules and are often precipitated by soft tissue injury, intramuscular injections, viral infections, or falls. These flare-ups often lead to </w:t>
      </w:r>
      <w:r>
        <w:rPr>
          <w:rFonts w:eastAsia="Arial"/>
        </w:rPr>
        <w:t>heterotopic ossification</w:t>
      </w:r>
      <w:r w:rsidRPr="00BA09BE">
        <w:rPr>
          <w:rFonts w:eastAsia="Arial"/>
        </w:rPr>
        <w:t>, which results in progressive and irreversible immobility. Many individuals with FOP are confined to a wheelchair by their 30</w:t>
      </w:r>
      <w:r>
        <w:rPr>
          <w:rFonts w:eastAsia="Arial"/>
        </w:rPr>
        <w:t>’</w:t>
      </w:r>
      <w:r w:rsidRPr="00BA09BE">
        <w:rPr>
          <w:rFonts w:eastAsia="Arial"/>
        </w:rPr>
        <w:t>s, and the estimated median lifespan is 56 years. Death is often due to cardiorespiratory failure as a result of severe restriction of the chest wall. An estimated 400 people in the United States and 900 people globally are affected by FOP. There is currently no cure</w:t>
      </w:r>
      <w:r>
        <w:rPr>
          <w:rFonts w:eastAsia="Arial"/>
        </w:rPr>
        <w:t xml:space="preserve"> for the disease. </w:t>
      </w:r>
    </w:p>
    <w:p w14:paraId="1CB72294" w14:textId="77777777" w:rsidR="00F012A2" w:rsidRDefault="00F012A2" w:rsidP="00F012A2">
      <w:pPr>
        <w:pStyle w:val="CommentText"/>
        <w:rPr>
          <w:rFonts w:eastAsia="Arial"/>
        </w:rPr>
      </w:pPr>
    </w:p>
    <w:p w14:paraId="38B64F79" w14:textId="77777777" w:rsidR="00F012A2" w:rsidRDefault="00F012A2" w:rsidP="00F012A2">
      <w:pPr>
        <w:pStyle w:val="CommentText"/>
        <w:rPr>
          <w:rFonts w:eastAsia="Arial"/>
        </w:rPr>
      </w:pPr>
      <w:r w:rsidRPr="00BA09BE">
        <w:rPr>
          <w:rFonts w:eastAsia="Arial"/>
        </w:rPr>
        <w:t xml:space="preserve">FOP is caused by a gain of function mutation in the </w:t>
      </w:r>
      <w:r w:rsidRPr="00F44FF5">
        <w:rPr>
          <w:rFonts w:eastAsia="Arial"/>
          <w:i/>
        </w:rPr>
        <w:t>ACVR1/ALK2</w:t>
      </w:r>
      <w:r w:rsidRPr="00BA09BE">
        <w:rPr>
          <w:rFonts w:eastAsia="Arial"/>
        </w:rPr>
        <w:t xml:space="preserve"> gene, which results in increased signaling in the bone morphogenetic protein (BMP) pathway. Most cases of FOP occur sporadically; however, it is inherited in an autosomal dominant pattern in a small number of cases. </w:t>
      </w:r>
      <w:r>
        <w:rPr>
          <w:rFonts w:eastAsia="Arial"/>
        </w:rPr>
        <w:t>Sohonos</w:t>
      </w:r>
      <w:r w:rsidRPr="005C274E">
        <w:rPr>
          <w:rFonts w:eastAsia="Arial"/>
        </w:rPr>
        <w:t xml:space="preserve"> is a retinoic acid receptor (RAR) agonist</w:t>
      </w:r>
      <w:r>
        <w:rPr>
          <w:rFonts w:eastAsia="Arial"/>
        </w:rPr>
        <w:t xml:space="preserve"> that </w:t>
      </w:r>
      <w:r w:rsidRPr="005C274E">
        <w:rPr>
          <w:rFonts w:eastAsia="Arial"/>
        </w:rPr>
        <w:t>decreases</w:t>
      </w:r>
      <w:r>
        <w:rPr>
          <w:rFonts w:eastAsia="Arial"/>
        </w:rPr>
        <w:t xml:space="preserve"> the ALK2/BMP </w:t>
      </w:r>
      <w:r w:rsidRPr="005C274E">
        <w:rPr>
          <w:rFonts w:eastAsia="Arial"/>
        </w:rPr>
        <w:t>downstream</w:t>
      </w:r>
      <w:r>
        <w:rPr>
          <w:rFonts w:eastAsia="Arial"/>
        </w:rPr>
        <w:t xml:space="preserve"> </w:t>
      </w:r>
      <w:r w:rsidRPr="005C274E">
        <w:rPr>
          <w:rFonts w:eastAsia="Arial"/>
        </w:rPr>
        <w:t>signaling pathway</w:t>
      </w:r>
      <w:r>
        <w:rPr>
          <w:rFonts w:eastAsia="Arial"/>
        </w:rPr>
        <w:t xml:space="preserve"> </w:t>
      </w:r>
      <w:r w:rsidRPr="00F943C2">
        <w:rPr>
          <w:rFonts w:eastAsia="Arial"/>
        </w:rPr>
        <w:t>by inhibiting the phosphorylation of SMAD1/5/8, which reduces</w:t>
      </w:r>
      <w:r>
        <w:rPr>
          <w:rFonts w:eastAsia="Arial"/>
        </w:rPr>
        <w:t xml:space="preserve"> ALK2/SMAD-dependent ch</w:t>
      </w:r>
      <w:r w:rsidRPr="00F943C2">
        <w:rPr>
          <w:rFonts w:eastAsia="Arial"/>
        </w:rPr>
        <w:t>ondrogenesis and osteocyte differentiation resulting in reduced</w:t>
      </w:r>
      <w:r>
        <w:rPr>
          <w:rFonts w:eastAsia="Arial"/>
        </w:rPr>
        <w:t xml:space="preserve"> </w:t>
      </w:r>
      <w:r w:rsidRPr="00F943C2">
        <w:rPr>
          <w:rFonts w:eastAsia="Arial"/>
        </w:rPr>
        <w:t>endochondral bone formation.</w:t>
      </w:r>
    </w:p>
    <w:p w14:paraId="4513A847" w14:textId="77777777" w:rsidR="00F012A2" w:rsidRDefault="00F012A2" w:rsidP="00F012A2">
      <w:pPr>
        <w:pStyle w:val="CommentText"/>
        <w:rPr>
          <w:rFonts w:eastAsia="Arial"/>
        </w:rPr>
      </w:pPr>
    </w:p>
    <w:p w14:paraId="7ACECC9F" w14:textId="1E2B8509" w:rsidR="00B56DCC" w:rsidRDefault="00F012A2" w:rsidP="00F012A2">
      <w:pPr>
        <w:rPr>
          <w:rFonts w:cs="Arial"/>
          <w:spacing w:val="-3"/>
        </w:rPr>
      </w:pPr>
      <w:r w:rsidRPr="00836419">
        <w:rPr>
          <w:rFonts w:cs="Arial"/>
          <w:spacing w:val="-3"/>
        </w:rPr>
        <w:t xml:space="preserve">Due to the high cost and specific approved indication, MO HealthNet will impose clinical criteria to ensure appropriate utilization of </w:t>
      </w:r>
      <w:r>
        <w:rPr>
          <w:rFonts w:cs="Arial"/>
          <w:spacing w:val="-3"/>
        </w:rPr>
        <w:t>Sohonos</w:t>
      </w:r>
      <w:r w:rsidRPr="00836419">
        <w:rPr>
          <w:rFonts w:cs="Arial"/>
          <w:spacing w:val="-3"/>
        </w:rPr>
        <w:t>.</w:t>
      </w:r>
    </w:p>
    <w:p w14:paraId="59EAD2A9" w14:textId="77777777" w:rsidR="0011498A" w:rsidRDefault="0011498A" w:rsidP="00F012A2"/>
    <w:p w14:paraId="5B5260CF" w14:textId="5CF219DC" w:rsidR="003D4704" w:rsidRPr="00C154EB" w:rsidRDefault="003D4704" w:rsidP="003D4704">
      <w:pPr>
        <w:rPr>
          <w:b/>
          <w:bCs/>
        </w:rPr>
      </w:pPr>
      <w:r>
        <w:rPr>
          <w:b/>
          <w:bCs/>
        </w:rPr>
        <w:t xml:space="preserve">Program-Specific Information: </w:t>
      </w:r>
      <w:r w:rsidRPr="00C154EB">
        <w:rPr>
          <w:b/>
          <w:bCs/>
        </w:rPr>
        <w:t>Dat</w:t>
      </w:r>
      <w:r w:rsidR="00BA5F78" w:rsidRPr="00C154EB">
        <w:rPr>
          <w:b/>
          <w:bCs/>
        </w:rPr>
        <w:t>e</w:t>
      </w:r>
      <w:r w:rsidRPr="00C154EB">
        <w:rPr>
          <w:b/>
          <w:bCs/>
        </w:rPr>
        <w:t xml:space="preserve"> Range FFS </w:t>
      </w:r>
      <w:r w:rsidR="3EE5225B" w:rsidRPr="00C154EB">
        <w:rPr>
          <w:b/>
          <w:bCs/>
        </w:rPr>
        <w:t>10</w:t>
      </w:r>
      <w:r w:rsidRPr="00C154EB">
        <w:rPr>
          <w:b/>
          <w:bCs/>
        </w:rPr>
        <w:t xml:space="preserve">-1-2024 to </w:t>
      </w:r>
      <w:r w:rsidR="60B9B224" w:rsidRPr="00C154EB">
        <w:rPr>
          <w:b/>
          <w:bCs/>
        </w:rPr>
        <w:t>9</w:t>
      </w:r>
      <w:r w:rsidRPr="00C154EB">
        <w:rPr>
          <w:b/>
          <w:bCs/>
        </w:rPr>
        <w:t>-30-2025</w:t>
      </w:r>
    </w:p>
    <w:tbl>
      <w:tblPr>
        <w:tblW w:w="6655" w:type="dxa"/>
        <w:tblLayout w:type="fixed"/>
        <w:tblLook w:val="04A0" w:firstRow="1" w:lastRow="0" w:firstColumn="1" w:lastColumn="0" w:noHBand="0" w:noVBand="1"/>
      </w:tblPr>
      <w:tblGrid>
        <w:gridCol w:w="3865"/>
        <w:gridCol w:w="1080"/>
        <w:gridCol w:w="1710"/>
      </w:tblGrid>
      <w:tr w:rsidR="003D30F7" w:rsidRPr="00902CF9" w14:paraId="7E639B47" w14:textId="77777777" w:rsidTr="00C154EB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58BA66" w14:textId="77777777" w:rsidR="003D30F7" w:rsidRPr="00902CF9" w:rsidRDefault="003D30F7" w:rsidP="002C266E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F37C53" w14:textId="0AD715E9" w:rsidR="003D30F7" w:rsidRPr="00902CF9" w:rsidRDefault="003D30F7" w:rsidP="002C266E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836419">
              <w:rPr>
                <w:rFonts w:cs="Arial"/>
                <w:b/>
                <w:bCs/>
                <w:spacing w:val="-3"/>
                <w:szCs w:val="20"/>
              </w:rPr>
              <w:t xml:space="preserve">Cost per </w:t>
            </w:r>
            <w:r>
              <w:rPr>
                <w:rFonts w:cs="Arial"/>
                <w:b/>
                <w:bCs/>
                <w:spacing w:val="-3"/>
                <w:szCs w:val="20"/>
              </w:rPr>
              <w:t>Capsule</w:t>
            </w:r>
            <w:r w:rsidRPr="00836419">
              <w:rPr>
                <w:rFonts w:cs="Arial"/>
                <w:b/>
                <w:bCs/>
                <w:spacing w:val="-3"/>
                <w:szCs w:val="20"/>
              </w:rPr>
              <w:t xml:space="preserve"> </w:t>
            </w:r>
            <w:r w:rsidRPr="00C154EB">
              <w:rPr>
                <w:rFonts w:cs="Arial"/>
                <w:b/>
                <w:bCs/>
                <w:spacing w:val="-3"/>
                <w:sz w:val="16"/>
                <w:szCs w:val="16"/>
              </w:rPr>
              <w:t>(MAC)</w:t>
            </w:r>
          </w:p>
        </w:tc>
      </w:tr>
      <w:tr w:rsidR="003D30F7" w:rsidRPr="00902CF9" w14:paraId="29C2C6B5" w14:textId="77777777" w:rsidTr="00C154EB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17F" w14:textId="39806755" w:rsidR="003D30F7" w:rsidRPr="00902CF9" w:rsidRDefault="003D30F7" w:rsidP="005109B7">
            <w:pPr>
              <w:rPr>
                <w:rFonts w:cs="Arial"/>
                <w:szCs w:val="20"/>
              </w:rPr>
            </w:pPr>
            <w:r>
              <w:rPr>
                <w:rFonts w:cs="Arial"/>
                <w:spacing w:val="-3"/>
                <w:szCs w:val="20"/>
              </w:rPr>
              <w:t>SOHONOS 1 MG CAPSULE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4F8" w14:textId="480602BD" w:rsidR="003D30F7" w:rsidRPr="000C3796" w:rsidRDefault="003D30F7" w:rsidP="000C3796">
            <w:pPr>
              <w:jc w:val="center"/>
              <w:rPr>
                <w:rFonts w:cs="Arial"/>
                <w:szCs w:val="20"/>
              </w:rPr>
            </w:pPr>
            <w:r w:rsidRPr="000C3796">
              <w:rPr>
                <w:rFonts w:cs="Arial"/>
                <w:spacing w:val="-3"/>
                <w:szCs w:val="20"/>
              </w:rPr>
              <w:t>$350</w:t>
            </w:r>
          </w:p>
        </w:tc>
      </w:tr>
      <w:tr w:rsidR="003D30F7" w:rsidRPr="00902CF9" w14:paraId="2ECE867C" w14:textId="77777777" w:rsidTr="00C154EB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5DB1" w14:textId="440A1013" w:rsidR="003D30F7" w:rsidRDefault="003D30F7" w:rsidP="0070252E">
            <w:pPr>
              <w:rPr>
                <w:rFonts w:cs="Arial"/>
                <w:spacing w:val="-3"/>
                <w:szCs w:val="20"/>
              </w:rPr>
            </w:pPr>
            <w:r>
              <w:rPr>
                <w:rFonts w:cs="Arial"/>
                <w:spacing w:val="-3"/>
                <w:szCs w:val="20"/>
              </w:rPr>
              <w:t>SOHONOS 1.5 MG CAPSULE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2E03" w14:textId="1B25EC6F" w:rsidR="003D30F7" w:rsidRPr="000C3796" w:rsidRDefault="003D30F7" w:rsidP="000C3796">
            <w:pPr>
              <w:jc w:val="center"/>
              <w:rPr>
                <w:rFonts w:cs="Arial"/>
                <w:spacing w:val="-3"/>
                <w:szCs w:val="20"/>
              </w:rPr>
            </w:pPr>
            <w:r w:rsidRPr="000C3796">
              <w:rPr>
                <w:rFonts w:cs="Arial"/>
                <w:spacing w:val="-3"/>
                <w:szCs w:val="20"/>
              </w:rPr>
              <w:t>$525</w:t>
            </w:r>
          </w:p>
        </w:tc>
      </w:tr>
      <w:tr w:rsidR="003D30F7" w:rsidRPr="00902CF9" w14:paraId="1AB028E6" w14:textId="77777777" w:rsidTr="00C154EB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001" w14:textId="731DAEE8" w:rsidR="003D30F7" w:rsidRDefault="003D30F7" w:rsidP="0070252E">
            <w:pPr>
              <w:rPr>
                <w:rFonts w:cs="Arial"/>
                <w:spacing w:val="-3"/>
                <w:szCs w:val="20"/>
              </w:rPr>
            </w:pPr>
            <w:r>
              <w:rPr>
                <w:rFonts w:cs="Arial"/>
                <w:spacing w:val="-3"/>
                <w:szCs w:val="20"/>
              </w:rPr>
              <w:t>SOHONOS 2.5 MG CAPSULE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72D" w14:textId="1E8958E0" w:rsidR="003D30F7" w:rsidRPr="000C3796" w:rsidRDefault="003D30F7" w:rsidP="000C3796">
            <w:pPr>
              <w:jc w:val="center"/>
              <w:rPr>
                <w:rFonts w:cs="Arial"/>
                <w:spacing w:val="-3"/>
                <w:szCs w:val="20"/>
              </w:rPr>
            </w:pPr>
            <w:r w:rsidRPr="000C3796">
              <w:rPr>
                <w:rFonts w:cs="Arial"/>
                <w:spacing w:val="-3"/>
                <w:szCs w:val="20"/>
              </w:rPr>
              <w:t>$876</w:t>
            </w:r>
          </w:p>
        </w:tc>
      </w:tr>
      <w:tr w:rsidR="003D30F7" w:rsidRPr="00902CF9" w14:paraId="792367C7" w14:textId="77777777" w:rsidTr="00C154EB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92E8" w14:textId="5E5136E6" w:rsidR="003D30F7" w:rsidRDefault="003D30F7" w:rsidP="0070252E">
            <w:pPr>
              <w:rPr>
                <w:rFonts w:cs="Arial"/>
                <w:spacing w:val="-3"/>
                <w:szCs w:val="20"/>
              </w:rPr>
            </w:pPr>
            <w:r>
              <w:rPr>
                <w:rFonts w:cs="Arial"/>
                <w:spacing w:val="-3"/>
                <w:szCs w:val="20"/>
              </w:rPr>
              <w:t>SOHONOS 5 MG CAPSULE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7145" w14:textId="6943A7B3" w:rsidR="003D30F7" w:rsidRPr="000C3796" w:rsidRDefault="003D30F7" w:rsidP="000C3796">
            <w:pPr>
              <w:jc w:val="center"/>
              <w:rPr>
                <w:rFonts w:cs="Arial"/>
                <w:spacing w:val="-3"/>
                <w:szCs w:val="20"/>
              </w:rPr>
            </w:pPr>
            <w:r w:rsidRPr="000C3796">
              <w:rPr>
                <w:rFonts w:cs="Arial"/>
                <w:spacing w:val="-3"/>
                <w:szCs w:val="20"/>
              </w:rPr>
              <w:t>$1,752</w:t>
            </w:r>
          </w:p>
        </w:tc>
      </w:tr>
      <w:tr w:rsidR="003D30F7" w:rsidRPr="00902CF9" w14:paraId="36175E73" w14:textId="77777777" w:rsidTr="00C154EB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F5F" w14:textId="398F382C" w:rsidR="003D30F7" w:rsidRDefault="003D30F7" w:rsidP="0070252E">
            <w:pPr>
              <w:rPr>
                <w:rFonts w:cs="Arial"/>
                <w:spacing w:val="-3"/>
                <w:szCs w:val="20"/>
              </w:rPr>
            </w:pPr>
            <w:r>
              <w:rPr>
                <w:rFonts w:cs="Arial"/>
                <w:spacing w:val="-3"/>
                <w:szCs w:val="20"/>
              </w:rPr>
              <w:t>SOHONOS 10 MG CAPSULE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77B" w14:textId="3D3CB536" w:rsidR="003D30F7" w:rsidRPr="000C3796" w:rsidRDefault="003D30F7" w:rsidP="000C3796">
            <w:pPr>
              <w:jc w:val="center"/>
              <w:rPr>
                <w:rFonts w:cs="Arial"/>
                <w:spacing w:val="-3"/>
                <w:szCs w:val="20"/>
              </w:rPr>
            </w:pPr>
            <w:r w:rsidRPr="000C3796">
              <w:rPr>
                <w:rFonts w:cs="Arial"/>
                <w:spacing w:val="-3"/>
                <w:szCs w:val="20"/>
              </w:rPr>
              <w:t>$3,504</w:t>
            </w:r>
          </w:p>
        </w:tc>
      </w:tr>
      <w:tr w:rsidR="00D9625F" w:rsidRPr="00902CF9" w14:paraId="3512D1B3" w14:textId="77777777" w:rsidTr="00C154EB">
        <w:trPr>
          <w:trHeight w:val="232"/>
        </w:trPr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6AEBBA8A" w14:textId="77777777" w:rsidR="00D9625F" w:rsidRPr="00CA4BC8" w:rsidRDefault="00D9625F" w:rsidP="003D30F7">
            <w:pPr>
              <w:rPr>
                <w:rFonts w:cs="Arial"/>
                <w:b/>
                <w:bCs/>
                <w:spacing w:val="-3"/>
                <w:szCs w:val="20"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14:paraId="70602FB3" w14:textId="77777777" w:rsidR="00D9625F" w:rsidRPr="00CA4BC8" w:rsidRDefault="00D9625F" w:rsidP="000C3796">
            <w:pPr>
              <w:jc w:val="center"/>
              <w:rPr>
                <w:rFonts w:cs="Arial"/>
                <w:spacing w:val="-3"/>
                <w:szCs w:val="20"/>
              </w:rPr>
            </w:pPr>
          </w:p>
        </w:tc>
      </w:tr>
      <w:tr w:rsidR="00CA4BC8" w:rsidRPr="00902CF9" w14:paraId="6CCE3A62" w14:textId="77777777" w:rsidTr="00CA4BC8">
        <w:trPr>
          <w:trHeight w:val="232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375FCC5" w14:textId="6505130E" w:rsidR="003D30F7" w:rsidRDefault="003D30F7" w:rsidP="003D30F7">
            <w:pPr>
              <w:rPr>
                <w:rFonts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bCs/>
                <w:spacing w:val="-3"/>
                <w:szCs w:val="20"/>
              </w:rPr>
              <w:t>Cost per Year for Children</w:t>
            </w:r>
          </w:p>
          <w:p w14:paraId="71B17B8E" w14:textId="6F5CCDCF" w:rsidR="006A4368" w:rsidRPr="00C154EB" w:rsidRDefault="0089391C" w:rsidP="003D30F7">
            <w:pPr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Cost based on 30 kg </w:t>
            </w:r>
            <w:proofErr w:type="gramStart"/>
            <w:r>
              <w:rPr>
                <w:rFonts w:cs="Arial"/>
                <w:spacing w:val="-3"/>
                <w:sz w:val="18"/>
                <w:szCs w:val="18"/>
              </w:rPr>
              <w:t>participant</w:t>
            </w:r>
            <w:proofErr w:type="gramEnd"/>
            <w:r>
              <w:rPr>
                <w:rFonts w:cs="Arial"/>
                <w:spacing w:val="-3"/>
                <w:sz w:val="18"/>
                <w:szCs w:val="18"/>
              </w:rPr>
              <w:t xml:space="preserve"> with 2 flare-ups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DA51" w14:textId="24FC3A9A" w:rsidR="003D30F7" w:rsidRPr="000C3796" w:rsidRDefault="003D30F7" w:rsidP="000C3796">
            <w:pPr>
              <w:jc w:val="center"/>
              <w:rPr>
                <w:rFonts w:cs="Arial"/>
                <w:spacing w:val="-3"/>
                <w:szCs w:val="20"/>
              </w:rPr>
            </w:pPr>
            <w:r w:rsidRPr="000C3796">
              <w:rPr>
                <w:rFonts w:cs="Arial"/>
                <w:spacing w:val="-3"/>
                <w:szCs w:val="20"/>
              </w:rPr>
              <w:t>$688,029</w:t>
            </w:r>
            <w:r w:rsidR="006A4368">
              <w:rPr>
                <w:rFonts w:cs="Arial"/>
                <w:spacing w:val="-3"/>
                <w:szCs w:val="20"/>
              </w:rPr>
              <w:t xml:space="preserve"> </w:t>
            </w:r>
            <w:r w:rsidR="006A4368" w:rsidRPr="00C154EB">
              <w:rPr>
                <w:rFonts w:cs="Arial"/>
                <w:spacing w:val="-3"/>
                <w:sz w:val="16"/>
                <w:szCs w:val="16"/>
              </w:rPr>
              <w:t>MAC</w:t>
            </w:r>
          </w:p>
        </w:tc>
      </w:tr>
      <w:tr w:rsidR="003D30F7" w:rsidRPr="00902CF9" w14:paraId="6C9F5820" w14:textId="77777777" w:rsidTr="00C154EB">
        <w:trPr>
          <w:trHeight w:val="232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DF70333" w14:textId="529D86C4" w:rsidR="003D30F7" w:rsidRDefault="003D30F7" w:rsidP="003D30F7">
            <w:pPr>
              <w:rPr>
                <w:rFonts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bCs/>
                <w:spacing w:val="-3"/>
                <w:szCs w:val="20"/>
              </w:rPr>
              <w:lastRenderedPageBreak/>
              <w:t>Cost per Year for Adults</w:t>
            </w:r>
          </w:p>
          <w:p w14:paraId="7DE81801" w14:textId="27304261" w:rsidR="006A4368" w:rsidRPr="00F24DBD" w:rsidRDefault="0089391C" w:rsidP="00C154EB">
            <w:pPr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Cost based on </w:t>
            </w:r>
            <w:r w:rsidR="00F24DBD">
              <w:rPr>
                <w:rFonts w:cs="Arial"/>
                <w:spacing w:val="-3"/>
                <w:sz w:val="18"/>
                <w:szCs w:val="18"/>
              </w:rPr>
              <w:t xml:space="preserve">adult </w:t>
            </w:r>
            <w:r>
              <w:rPr>
                <w:rFonts w:cs="Arial"/>
                <w:spacing w:val="-3"/>
                <w:sz w:val="18"/>
                <w:szCs w:val="18"/>
              </w:rPr>
              <w:t>participants</w:t>
            </w:r>
            <w:r w:rsidR="00F24DBD">
              <w:rPr>
                <w:rFonts w:cs="Arial"/>
                <w:spacing w:val="-3"/>
                <w:sz w:val="18"/>
                <w:szCs w:val="18"/>
              </w:rPr>
              <w:t xml:space="preserve"> and children ≥ 14 years of age with 2 flare ups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952" w14:textId="69F6A18B" w:rsidR="003D30F7" w:rsidRPr="000C3796" w:rsidRDefault="003D30F7" w:rsidP="000C3796">
            <w:pPr>
              <w:jc w:val="center"/>
              <w:rPr>
                <w:rFonts w:cs="Arial"/>
                <w:spacing w:val="-3"/>
                <w:szCs w:val="20"/>
              </w:rPr>
            </w:pPr>
            <w:r w:rsidRPr="000C3796">
              <w:rPr>
                <w:rFonts w:cs="Arial"/>
                <w:spacing w:val="-3"/>
                <w:szCs w:val="20"/>
              </w:rPr>
              <w:t>$1,130,358</w:t>
            </w:r>
            <w:r w:rsidR="006A4368">
              <w:rPr>
                <w:rFonts w:cs="Arial"/>
                <w:spacing w:val="-3"/>
                <w:szCs w:val="20"/>
              </w:rPr>
              <w:t xml:space="preserve"> </w:t>
            </w:r>
            <w:r w:rsidR="006A4368" w:rsidRPr="003F3CEE">
              <w:rPr>
                <w:rFonts w:cs="Arial"/>
                <w:spacing w:val="-3"/>
                <w:sz w:val="16"/>
                <w:szCs w:val="16"/>
              </w:rPr>
              <w:t>MAC</w:t>
            </w:r>
          </w:p>
        </w:tc>
      </w:tr>
    </w:tbl>
    <w:p w14:paraId="71B9763E" w14:textId="77777777" w:rsidR="002A05D0" w:rsidRDefault="002A05D0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5DCEB281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="001D668C" w:rsidRPr="001D668C">
        <w:rPr>
          <w:rFonts w:cs="Arial"/>
          <w:szCs w:val="20"/>
        </w:rPr>
        <w:t xml:space="preserve"> </w:t>
      </w:r>
      <w:r w:rsidR="001D668C" w:rsidRPr="00452684">
        <w:rPr>
          <w:rFonts w:cs="Arial"/>
          <w:szCs w:val="20"/>
        </w:rPr>
        <w:t>Sohonos</w:t>
      </w:r>
      <w:r w:rsidR="001D668C" w:rsidRPr="00243706">
        <w:rPr>
          <w:rFonts w:cs="Arial"/>
          <w:szCs w:val="20"/>
          <w:vertAlign w:val="superscript"/>
        </w:rPr>
        <w:t>®</w:t>
      </w:r>
      <w:r w:rsidR="001D668C" w:rsidRPr="00452684">
        <w:rPr>
          <w:rFonts w:cs="Arial"/>
          <w:szCs w:val="20"/>
        </w:rPr>
        <w:t xml:space="preserve"> (palovarotene)</w:t>
      </w:r>
      <w:r w:rsidRPr="00C02553">
        <w:t xml:space="preserve"> 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03C6FF22" w14:textId="77777777" w:rsidR="00702CAD" w:rsidRPr="00E6477F" w:rsidRDefault="00702CAD" w:rsidP="00C154EB">
      <w:pPr>
        <w:pStyle w:val="ListParagraph"/>
      </w:pPr>
      <w:r w:rsidRPr="00AC22B7">
        <w:t>Must meet all of the following:</w:t>
      </w:r>
    </w:p>
    <w:p w14:paraId="04366A09" w14:textId="77777777" w:rsidR="00702CAD" w:rsidRDefault="00702CAD" w:rsidP="00C154EB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>Documented clinical diagnosis and genetic testing evidence of fibrodysplasia ossificans progressiva (FOP);</w:t>
      </w:r>
      <w:r w:rsidRPr="00D03CAE">
        <w:rPr>
          <w:rFonts w:cs="Arial"/>
        </w:rPr>
        <w:t xml:space="preserve"> </w:t>
      </w:r>
    </w:p>
    <w:p w14:paraId="368E94F7" w14:textId="77777777" w:rsidR="00702CAD" w:rsidRPr="007F1E4B" w:rsidRDefault="00702CAD" w:rsidP="00C154EB">
      <w:pPr>
        <w:pStyle w:val="ListParagraph"/>
        <w:numPr>
          <w:ilvl w:val="1"/>
          <w:numId w:val="6"/>
        </w:numPr>
        <w:rPr>
          <w:rFonts w:cs="Arial"/>
        </w:rPr>
      </w:pPr>
      <w:r w:rsidRPr="007F1E4B">
        <w:rPr>
          <w:rFonts w:cs="Arial"/>
        </w:rPr>
        <w:t xml:space="preserve">Prescribed by </w:t>
      </w:r>
      <w:r>
        <w:rPr>
          <w:rFonts w:cs="Arial"/>
        </w:rPr>
        <w:t xml:space="preserve">or in consultation with a </w:t>
      </w:r>
      <w:r w:rsidRPr="007F1E4B">
        <w:rPr>
          <w:rFonts w:cs="Arial"/>
        </w:rPr>
        <w:t>specialist in the treated disease state</w:t>
      </w:r>
      <w:r>
        <w:rPr>
          <w:rFonts w:cs="Arial"/>
          <w:b/>
          <w:bCs/>
        </w:rPr>
        <w:t xml:space="preserve">; </w:t>
      </w:r>
    </w:p>
    <w:p w14:paraId="16F59C54" w14:textId="77777777" w:rsidR="00702CAD" w:rsidRPr="001A4E7A" w:rsidRDefault="00702CAD" w:rsidP="00C154EB">
      <w:pPr>
        <w:pStyle w:val="ListParagraph"/>
        <w:numPr>
          <w:ilvl w:val="1"/>
          <w:numId w:val="6"/>
        </w:numPr>
        <w:rPr>
          <w:rFonts w:cs="Arial"/>
        </w:rPr>
      </w:pPr>
      <w:r w:rsidRPr="007F1E4B">
        <w:rPr>
          <w:rFonts w:cs="Arial"/>
        </w:rPr>
        <w:t xml:space="preserve">Participant aged ≥ </w:t>
      </w:r>
      <w:r>
        <w:rPr>
          <w:rFonts w:cs="Arial"/>
        </w:rPr>
        <w:t>8</w:t>
      </w:r>
      <w:r w:rsidRPr="007F1E4B">
        <w:rPr>
          <w:rFonts w:cs="Arial"/>
        </w:rPr>
        <w:t xml:space="preserve"> years</w:t>
      </w:r>
      <w:r>
        <w:rPr>
          <w:rFonts w:cs="Arial"/>
        </w:rPr>
        <w:t xml:space="preserve"> (female) or </w:t>
      </w:r>
      <w:r w:rsidRPr="007F1E4B">
        <w:rPr>
          <w:rFonts w:cs="Arial"/>
        </w:rPr>
        <w:t xml:space="preserve">≥ </w:t>
      </w:r>
      <w:r>
        <w:rPr>
          <w:rFonts w:cs="Arial"/>
        </w:rPr>
        <w:t>10</w:t>
      </w:r>
      <w:r w:rsidRPr="007F1E4B">
        <w:rPr>
          <w:rFonts w:cs="Arial"/>
        </w:rPr>
        <w:t xml:space="preserve"> years</w:t>
      </w:r>
      <w:r>
        <w:rPr>
          <w:rFonts w:cs="Arial"/>
        </w:rPr>
        <w:t xml:space="preserve"> (male);</w:t>
      </w:r>
      <w:r>
        <w:rPr>
          <w:rFonts w:cs="Arial"/>
          <w:b/>
          <w:bCs/>
        </w:rPr>
        <w:t xml:space="preserve"> </w:t>
      </w:r>
    </w:p>
    <w:p w14:paraId="677AF8C3" w14:textId="77777777" w:rsidR="00702CAD" w:rsidRPr="00001510" w:rsidRDefault="00702CAD" w:rsidP="00C154EB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 xml:space="preserve">Participant is not currently pregnant; </w:t>
      </w:r>
      <w:r>
        <w:rPr>
          <w:rFonts w:cs="Arial"/>
          <w:b/>
          <w:bCs/>
        </w:rPr>
        <w:t>AND</w:t>
      </w:r>
    </w:p>
    <w:p w14:paraId="73A63E28" w14:textId="77777777" w:rsidR="00702CAD" w:rsidRDefault="00702CAD" w:rsidP="008B438F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>Participant (female of appropriate age) is utilizing concurrent birth control methods for 1 month prior to treatment, during treatment and for 1 month after last dose.</w:t>
      </w:r>
    </w:p>
    <w:p w14:paraId="246DD748" w14:textId="77777777" w:rsidR="008B438F" w:rsidRPr="0046048F" w:rsidRDefault="008B438F" w:rsidP="00C154EB">
      <w:pPr>
        <w:pStyle w:val="ListParagraph"/>
        <w:numPr>
          <w:ilvl w:val="0"/>
          <w:numId w:val="0"/>
        </w:numPr>
        <w:ind w:left="720"/>
        <w:rPr>
          <w:rFonts w:cs="Arial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8B438F" w:rsidRDefault="00904D7A" w:rsidP="008B438F">
      <w:pPr>
        <w:pStyle w:val="ListParagraph"/>
      </w:pPr>
      <w:r w:rsidRPr="008B438F">
        <w:t>Therapy will deny with presence of one of the following:</w:t>
      </w:r>
    </w:p>
    <w:p w14:paraId="1D97C1E5" w14:textId="650CC38B" w:rsidR="00904D7A" w:rsidRPr="008B438F" w:rsidRDefault="00904D7A" w:rsidP="008B438F">
      <w:pPr>
        <w:pStyle w:val="ListParagraph"/>
        <w:numPr>
          <w:ilvl w:val="1"/>
          <w:numId w:val="6"/>
        </w:numPr>
      </w:pPr>
      <w:r w:rsidRPr="008B438F">
        <w:t>Any approval criteria are not met</w:t>
      </w:r>
      <w:r w:rsidR="00702CAD" w:rsidRPr="008B438F">
        <w:t>.</w:t>
      </w:r>
    </w:p>
    <w:p w14:paraId="3DB57F35" w14:textId="77777777" w:rsidR="00702CAD" w:rsidRPr="005328B2" w:rsidRDefault="00702CAD" w:rsidP="00702CAD">
      <w:pPr>
        <w:pStyle w:val="ListParagraph"/>
        <w:numPr>
          <w:ilvl w:val="0"/>
          <w:numId w:val="0"/>
        </w:numPr>
        <w:ind w:left="720"/>
      </w:pPr>
    </w:p>
    <w:p w14:paraId="0BD95161" w14:textId="697B98A5" w:rsidR="005F6104" w:rsidRPr="00C02553" w:rsidRDefault="005F6104" w:rsidP="005F6104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2DEFC377" w14:textId="77777777" w:rsidR="00B83A05" w:rsidRPr="004E3570" w:rsidRDefault="00343D6B" w:rsidP="00B83A05">
      <w:pPr>
        <w:rPr>
          <w:rFonts w:cs="Arial"/>
          <w:szCs w:val="20"/>
        </w:rPr>
      </w:pPr>
      <w:r w:rsidRPr="00696E3A">
        <w:rPr>
          <w:b/>
          <w:bCs/>
        </w:rPr>
        <w:t>Default Approval Period:</w:t>
      </w:r>
      <w:r w:rsidR="00973BD6">
        <w:t xml:space="preserve"> </w:t>
      </w:r>
      <w:r w:rsidR="00B83A05">
        <w:rPr>
          <w:rFonts w:cs="Arial"/>
          <w:szCs w:val="20"/>
        </w:rPr>
        <w:t>3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09EB81D5" w14:textId="62DB254E" w:rsidR="008B6F44" w:rsidRPr="008B6F44" w:rsidRDefault="008B6F44" w:rsidP="008B6F44">
      <w:pPr>
        <w:pStyle w:val="ListParagraph"/>
        <w:numPr>
          <w:ilvl w:val="0"/>
          <w:numId w:val="17"/>
        </w:numPr>
        <w:spacing w:after="200" w:line="276" w:lineRule="auto"/>
        <w:rPr>
          <w:rFonts w:cs="Arial"/>
          <w:szCs w:val="20"/>
          <w:shd w:val="clear" w:color="auto" w:fill="FFFFFF"/>
        </w:rPr>
      </w:pPr>
      <w:r w:rsidRPr="008B6F44">
        <w:rPr>
          <w:rFonts w:cs="Arial"/>
          <w:bCs/>
          <w:szCs w:val="20"/>
          <w:shd w:val="clear" w:color="auto" w:fill="FFFFFF"/>
        </w:rPr>
        <w:t>Sohonos</w:t>
      </w:r>
      <w:r w:rsidRPr="008B6F44">
        <w:rPr>
          <w:rFonts w:cs="Arial"/>
          <w:szCs w:val="20"/>
          <w:shd w:val="clear" w:color="auto" w:fill="FFFFFF"/>
        </w:rPr>
        <w:t xml:space="preserve"> [package insert]. Cambridge, MA: Ipsen Biopharmaceuticals, Inc.; </w:t>
      </w:r>
      <w:r w:rsidR="003F7D67">
        <w:rPr>
          <w:rFonts w:cs="Arial"/>
          <w:szCs w:val="20"/>
          <w:shd w:val="clear" w:color="auto" w:fill="FFFFFF"/>
        </w:rPr>
        <w:t>March</w:t>
      </w:r>
      <w:r w:rsidRPr="008B6F44">
        <w:rPr>
          <w:rFonts w:cs="Arial"/>
          <w:szCs w:val="20"/>
          <w:shd w:val="clear" w:color="auto" w:fill="FFFFFF"/>
        </w:rPr>
        <w:t xml:space="preserve"> 202</w:t>
      </w:r>
      <w:r w:rsidR="003F7D67">
        <w:rPr>
          <w:rFonts w:cs="Arial"/>
          <w:szCs w:val="20"/>
          <w:shd w:val="clear" w:color="auto" w:fill="FFFFFF"/>
        </w:rPr>
        <w:t>5</w:t>
      </w:r>
      <w:r w:rsidRPr="008B6F44">
        <w:rPr>
          <w:rFonts w:cs="Arial"/>
          <w:szCs w:val="20"/>
          <w:shd w:val="clear" w:color="auto" w:fill="FFFFFF"/>
        </w:rPr>
        <w:t>.</w:t>
      </w:r>
    </w:p>
    <w:p w14:paraId="2AE089B8" w14:textId="77777777" w:rsidR="008B6F44" w:rsidRPr="008B6F44" w:rsidRDefault="008B6F44" w:rsidP="008B6F44">
      <w:pPr>
        <w:pStyle w:val="ListParagraph"/>
        <w:numPr>
          <w:ilvl w:val="0"/>
          <w:numId w:val="17"/>
        </w:numPr>
        <w:spacing w:after="200" w:line="276" w:lineRule="auto"/>
        <w:rPr>
          <w:rFonts w:cs="Arial"/>
          <w:szCs w:val="20"/>
          <w:shd w:val="clear" w:color="auto" w:fill="FFFFFF"/>
        </w:rPr>
      </w:pPr>
      <w:r w:rsidRPr="008B6F44">
        <w:rPr>
          <w:rFonts w:cs="Arial"/>
          <w:szCs w:val="20"/>
          <w:shd w:val="clear" w:color="auto" w:fill="FFFFFF"/>
        </w:rPr>
        <w:t xml:space="preserve">IPD analytics. New drug review. Sohonos (palovarotene). September 2023. </w:t>
      </w:r>
    </w:p>
    <w:p w14:paraId="03101A4F" w14:textId="7AE7825E" w:rsidR="008B6F44" w:rsidRPr="008B6F44" w:rsidRDefault="008B6F44" w:rsidP="008B6F44">
      <w:pPr>
        <w:pStyle w:val="ListParagraph"/>
        <w:numPr>
          <w:ilvl w:val="0"/>
          <w:numId w:val="17"/>
        </w:numPr>
        <w:spacing w:after="200" w:line="276" w:lineRule="auto"/>
        <w:rPr>
          <w:rFonts w:cs="Arial"/>
          <w:szCs w:val="20"/>
          <w:shd w:val="clear" w:color="auto" w:fill="FFFFFF"/>
        </w:rPr>
      </w:pPr>
      <w:r w:rsidRPr="008B6F44">
        <w:rPr>
          <w:rFonts w:cs="Arial"/>
          <w:szCs w:val="20"/>
          <w:shd w:val="clear" w:color="auto" w:fill="FFFFFF"/>
        </w:rPr>
        <w:t xml:space="preserve">Tis JE. Fibrodysplasia ossificans progressiva. UpToDate. </w:t>
      </w:r>
      <w:hyperlink r:id="rId11" w:tooltip="UpToDate - Fibrodysplasia Ossificans Progressiva" w:history="1">
        <w:r w:rsidRPr="00F75356">
          <w:rPr>
            <w:rStyle w:val="Hyperlink"/>
            <w:rFonts w:cs="Arial"/>
            <w:szCs w:val="20"/>
            <w:shd w:val="clear" w:color="auto" w:fill="FFFFFF"/>
          </w:rPr>
          <w:t>https://www.uptodate.com/contents/fibrodysplasia-ossificans-progressiva</w:t>
        </w:r>
      </w:hyperlink>
      <w:r w:rsidRPr="008B6F44">
        <w:rPr>
          <w:rFonts w:cs="Arial"/>
          <w:szCs w:val="20"/>
          <w:shd w:val="clear" w:color="auto" w:fill="FFFFFF"/>
        </w:rPr>
        <w:t xml:space="preserve">. Updated November 2023. Accessed November 17, 2023. </w:t>
      </w:r>
    </w:p>
    <w:p w14:paraId="1BCE0099" w14:textId="6BAAC441" w:rsidR="008B6F44" w:rsidRPr="008B6F44" w:rsidRDefault="008B6F44" w:rsidP="008B6F44">
      <w:pPr>
        <w:pStyle w:val="ListParagraph"/>
        <w:numPr>
          <w:ilvl w:val="0"/>
          <w:numId w:val="17"/>
        </w:numPr>
        <w:spacing w:after="200" w:line="276" w:lineRule="auto"/>
        <w:rPr>
          <w:rFonts w:cs="Arial"/>
          <w:szCs w:val="20"/>
          <w:shd w:val="clear" w:color="auto" w:fill="FFFFFF"/>
        </w:rPr>
      </w:pPr>
      <w:r w:rsidRPr="008B6F44">
        <w:rPr>
          <w:rFonts w:cs="Arial"/>
          <w:szCs w:val="20"/>
          <w:shd w:val="clear" w:color="auto" w:fill="FFFFFF"/>
          <w:lang w:val="it-IT"/>
        </w:rPr>
        <w:t xml:space="preserve">Agrawal U, Tiwari V. Fibrodysplasia Ossificans Progressiva. </w:t>
      </w:r>
      <w:r w:rsidRPr="008B6F44">
        <w:rPr>
          <w:rFonts w:cs="Arial"/>
          <w:szCs w:val="20"/>
          <w:shd w:val="clear" w:color="auto" w:fill="FFFFFF"/>
        </w:rPr>
        <w:t xml:space="preserve">StatPearls Publishing. January 2023. Available from: </w:t>
      </w:r>
      <w:hyperlink r:id="rId12" w:tooltip="Fibrodysplasia Ossificans Progressiva StatPearls" w:history="1">
        <w:r w:rsidRPr="002D4AA3">
          <w:rPr>
            <w:rStyle w:val="Hyperlink"/>
            <w:rFonts w:cs="Arial"/>
            <w:szCs w:val="20"/>
            <w:shd w:val="clear" w:color="auto" w:fill="FFFFFF"/>
          </w:rPr>
          <w:t>https://www.ncbi.nlm.nih.gov/books/NBK576373/</w:t>
        </w:r>
      </w:hyperlink>
      <w:r w:rsidRPr="008B6F44">
        <w:rPr>
          <w:rFonts w:cs="Arial"/>
          <w:szCs w:val="20"/>
          <w:shd w:val="clear" w:color="auto" w:fill="FFFFFF"/>
        </w:rPr>
        <w:t>.</w:t>
      </w:r>
    </w:p>
    <w:p w14:paraId="3FA1E7DB" w14:textId="5683EF45" w:rsidR="00777CA4" w:rsidRPr="008B6F44" w:rsidRDefault="008B6F44" w:rsidP="008B6F44">
      <w:pPr>
        <w:pStyle w:val="ListParagraph"/>
        <w:numPr>
          <w:ilvl w:val="0"/>
          <w:numId w:val="17"/>
        </w:numPr>
        <w:spacing w:after="200" w:line="276" w:lineRule="auto"/>
        <w:rPr>
          <w:rFonts w:cs="Arial"/>
          <w:szCs w:val="20"/>
          <w:shd w:val="clear" w:color="auto" w:fill="FFFFFF"/>
        </w:rPr>
      </w:pPr>
      <w:r w:rsidRPr="008B6F44">
        <w:rPr>
          <w:rFonts w:cs="Arial"/>
          <w:szCs w:val="20"/>
          <w:shd w:val="clear" w:color="auto" w:fill="FFFFFF"/>
        </w:rPr>
        <w:t>Kaplan, Frederick S., et al. "The medical management of fibrodysplasia ossificans progressiva: current treatment considerations." Proc Intl Clin Council FOP 2 (2022): 1-127.</w:t>
      </w:r>
    </w:p>
    <w:sectPr w:rsidR="00777CA4" w:rsidRPr="008B6F44" w:rsidSect="00AB0B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F6FB" w14:textId="77777777" w:rsidR="00724BF9" w:rsidRPr="00C02553" w:rsidRDefault="00724BF9" w:rsidP="00AE77DB">
      <w:r w:rsidRPr="00C02553">
        <w:separator/>
      </w:r>
    </w:p>
  </w:endnote>
  <w:endnote w:type="continuationSeparator" w:id="0">
    <w:p w14:paraId="1974D687" w14:textId="77777777" w:rsidR="00724BF9" w:rsidRPr="00C02553" w:rsidRDefault="00724BF9" w:rsidP="00AE77DB">
      <w:r w:rsidRPr="00C02553">
        <w:continuationSeparator/>
      </w:r>
    </w:p>
  </w:endnote>
  <w:endnote w:type="continuationNotice" w:id="1">
    <w:p w14:paraId="4275B85E" w14:textId="77777777" w:rsidR="00724BF9" w:rsidRPr="00C02553" w:rsidRDefault="00724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A809" w14:textId="77777777" w:rsidR="00724BF9" w:rsidRPr="00C02553" w:rsidRDefault="00724BF9" w:rsidP="00AE77DB">
      <w:r w:rsidRPr="00C02553">
        <w:separator/>
      </w:r>
    </w:p>
  </w:footnote>
  <w:footnote w:type="continuationSeparator" w:id="0">
    <w:p w14:paraId="65549E77" w14:textId="77777777" w:rsidR="00724BF9" w:rsidRPr="00C02553" w:rsidRDefault="00724BF9" w:rsidP="00AE77DB">
      <w:r w:rsidRPr="00C02553">
        <w:continuationSeparator/>
      </w:r>
    </w:p>
  </w:footnote>
  <w:footnote w:type="continuationNotice" w:id="1">
    <w:p w14:paraId="700B2544" w14:textId="77777777" w:rsidR="00724BF9" w:rsidRPr="00C02553" w:rsidRDefault="00724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4155B2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4155B2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4155B2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66432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E8A7ECC"/>
    <w:multiLevelType w:val="hybridMultilevel"/>
    <w:tmpl w:val="16087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AB37B0"/>
    <w:multiLevelType w:val="hybridMultilevel"/>
    <w:tmpl w:val="356E1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6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1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6"/>
  </w:num>
  <w:num w:numId="14" w16cid:durableId="1805081292">
    <w:abstractNumId w:val="12"/>
  </w:num>
  <w:num w:numId="15" w16cid:durableId="1911186802">
    <w:abstractNumId w:val="7"/>
  </w:num>
  <w:num w:numId="16" w16cid:durableId="675349572">
    <w:abstractNumId w:val="13"/>
  </w:num>
  <w:num w:numId="17" w16cid:durableId="204578517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61541"/>
    <w:rsid w:val="00064162"/>
    <w:rsid w:val="0006476C"/>
    <w:rsid w:val="00065C22"/>
    <w:rsid w:val="00074464"/>
    <w:rsid w:val="00076030"/>
    <w:rsid w:val="00082590"/>
    <w:rsid w:val="000913C3"/>
    <w:rsid w:val="000953B9"/>
    <w:rsid w:val="000A413B"/>
    <w:rsid w:val="000A6279"/>
    <w:rsid w:val="000B496B"/>
    <w:rsid w:val="000C3796"/>
    <w:rsid w:val="000C3940"/>
    <w:rsid w:val="000C5992"/>
    <w:rsid w:val="000E1479"/>
    <w:rsid w:val="000E231E"/>
    <w:rsid w:val="000E247D"/>
    <w:rsid w:val="000E6B14"/>
    <w:rsid w:val="000E70D8"/>
    <w:rsid w:val="00100DF7"/>
    <w:rsid w:val="001062F6"/>
    <w:rsid w:val="00112FC7"/>
    <w:rsid w:val="0011498A"/>
    <w:rsid w:val="00124CB3"/>
    <w:rsid w:val="00125F5F"/>
    <w:rsid w:val="00126951"/>
    <w:rsid w:val="00126B60"/>
    <w:rsid w:val="00127EF6"/>
    <w:rsid w:val="001310AD"/>
    <w:rsid w:val="001314A5"/>
    <w:rsid w:val="00132C7F"/>
    <w:rsid w:val="00144DBE"/>
    <w:rsid w:val="0015207D"/>
    <w:rsid w:val="00152C8B"/>
    <w:rsid w:val="0015636A"/>
    <w:rsid w:val="00172053"/>
    <w:rsid w:val="001761BF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D668C"/>
    <w:rsid w:val="001E2CCB"/>
    <w:rsid w:val="001E4CBA"/>
    <w:rsid w:val="001E523C"/>
    <w:rsid w:val="001E61DF"/>
    <w:rsid w:val="001F2B9F"/>
    <w:rsid w:val="001F3A35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0FBF"/>
    <w:rsid w:val="00255404"/>
    <w:rsid w:val="0025594F"/>
    <w:rsid w:val="00270C5E"/>
    <w:rsid w:val="00290A03"/>
    <w:rsid w:val="0029159A"/>
    <w:rsid w:val="00291600"/>
    <w:rsid w:val="002A02F4"/>
    <w:rsid w:val="002A05D0"/>
    <w:rsid w:val="002B6839"/>
    <w:rsid w:val="002C266E"/>
    <w:rsid w:val="002C2C41"/>
    <w:rsid w:val="002C2DED"/>
    <w:rsid w:val="002C62E7"/>
    <w:rsid w:val="002D0E44"/>
    <w:rsid w:val="002D4AA3"/>
    <w:rsid w:val="002E05E2"/>
    <w:rsid w:val="002E2DD6"/>
    <w:rsid w:val="002E3F28"/>
    <w:rsid w:val="002F0E52"/>
    <w:rsid w:val="002F221C"/>
    <w:rsid w:val="002F2274"/>
    <w:rsid w:val="002F2405"/>
    <w:rsid w:val="002F690F"/>
    <w:rsid w:val="0030301F"/>
    <w:rsid w:val="00303B21"/>
    <w:rsid w:val="003105A5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0DD4"/>
    <w:rsid w:val="003345D2"/>
    <w:rsid w:val="003355AC"/>
    <w:rsid w:val="00343D6B"/>
    <w:rsid w:val="00346090"/>
    <w:rsid w:val="00347FB5"/>
    <w:rsid w:val="00355515"/>
    <w:rsid w:val="003608B5"/>
    <w:rsid w:val="003613AF"/>
    <w:rsid w:val="00366593"/>
    <w:rsid w:val="003875A0"/>
    <w:rsid w:val="003878C1"/>
    <w:rsid w:val="00396C0B"/>
    <w:rsid w:val="003A630F"/>
    <w:rsid w:val="003B35A8"/>
    <w:rsid w:val="003B3958"/>
    <w:rsid w:val="003B4820"/>
    <w:rsid w:val="003B5F4B"/>
    <w:rsid w:val="003B682F"/>
    <w:rsid w:val="003C53FC"/>
    <w:rsid w:val="003C7013"/>
    <w:rsid w:val="003D30F7"/>
    <w:rsid w:val="003D4704"/>
    <w:rsid w:val="003D641B"/>
    <w:rsid w:val="003F227C"/>
    <w:rsid w:val="003F7D67"/>
    <w:rsid w:val="004023CC"/>
    <w:rsid w:val="00407564"/>
    <w:rsid w:val="00411152"/>
    <w:rsid w:val="004152B2"/>
    <w:rsid w:val="004155B2"/>
    <w:rsid w:val="004156AA"/>
    <w:rsid w:val="004253A1"/>
    <w:rsid w:val="004313B6"/>
    <w:rsid w:val="00433339"/>
    <w:rsid w:val="00444C16"/>
    <w:rsid w:val="00446BBC"/>
    <w:rsid w:val="004472C0"/>
    <w:rsid w:val="00450705"/>
    <w:rsid w:val="00451928"/>
    <w:rsid w:val="00460B5D"/>
    <w:rsid w:val="0046618B"/>
    <w:rsid w:val="00473C94"/>
    <w:rsid w:val="0048608C"/>
    <w:rsid w:val="00496E57"/>
    <w:rsid w:val="004A6758"/>
    <w:rsid w:val="004B3E10"/>
    <w:rsid w:val="004C0F5D"/>
    <w:rsid w:val="004C375A"/>
    <w:rsid w:val="004C4954"/>
    <w:rsid w:val="004C5767"/>
    <w:rsid w:val="004D0080"/>
    <w:rsid w:val="004D5322"/>
    <w:rsid w:val="004D78B0"/>
    <w:rsid w:val="004E209B"/>
    <w:rsid w:val="004E611F"/>
    <w:rsid w:val="004F2A79"/>
    <w:rsid w:val="004F4D37"/>
    <w:rsid w:val="00501A14"/>
    <w:rsid w:val="00501DE3"/>
    <w:rsid w:val="005058CB"/>
    <w:rsid w:val="0051044D"/>
    <w:rsid w:val="005109B7"/>
    <w:rsid w:val="00510CAD"/>
    <w:rsid w:val="005139E4"/>
    <w:rsid w:val="00515075"/>
    <w:rsid w:val="00516D12"/>
    <w:rsid w:val="00520FE9"/>
    <w:rsid w:val="005211BD"/>
    <w:rsid w:val="005233E7"/>
    <w:rsid w:val="00526C8D"/>
    <w:rsid w:val="005328B2"/>
    <w:rsid w:val="00535BD5"/>
    <w:rsid w:val="00540977"/>
    <w:rsid w:val="00551668"/>
    <w:rsid w:val="005572D5"/>
    <w:rsid w:val="00566BE4"/>
    <w:rsid w:val="00570D21"/>
    <w:rsid w:val="00576113"/>
    <w:rsid w:val="00590652"/>
    <w:rsid w:val="0059235F"/>
    <w:rsid w:val="00596936"/>
    <w:rsid w:val="005A059B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5F6104"/>
    <w:rsid w:val="0060042F"/>
    <w:rsid w:val="006008BC"/>
    <w:rsid w:val="00602CFD"/>
    <w:rsid w:val="00606B55"/>
    <w:rsid w:val="00612A7B"/>
    <w:rsid w:val="00616E5E"/>
    <w:rsid w:val="006173A4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368"/>
    <w:rsid w:val="006A4BBD"/>
    <w:rsid w:val="006A52F1"/>
    <w:rsid w:val="006B561D"/>
    <w:rsid w:val="006B6D5D"/>
    <w:rsid w:val="006D2330"/>
    <w:rsid w:val="006D2985"/>
    <w:rsid w:val="006E0F8B"/>
    <w:rsid w:val="006E12F7"/>
    <w:rsid w:val="006E29D7"/>
    <w:rsid w:val="0070252E"/>
    <w:rsid w:val="00702CAD"/>
    <w:rsid w:val="007034FE"/>
    <w:rsid w:val="007068A4"/>
    <w:rsid w:val="00706D67"/>
    <w:rsid w:val="00713052"/>
    <w:rsid w:val="00721367"/>
    <w:rsid w:val="007231FA"/>
    <w:rsid w:val="00724BF9"/>
    <w:rsid w:val="00732C67"/>
    <w:rsid w:val="00734418"/>
    <w:rsid w:val="00757826"/>
    <w:rsid w:val="00762B13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7F593C"/>
    <w:rsid w:val="00811A70"/>
    <w:rsid w:val="0081406E"/>
    <w:rsid w:val="00832211"/>
    <w:rsid w:val="008325F4"/>
    <w:rsid w:val="00832AC8"/>
    <w:rsid w:val="00846FA4"/>
    <w:rsid w:val="008524BA"/>
    <w:rsid w:val="00852B74"/>
    <w:rsid w:val="00856928"/>
    <w:rsid w:val="00865538"/>
    <w:rsid w:val="00870875"/>
    <w:rsid w:val="0088225C"/>
    <w:rsid w:val="0088237E"/>
    <w:rsid w:val="00884026"/>
    <w:rsid w:val="00884C78"/>
    <w:rsid w:val="008859E1"/>
    <w:rsid w:val="0089391C"/>
    <w:rsid w:val="00896131"/>
    <w:rsid w:val="00896264"/>
    <w:rsid w:val="008A5D88"/>
    <w:rsid w:val="008B2851"/>
    <w:rsid w:val="008B438F"/>
    <w:rsid w:val="008B6F44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92EA3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2BE7"/>
    <w:rsid w:val="009F518A"/>
    <w:rsid w:val="00A02AF6"/>
    <w:rsid w:val="00A05B60"/>
    <w:rsid w:val="00A107BA"/>
    <w:rsid w:val="00A13266"/>
    <w:rsid w:val="00A14FA6"/>
    <w:rsid w:val="00A15D64"/>
    <w:rsid w:val="00A20575"/>
    <w:rsid w:val="00A32452"/>
    <w:rsid w:val="00A325CC"/>
    <w:rsid w:val="00A32BBF"/>
    <w:rsid w:val="00A350EB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C3CD9"/>
    <w:rsid w:val="00AD2C5F"/>
    <w:rsid w:val="00AE1481"/>
    <w:rsid w:val="00AE27F9"/>
    <w:rsid w:val="00AE2A21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3A05"/>
    <w:rsid w:val="00B86372"/>
    <w:rsid w:val="00BA1C17"/>
    <w:rsid w:val="00BA1D65"/>
    <w:rsid w:val="00BA5F78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4EB6"/>
    <w:rsid w:val="00C056F9"/>
    <w:rsid w:val="00C07A7B"/>
    <w:rsid w:val="00C1018C"/>
    <w:rsid w:val="00C1150E"/>
    <w:rsid w:val="00C14D52"/>
    <w:rsid w:val="00C154EB"/>
    <w:rsid w:val="00C1557D"/>
    <w:rsid w:val="00C2586C"/>
    <w:rsid w:val="00C26001"/>
    <w:rsid w:val="00C34E72"/>
    <w:rsid w:val="00C56B1F"/>
    <w:rsid w:val="00C61B52"/>
    <w:rsid w:val="00C62745"/>
    <w:rsid w:val="00C654CA"/>
    <w:rsid w:val="00C763BD"/>
    <w:rsid w:val="00C779A8"/>
    <w:rsid w:val="00C82E19"/>
    <w:rsid w:val="00C96873"/>
    <w:rsid w:val="00CA1735"/>
    <w:rsid w:val="00CA207E"/>
    <w:rsid w:val="00CA3C4B"/>
    <w:rsid w:val="00CA4BC8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32D9"/>
    <w:rsid w:val="00D250D9"/>
    <w:rsid w:val="00D27533"/>
    <w:rsid w:val="00D42DA3"/>
    <w:rsid w:val="00D4546D"/>
    <w:rsid w:val="00D46CEA"/>
    <w:rsid w:val="00D47996"/>
    <w:rsid w:val="00D47C7B"/>
    <w:rsid w:val="00D61118"/>
    <w:rsid w:val="00D614F1"/>
    <w:rsid w:val="00D70D50"/>
    <w:rsid w:val="00D71917"/>
    <w:rsid w:val="00D95E68"/>
    <w:rsid w:val="00D9625F"/>
    <w:rsid w:val="00DA3A0F"/>
    <w:rsid w:val="00DA4E62"/>
    <w:rsid w:val="00DA6990"/>
    <w:rsid w:val="00DB27BA"/>
    <w:rsid w:val="00DB3009"/>
    <w:rsid w:val="00DB337A"/>
    <w:rsid w:val="00DC034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2B48"/>
    <w:rsid w:val="00E1386E"/>
    <w:rsid w:val="00E2369B"/>
    <w:rsid w:val="00E23EC0"/>
    <w:rsid w:val="00E33D8C"/>
    <w:rsid w:val="00E354AA"/>
    <w:rsid w:val="00E43D54"/>
    <w:rsid w:val="00E442FB"/>
    <w:rsid w:val="00E466AA"/>
    <w:rsid w:val="00E529DB"/>
    <w:rsid w:val="00E53A5E"/>
    <w:rsid w:val="00E6466A"/>
    <w:rsid w:val="00E72221"/>
    <w:rsid w:val="00E745AB"/>
    <w:rsid w:val="00E83428"/>
    <w:rsid w:val="00E84C58"/>
    <w:rsid w:val="00E873A5"/>
    <w:rsid w:val="00E90D11"/>
    <w:rsid w:val="00E915E5"/>
    <w:rsid w:val="00EA18F7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6F8B"/>
    <w:rsid w:val="00F012A2"/>
    <w:rsid w:val="00F03898"/>
    <w:rsid w:val="00F1527A"/>
    <w:rsid w:val="00F240CD"/>
    <w:rsid w:val="00F24DBD"/>
    <w:rsid w:val="00F2696B"/>
    <w:rsid w:val="00F27821"/>
    <w:rsid w:val="00F4092A"/>
    <w:rsid w:val="00F41F69"/>
    <w:rsid w:val="00F43E41"/>
    <w:rsid w:val="00F459FE"/>
    <w:rsid w:val="00F4790C"/>
    <w:rsid w:val="00F50C4B"/>
    <w:rsid w:val="00F54C08"/>
    <w:rsid w:val="00F553A2"/>
    <w:rsid w:val="00F6068C"/>
    <w:rsid w:val="00F62F33"/>
    <w:rsid w:val="00F63A52"/>
    <w:rsid w:val="00F730BA"/>
    <w:rsid w:val="00F75356"/>
    <w:rsid w:val="00F77896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E5BB6"/>
    <w:rsid w:val="00FF106B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2129BE48-D7C8-4C65-9B11-898CB537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F01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A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012A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A2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7535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A675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cbi.nlm.nih.gov/books/NBK576373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fibrodysplasia-ossificans-progressiv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550E3652ED413BBF433C264E82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91692-6478-4FD8-990C-1E851C55F229}"/>
      </w:docPartPr>
      <w:docPartBody>
        <w:p w:rsidR="005659D4" w:rsidRDefault="0082434C" w:rsidP="0082434C">
          <w:pPr>
            <w:pStyle w:val="95550E3652ED413BBF433C264E82B1D1"/>
          </w:pPr>
          <w:r w:rsidRPr="00860D4D">
            <w:rPr>
              <w:b/>
              <w:color w:val="7F7F7F" w:themeColor="text1" w:themeTint="80"/>
              <w:sz w:val="20"/>
              <w:szCs w:val="20"/>
            </w:rPr>
            <w:t>generic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4C"/>
    <w:rsid w:val="000509B9"/>
    <w:rsid w:val="00124CB3"/>
    <w:rsid w:val="002F221C"/>
    <w:rsid w:val="00366593"/>
    <w:rsid w:val="004C714B"/>
    <w:rsid w:val="005211BD"/>
    <w:rsid w:val="005659D4"/>
    <w:rsid w:val="006D2985"/>
    <w:rsid w:val="0082434C"/>
    <w:rsid w:val="0088237E"/>
    <w:rsid w:val="009F2BE7"/>
    <w:rsid w:val="00CB7C1B"/>
    <w:rsid w:val="00DF582F"/>
    <w:rsid w:val="00E015D3"/>
    <w:rsid w:val="00F2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550E3652ED413BBF433C264E82B1D1">
    <w:name w:val="95550E3652ED413BBF433C264E82B1D1"/>
    <w:rsid w:val="00824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D6403-20BD-45DA-A42D-9089CBBE7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9992BC-7C11-4A83-A97F-D2E41AE80BFC}">
  <ds:schemaRefs>
    <ds:schemaRef ds:uri="http://schemas.openxmlformats.org/package/2006/metadata/core-properties"/>
    <ds:schemaRef ds:uri="http://purl.org/dc/elements/1.1/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aba01ddc-ae9a-4c9e-819c-7140b4239cde"/>
    <ds:schemaRef ds:uri="http://schemas.microsoft.com/sharepoint/v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631</Words>
  <Characters>3733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Sohonos Clinical Edit</dc:title>
  <dc:subject/>
  <dc:creator>DMS</dc:creator>
  <cp:keywords/>
  <cp:lastModifiedBy>Dolan, John</cp:lastModifiedBy>
  <cp:revision>61</cp:revision>
  <cp:lastPrinted>2018-10-31T18:17:00Z</cp:lastPrinted>
  <dcterms:created xsi:type="dcterms:W3CDTF">2025-11-19T15:39:00Z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