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2FBC536B" w:rsidR="004C5767" w:rsidRPr="008859E1" w:rsidRDefault="004C5767" w:rsidP="00D27533">
      <w:pPr>
        <w:pStyle w:val="tbody"/>
        <w:rPr>
          <w:b w:val="0"/>
          <w:bCs/>
        </w:rPr>
      </w:pPr>
      <w:r w:rsidRPr="00C02553">
        <w:t>Drug/Drug Class:</w:t>
      </w:r>
      <w:r w:rsidR="003B4820" w:rsidRPr="00573856">
        <w:rPr>
          <w:b w:val="0"/>
          <w:bCs/>
        </w:rPr>
        <w:t xml:space="preserve"> </w:t>
      </w:r>
      <w:bookmarkStart w:id="1" w:name="_Hlk42768392"/>
      <w:r w:rsidR="00BC2C67" w:rsidRPr="00BC2C67">
        <w:rPr>
          <w:b w:val="0"/>
          <w:bCs/>
        </w:rPr>
        <w:t xml:space="preserve">Vesicular Monoamine Transporter 2 (VMAT2) Inhibitors </w:t>
      </w:r>
      <w:bookmarkEnd w:id="1"/>
      <w:r w:rsidR="00BC2C67" w:rsidRPr="00BC2C67">
        <w:rPr>
          <w:b w:val="0"/>
          <w:bCs/>
        </w:rPr>
        <w:t>PDL Edit</w:t>
      </w:r>
    </w:p>
    <w:p w14:paraId="7AD7FFCE" w14:textId="2D693D73" w:rsidR="004C5767" w:rsidRPr="00C02553" w:rsidRDefault="004C5767" w:rsidP="00D27533">
      <w:pPr>
        <w:pStyle w:val="tbody"/>
      </w:pPr>
      <w:r w:rsidRPr="00C02553">
        <w:t>First Implementation Date:</w:t>
      </w:r>
      <w:r w:rsidRPr="00573856">
        <w:rPr>
          <w:b w:val="0"/>
          <w:bCs/>
        </w:rPr>
        <w:t xml:space="preserve"> </w:t>
      </w:r>
      <w:r w:rsidR="005336B8" w:rsidRPr="005336B8">
        <w:rPr>
          <w:b w:val="0"/>
          <w:bCs/>
        </w:rPr>
        <w:t>April 1, 2021</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B8BAE07"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AA6D2B3" w14:textId="77777777" w:rsidR="004A6E9D" w:rsidRPr="004A6E9D" w:rsidRDefault="004A6E9D" w:rsidP="004A6E9D">
      <w:r w:rsidRPr="004A6E9D">
        <w:t xml:space="preserve">Huntington’s Disease (HD) is an inherited autosomal dominant progressive neurodegenerative disorder characterized by psychiatric and behavioral symptoms, involuntary movements (chorea), and progressive dementia. The estimated prevalence of HD in Europe and North America is 5-8 per 100,000 persons. Symptomatic improvement of chorea in HD is evaluated using the Total Maximal Chorea Score in the United Huntington’s Disease Rating Scale (UHDRS). </w:t>
      </w:r>
    </w:p>
    <w:p w14:paraId="5CEDDD2A" w14:textId="77777777" w:rsidR="004A6E9D" w:rsidRPr="004A6E9D" w:rsidRDefault="004A6E9D" w:rsidP="004A6E9D"/>
    <w:p w14:paraId="2C4A80AE" w14:textId="77777777" w:rsidR="004A6E9D" w:rsidRPr="004A6E9D" w:rsidRDefault="004A6E9D" w:rsidP="004A6E9D">
      <w:r w:rsidRPr="004A6E9D">
        <w:t>Tardive Dyskinesia (TD) is a neurological disorder characterized by repetitive involuntary movements; it is usually linked with use of dopamine receptor blockers such as antipsychotics or metoclopramide. Symptomatic improvement in TD is often evaluated using the Abnormal Involuntary Movement Scale (AIMS). AIMS assesses the severity of involuntary movements across body regions ranging from 0 (no dyskinesia) to 28 (maximal amplitude dyskinesia), with a decrease in score indicating improvement. The two main strategies for prevention of TD are discontinuation of the offending drug and switching from first to second generation antipsychotic drugs. If drug treatment with antipsychotics is required, patients should use the lowest effective dose and consider decrease or discontinuation within 6-12 months of therapy.</w:t>
      </w:r>
    </w:p>
    <w:p w14:paraId="413766AE" w14:textId="77777777" w:rsidR="004A6E9D" w:rsidRPr="004A6E9D" w:rsidRDefault="004A6E9D" w:rsidP="004A6E9D"/>
    <w:p w14:paraId="056B0864" w14:textId="77777777" w:rsidR="004A6E9D" w:rsidRPr="004A6E9D" w:rsidRDefault="004A6E9D" w:rsidP="004A6E9D">
      <w:r w:rsidRPr="004A6E9D">
        <w:t xml:space="preserve">Vesicular Monoamine Transporter 2 (VMAT2) Inhibitors block a brain protein (VMAT2) which controls the storage of dopamine and other neurotransmitters for release in the nerve synapse; by blocking VMAT2 the number of neurotransmitters available for release is decreased. </w:t>
      </w:r>
      <w:proofErr w:type="spellStart"/>
      <w:r w:rsidRPr="004A6E9D">
        <w:t>Xenazine</w:t>
      </w:r>
      <w:proofErr w:type="spellEnd"/>
      <w:r w:rsidRPr="004A6E9D">
        <w:rPr>
          <w:vertAlign w:val="superscript"/>
        </w:rPr>
        <w:t xml:space="preserve">® </w:t>
      </w:r>
      <w:r w:rsidRPr="004A6E9D">
        <w:t xml:space="preserve">(tetrabenazine) was the first VMAT2 inhibitor approved in the US in 2008 for the treatment of chorea associated with HD; it has also been used off label for TD. In 2017, the FDA approved two new VMAT2 inhibitors, </w:t>
      </w:r>
      <w:proofErr w:type="spellStart"/>
      <w:r w:rsidRPr="004A6E9D">
        <w:t>Austedo</w:t>
      </w:r>
      <w:proofErr w:type="spellEnd"/>
      <w:r w:rsidRPr="004A6E9D">
        <w:rPr>
          <w:vertAlign w:val="superscript"/>
        </w:rPr>
        <w:t>®</w:t>
      </w:r>
      <w:r w:rsidRPr="004A6E9D">
        <w:t xml:space="preserve"> (</w:t>
      </w:r>
      <w:proofErr w:type="spellStart"/>
      <w:r w:rsidRPr="004A6E9D">
        <w:t>deutetrabenazine</w:t>
      </w:r>
      <w:proofErr w:type="spellEnd"/>
      <w:r w:rsidRPr="004A6E9D">
        <w:t xml:space="preserve">) and </w:t>
      </w:r>
      <w:proofErr w:type="spellStart"/>
      <w:r w:rsidRPr="004A6E9D">
        <w:t>Ingrezza</w:t>
      </w:r>
      <w:proofErr w:type="spellEnd"/>
      <w:r w:rsidRPr="004A6E9D">
        <w:rPr>
          <w:vertAlign w:val="superscript"/>
        </w:rPr>
        <w:t>®</w:t>
      </w:r>
      <w:r w:rsidRPr="004A6E9D">
        <w:t xml:space="preserve"> (</w:t>
      </w:r>
      <w:proofErr w:type="spellStart"/>
      <w:r w:rsidRPr="004A6E9D">
        <w:t>valbenazine</w:t>
      </w:r>
      <w:proofErr w:type="spellEnd"/>
      <w:r w:rsidRPr="004A6E9D">
        <w:t xml:space="preserve">). In </w:t>
      </w:r>
      <w:proofErr w:type="spellStart"/>
      <w:r w:rsidRPr="004A6E9D">
        <w:t>Austedo</w:t>
      </w:r>
      <w:proofErr w:type="spellEnd"/>
      <w:r w:rsidRPr="004A6E9D">
        <w:t xml:space="preserve">, the replacement of hydrogen with deuterium at sites of primary metabolism gave a slower metabolic clearance compared to </w:t>
      </w:r>
      <w:proofErr w:type="spellStart"/>
      <w:r w:rsidRPr="004A6E9D">
        <w:t>Xenazine</w:t>
      </w:r>
      <w:proofErr w:type="spellEnd"/>
      <w:r w:rsidRPr="004A6E9D">
        <w:t xml:space="preserve">, thus allowing less frequent dosing. </w:t>
      </w:r>
      <w:r w:rsidRPr="004A6E9D">
        <w:rPr>
          <w:bCs/>
        </w:rPr>
        <w:t>Both</w:t>
      </w:r>
      <w:r w:rsidRPr="004A6E9D">
        <w:t xml:space="preserve"> </w:t>
      </w:r>
      <w:proofErr w:type="spellStart"/>
      <w:r w:rsidRPr="004A6E9D">
        <w:t>Austedo</w:t>
      </w:r>
      <w:proofErr w:type="spellEnd"/>
      <w:r w:rsidRPr="004A6E9D">
        <w:t xml:space="preserve"> </w:t>
      </w:r>
      <w:r w:rsidRPr="004A6E9D">
        <w:rPr>
          <w:bCs/>
        </w:rPr>
        <w:t xml:space="preserve">and </w:t>
      </w:r>
      <w:proofErr w:type="spellStart"/>
      <w:r w:rsidRPr="004A6E9D">
        <w:rPr>
          <w:bCs/>
        </w:rPr>
        <w:t>Ingrezza</w:t>
      </w:r>
      <w:proofErr w:type="spellEnd"/>
      <w:r w:rsidRPr="004A6E9D">
        <w:rPr>
          <w:bCs/>
        </w:rPr>
        <w:t xml:space="preserve"> </w:t>
      </w:r>
      <w:r w:rsidRPr="004A6E9D">
        <w:t xml:space="preserve">are FDA approved for the treatment of chorea associated with HD and the treatment of TD.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B22DB15" w14:textId="77777777" w:rsidR="00674D20" w:rsidRPr="00674D20" w:rsidRDefault="00674D20" w:rsidP="00674D20">
      <w:pPr>
        <w:numPr>
          <w:ilvl w:val="0"/>
          <w:numId w:val="27"/>
        </w:numPr>
      </w:pPr>
      <w:proofErr w:type="spellStart"/>
      <w:r w:rsidRPr="00674D20">
        <w:t>Austedo</w:t>
      </w:r>
      <w:proofErr w:type="spellEnd"/>
      <w:r w:rsidRPr="00674D20">
        <w:rPr>
          <w:vertAlign w:val="superscript"/>
        </w:rPr>
        <w:t>®</w:t>
      </w:r>
    </w:p>
    <w:p w14:paraId="47320590" w14:textId="633BA039" w:rsidR="00FD34EA" w:rsidRPr="00674D20" w:rsidRDefault="00674D20" w:rsidP="00674D20">
      <w:pPr>
        <w:pStyle w:val="ListParagraph"/>
        <w:numPr>
          <w:ilvl w:val="0"/>
          <w:numId w:val="27"/>
        </w:numPr>
        <w:rPr>
          <w:rFonts w:cs="Arial"/>
          <w:szCs w:val="20"/>
        </w:rPr>
      </w:pPr>
      <w:r w:rsidRPr="00674D20">
        <w:t>Tetrabenazine</w:t>
      </w:r>
    </w:p>
    <w:p w14:paraId="134415F9" w14:textId="77777777" w:rsidR="00674D20" w:rsidRDefault="00674D20" w:rsidP="00846FA4">
      <w:pPr>
        <w:rPr>
          <w:b/>
          <w:bCs/>
        </w:rPr>
      </w:pPr>
    </w:p>
    <w:p w14:paraId="56404718" w14:textId="51A0720C" w:rsidR="00846FA4" w:rsidRDefault="00846FA4" w:rsidP="00846FA4">
      <w:pPr>
        <w:rPr>
          <w:b/>
          <w:bCs/>
        </w:rPr>
      </w:pPr>
      <w:r>
        <w:rPr>
          <w:b/>
          <w:bCs/>
        </w:rPr>
        <w:t>Non-Preferred Agents:</w:t>
      </w:r>
    </w:p>
    <w:p w14:paraId="67DFB460" w14:textId="77777777" w:rsidR="000119D3" w:rsidRDefault="000119D3" w:rsidP="000119D3">
      <w:pPr>
        <w:pStyle w:val="ListParagraph"/>
      </w:pPr>
      <w:proofErr w:type="spellStart"/>
      <w:r>
        <w:t>Austedo</w:t>
      </w:r>
      <w:proofErr w:type="spellEnd"/>
      <w:r>
        <w:rPr>
          <w:vertAlign w:val="superscript"/>
        </w:rPr>
        <w:t>®</w:t>
      </w:r>
      <w:r>
        <w:t xml:space="preserve"> XR</w:t>
      </w:r>
    </w:p>
    <w:p w14:paraId="0C17A9A2" w14:textId="77777777" w:rsidR="000119D3" w:rsidRDefault="000119D3" w:rsidP="000119D3">
      <w:pPr>
        <w:pStyle w:val="ListParagraph"/>
      </w:pPr>
      <w:proofErr w:type="spellStart"/>
      <w:r>
        <w:t>Ingrezza</w:t>
      </w:r>
      <w:proofErr w:type="spellEnd"/>
      <w:r>
        <w:rPr>
          <w:vertAlign w:val="superscript"/>
        </w:rPr>
        <w:t>®</w:t>
      </w:r>
    </w:p>
    <w:p w14:paraId="1BA89C32" w14:textId="4EB501C5" w:rsidR="00631BD3" w:rsidRDefault="000119D3" w:rsidP="000119D3">
      <w:pPr>
        <w:pStyle w:val="ListParagraph"/>
      </w:pPr>
      <w:proofErr w:type="spellStart"/>
      <w:r>
        <w:rPr>
          <w:rFonts w:cs="Arial"/>
          <w:spacing w:val="-3"/>
          <w:szCs w:val="20"/>
        </w:rPr>
        <w:lastRenderedPageBreak/>
        <w:t>Xenazine</w:t>
      </w:r>
      <w:proofErr w:type="spellEnd"/>
      <w:r>
        <w:rPr>
          <w:rFonts w:cs="Arial"/>
          <w:spacing w:val="-3"/>
          <w:szCs w:val="20"/>
          <w:vertAlign w:val="superscript"/>
        </w:rPr>
        <w:t>®</w:t>
      </w:r>
      <w:r>
        <w:rPr>
          <w:vertAlign w:val="superscript"/>
        </w:rPr>
        <w:t xml:space="preserve"> </w:t>
      </w:r>
      <w:r w:rsidR="00D82E3D">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B98893A" w:rsidR="0097028A" w:rsidRPr="0079438F" w:rsidRDefault="0097028A" w:rsidP="00696E3A">
      <w:pPr>
        <w:rPr>
          <w:b/>
        </w:rPr>
      </w:pPr>
      <w:r w:rsidRPr="00696E3A">
        <w:rPr>
          <w:b/>
          <w:bCs/>
        </w:rPr>
        <w:t>Drug class for review:</w:t>
      </w:r>
      <w:r w:rsidRPr="00C02553">
        <w:t xml:space="preserve"> </w:t>
      </w:r>
      <w:r w:rsidR="000119D3" w:rsidRPr="000119D3">
        <w:t>Vesicular Monoamine Transporter 2 (VMAT2) Inhibitors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8D48E4C" w14:textId="77777777" w:rsidR="006043C1" w:rsidRPr="003D7621" w:rsidRDefault="006043C1" w:rsidP="00D248A2">
      <w:pPr>
        <w:pStyle w:val="ListParagraph"/>
      </w:pPr>
      <w:r w:rsidRPr="00F60677">
        <w:t xml:space="preserve">Must meet one of the following: </w:t>
      </w:r>
    </w:p>
    <w:p w14:paraId="7D63C283" w14:textId="77777777" w:rsidR="006043C1" w:rsidRPr="00F60677" w:rsidRDefault="006043C1" w:rsidP="003D7621">
      <w:pPr>
        <w:pStyle w:val="ListParagraph"/>
        <w:numPr>
          <w:ilvl w:val="1"/>
          <w:numId w:val="6"/>
        </w:numPr>
      </w:pPr>
      <w:r w:rsidRPr="00F60677">
        <w:t>Claims for preferred agents – must meet one of the following:</w:t>
      </w:r>
    </w:p>
    <w:p w14:paraId="772A11AC" w14:textId="77777777" w:rsidR="006043C1" w:rsidRPr="00F60677" w:rsidRDefault="006043C1" w:rsidP="003D7621">
      <w:pPr>
        <w:pStyle w:val="ListParagraph"/>
        <w:numPr>
          <w:ilvl w:val="2"/>
          <w:numId w:val="6"/>
        </w:numPr>
      </w:pPr>
      <w:r w:rsidRPr="00F60677">
        <w:t>Claim is for t</w:t>
      </w:r>
      <w:r w:rsidRPr="003D7621">
        <w:t>etrabenazine</w:t>
      </w:r>
      <w:r w:rsidRPr="00F60677">
        <w:t xml:space="preserve"> (generic </w:t>
      </w:r>
      <w:proofErr w:type="spellStart"/>
      <w:r w:rsidRPr="00F60677">
        <w:t>Xenazine</w:t>
      </w:r>
      <w:proofErr w:type="spellEnd"/>
      <w:r w:rsidRPr="00F60677">
        <w:t xml:space="preserve">); </w:t>
      </w:r>
      <w:r w:rsidRPr="006E5FB1">
        <w:rPr>
          <w:b/>
          <w:bCs/>
        </w:rPr>
        <w:t>OR</w:t>
      </w:r>
    </w:p>
    <w:p w14:paraId="23F4FDE1" w14:textId="77777777" w:rsidR="006043C1" w:rsidRPr="00F60677" w:rsidRDefault="006043C1" w:rsidP="003D7621">
      <w:pPr>
        <w:pStyle w:val="ListParagraph"/>
        <w:numPr>
          <w:ilvl w:val="2"/>
          <w:numId w:val="6"/>
        </w:numPr>
      </w:pPr>
      <w:r w:rsidRPr="00F60677">
        <w:t xml:space="preserve">Claim is for </w:t>
      </w:r>
      <w:proofErr w:type="spellStart"/>
      <w:r w:rsidRPr="00F60677">
        <w:t>Austedo</w:t>
      </w:r>
      <w:proofErr w:type="spellEnd"/>
      <w:r w:rsidRPr="00F60677">
        <w:t xml:space="preserve"> – must meet all of the following:</w:t>
      </w:r>
    </w:p>
    <w:p w14:paraId="08BC671A" w14:textId="77777777" w:rsidR="006043C1" w:rsidRPr="00F60677" w:rsidRDefault="006043C1" w:rsidP="003D7621">
      <w:pPr>
        <w:pStyle w:val="ListParagraph"/>
        <w:numPr>
          <w:ilvl w:val="3"/>
          <w:numId w:val="6"/>
        </w:numPr>
        <w:ind w:left="1440"/>
      </w:pPr>
      <w:r w:rsidRPr="00F60677">
        <w:t xml:space="preserve">Participant aged 18 years or older; </w:t>
      </w:r>
      <w:r w:rsidRPr="006E5FB1">
        <w:rPr>
          <w:b/>
          <w:bCs/>
        </w:rPr>
        <w:t>AND</w:t>
      </w:r>
    </w:p>
    <w:p w14:paraId="3ECBF310" w14:textId="77777777" w:rsidR="006043C1" w:rsidRPr="00F60677" w:rsidRDefault="006043C1" w:rsidP="003D7621">
      <w:pPr>
        <w:pStyle w:val="ListParagraph"/>
        <w:numPr>
          <w:ilvl w:val="3"/>
          <w:numId w:val="6"/>
        </w:numPr>
        <w:ind w:left="1440"/>
      </w:pPr>
      <w:r w:rsidRPr="00F60677">
        <w:t>Must meet one of the following:</w:t>
      </w:r>
    </w:p>
    <w:p w14:paraId="31388381" w14:textId="77777777" w:rsidR="006043C1" w:rsidRPr="00F60677" w:rsidRDefault="006043C1" w:rsidP="003D7621">
      <w:pPr>
        <w:pStyle w:val="ListParagraph"/>
        <w:numPr>
          <w:ilvl w:val="4"/>
          <w:numId w:val="6"/>
        </w:numPr>
        <w:ind w:left="1800"/>
      </w:pPr>
      <w:r w:rsidRPr="00F60677">
        <w:t xml:space="preserve">Documented diagnosis of Huntington’s Disease; </w:t>
      </w:r>
      <w:r w:rsidRPr="006E5FB1">
        <w:rPr>
          <w:b/>
          <w:bCs/>
        </w:rPr>
        <w:t>OR</w:t>
      </w:r>
    </w:p>
    <w:p w14:paraId="6019CBC5" w14:textId="77777777" w:rsidR="006043C1" w:rsidRPr="00F60677" w:rsidRDefault="006043C1" w:rsidP="003D7621">
      <w:pPr>
        <w:pStyle w:val="ListParagraph"/>
        <w:numPr>
          <w:ilvl w:val="4"/>
          <w:numId w:val="6"/>
        </w:numPr>
        <w:ind w:left="1800"/>
      </w:pPr>
      <w:r w:rsidRPr="00F60677">
        <w:t>Documented diagnosis of Tardive Dyskinesia</w:t>
      </w:r>
    </w:p>
    <w:p w14:paraId="58AB3196" w14:textId="77777777" w:rsidR="006043C1" w:rsidRPr="00F60677" w:rsidRDefault="006043C1" w:rsidP="003D7621">
      <w:pPr>
        <w:pStyle w:val="ListParagraph"/>
        <w:numPr>
          <w:ilvl w:val="5"/>
          <w:numId w:val="6"/>
        </w:numPr>
        <w:ind w:left="2160"/>
      </w:pPr>
      <w:r w:rsidRPr="00F60677">
        <w:t>Documentation that the prescriber has conducted a comprehensive review of all of the participant’s current medications and TD risk mitigation strategies, which include the following, have been considered (unless contraindicated or inappropriate in order to maintain stable psychiatric function):</w:t>
      </w:r>
    </w:p>
    <w:p w14:paraId="3A9A2C59" w14:textId="77777777" w:rsidR="006043C1" w:rsidRPr="00F60677" w:rsidRDefault="006043C1" w:rsidP="003D7621">
      <w:pPr>
        <w:pStyle w:val="ListParagraph"/>
        <w:numPr>
          <w:ilvl w:val="6"/>
          <w:numId w:val="6"/>
        </w:numPr>
        <w:ind w:left="2520"/>
      </w:pPr>
      <w:r w:rsidRPr="00F60677">
        <w:t>Switching to a 2</w:t>
      </w:r>
      <w:r w:rsidRPr="003D7621">
        <w:t>nd</w:t>
      </w:r>
      <w:r w:rsidRPr="00F60677">
        <w:t xml:space="preserve"> generation (atypical) antipsychotic; </w:t>
      </w:r>
      <w:r w:rsidRPr="009E6809">
        <w:rPr>
          <w:b/>
          <w:bCs/>
        </w:rPr>
        <w:t>OR</w:t>
      </w:r>
    </w:p>
    <w:p w14:paraId="47A4188A" w14:textId="77777777" w:rsidR="006043C1" w:rsidRPr="00F60677" w:rsidRDefault="006043C1" w:rsidP="003D7621">
      <w:pPr>
        <w:pStyle w:val="ListParagraph"/>
        <w:numPr>
          <w:ilvl w:val="6"/>
          <w:numId w:val="6"/>
        </w:numPr>
        <w:ind w:left="2520"/>
      </w:pPr>
      <w:r w:rsidRPr="00F60677">
        <w:t xml:space="preserve">Discontinuation or dose modification of the offending medication; </w:t>
      </w:r>
      <w:r w:rsidRPr="009E6809">
        <w:rPr>
          <w:b/>
          <w:bCs/>
        </w:rPr>
        <w:t>OR</w:t>
      </w:r>
    </w:p>
    <w:p w14:paraId="7D4E4789" w14:textId="77777777" w:rsidR="006043C1" w:rsidRDefault="006043C1" w:rsidP="003D7621">
      <w:pPr>
        <w:pStyle w:val="ListParagraph"/>
        <w:numPr>
          <w:ilvl w:val="1"/>
          <w:numId w:val="6"/>
        </w:numPr>
      </w:pPr>
      <w:r>
        <w:t>Claims for non-preferred agents – must meet one of the following:</w:t>
      </w:r>
    </w:p>
    <w:p w14:paraId="3F1B5811" w14:textId="77777777" w:rsidR="006043C1" w:rsidRDefault="006043C1" w:rsidP="003D7621">
      <w:pPr>
        <w:pStyle w:val="ListParagraph"/>
        <w:numPr>
          <w:ilvl w:val="2"/>
          <w:numId w:val="6"/>
        </w:numPr>
      </w:pPr>
      <w:r>
        <w:t xml:space="preserve">Claim is for </w:t>
      </w:r>
      <w:proofErr w:type="spellStart"/>
      <w:r>
        <w:t>Austedo</w:t>
      </w:r>
      <w:proofErr w:type="spellEnd"/>
      <w:r>
        <w:t xml:space="preserve"> XR – must meet all of the following:</w:t>
      </w:r>
    </w:p>
    <w:p w14:paraId="170E636A" w14:textId="77777777" w:rsidR="006043C1" w:rsidRDefault="006043C1" w:rsidP="003D7621">
      <w:pPr>
        <w:pStyle w:val="ListParagraph"/>
        <w:numPr>
          <w:ilvl w:val="3"/>
          <w:numId w:val="6"/>
        </w:numPr>
        <w:ind w:left="1440"/>
      </w:pPr>
      <w:r>
        <w:t xml:space="preserve">Clinical Consultant Review for reason of medical necessity why </w:t>
      </w:r>
      <w:proofErr w:type="spellStart"/>
      <w:r>
        <w:t>Austedo</w:t>
      </w:r>
      <w:proofErr w:type="spellEnd"/>
      <w:r>
        <w:t xml:space="preserve"> IR cannot be utilized</w:t>
      </w:r>
    </w:p>
    <w:p w14:paraId="1E0887D1" w14:textId="77777777" w:rsidR="006043C1" w:rsidRDefault="006043C1" w:rsidP="003D7621">
      <w:pPr>
        <w:pStyle w:val="ListParagraph"/>
        <w:numPr>
          <w:ilvl w:val="2"/>
          <w:numId w:val="6"/>
        </w:numPr>
      </w:pPr>
      <w:r>
        <w:t xml:space="preserve">Claim is for </w:t>
      </w:r>
      <w:proofErr w:type="spellStart"/>
      <w:r>
        <w:t>Ingrezza</w:t>
      </w:r>
      <w:proofErr w:type="spellEnd"/>
      <w:r>
        <w:t xml:space="preserve"> – must meet all of the following:</w:t>
      </w:r>
    </w:p>
    <w:p w14:paraId="484F1A24" w14:textId="77777777" w:rsidR="006043C1" w:rsidRDefault="006043C1" w:rsidP="003D7621">
      <w:pPr>
        <w:pStyle w:val="ListParagraph"/>
        <w:numPr>
          <w:ilvl w:val="3"/>
          <w:numId w:val="6"/>
        </w:numPr>
        <w:ind w:left="1440"/>
      </w:pPr>
      <w:r>
        <w:t>Participant aged 18 years or older;</w:t>
      </w:r>
      <w:r>
        <w:rPr>
          <w:b/>
        </w:rPr>
        <w:t xml:space="preserve"> AND</w:t>
      </w:r>
    </w:p>
    <w:p w14:paraId="1DAAC048" w14:textId="77777777" w:rsidR="006043C1" w:rsidRDefault="006043C1" w:rsidP="003D7621">
      <w:pPr>
        <w:pStyle w:val="ListParagraph"/>
        <w:numPr>
          <w:ilvl w:val="3"/>
          <w:numId w:val="6"/>
        </w:numPr>
        <w:ind w:left="1440"/>
      </w:pPr>
      <w:r>
        <w:t>Must meet one of the following:</w:t>
      </w:r>
    </w:p>
    <w:p w14:paraId="3A9F3E88" w14:textId="77777777" w:rsidR="006043C1" w:rsidRDefault="006043C1" w:rsidP="003D7621">
      <w:pPr>
        <w:pStyle w:val="ListParagraph"/>
        <w:numPr>
          <w:ilvl w:val="4"/>
          <w:numId w:val="6"/>
        </w:numPr>
        <w:ind w:left="1800"/>
      </w:pPr>
      <w:r>
        <w:t>Documented diagnosis of Huntington’s Disease – must meet all of the following:</w:t>
      </w:r>
    </w:p>
    <w:p w14:paraId="0A2EBFFA" w14:textId="77777777" w:rsidR="006043C1" w:rsidRDefault="006043C1" w:rsidP="003D7621">
      <w:pPr>
        <w:pStyle w:val="ListParagraph"/>
        <w:numPr>
          <w:ilvl w:val="5"/>
          <w:numId w:val="6"/>
        </w:numPr>
        <w:tabs>
          <w:tab w:val="left" w:pos="2160"/>
        </w:tabs>
        <w:ind w:left="2160"/>
      </w:pPr>
      <w:r>
        <w:t>Failure to achieve desired therapeutic outcomes with trial on 2 or more preferred agents:</w:t>
      </w:r>
    </w:p>
    <w:p w14:paraId="3E8781C2" w14:textId="77777777" w:rsidR="006043C1" w:rsidRDefault="006043C1" w:rsidP="003D7621">
      <w:pPr>
        <w:pStyle w:val="ListParagraph"/>
        <w:numPr>
          <w:ilvl w:val="6"/>
          <w:numId w:val="6"/>
        </w:numPr>
        <w:tabs>
          <w:tab w:val="left" w:pos="2160"/>
        </w:tabs>
        <w:ind w:left="2520"/>
      </w:pPr>
      <w:r>
        <w:t xml:space="preserve">Documented trial period for preferred agents (90 out of 120 days); </w:t>
      </w:r>
      <w:r>
        <w:rPr>
          <w:b/>
        </w:rPr>
        <w:t>OR</w:t>
      </w:r>
    </w:p>
    <w:p w14:paraId="6F89C232" w14:textId="77777777" w:rsidR="006043C1" w:rsidRDefault="006043C1" w:rsidP="003D7621">
      <w:pPr>
        <w:pStyle w:val="ListParagraph"/>
        <w:numPr>
          <w:ilvl w:val="6"/>
          <w:numId w:val="6"/>
        </w:numPr>
        <w:tabs>
          <w:tab w:val="left" w:pos="2160"/>
        </w:tabs>
        <w:ind w:left="2520"/>
      </w:pPr>
      <w:r>
        <w:t xml:space="preserve">Documented ADE/ADR to preferred agents; </w:t>
      </w:r>
      <w:r>
        <w:rPr>
          <w:b/>
        </w:rPr>
        <w:t>OR</w:t>
      </w:r>
    </w:p>
    <w:p w14:paraId="12EBE663" w14:textId="77777777" w:rsidR="006043C1" w:rsidRDefault="006043C1" w:rsidP="003D7621">
      <w:pPr>
        <w:pStyle w:val="ListParagraph"/>
        <w:numPr>
          <w:ilvl w:val="4"/>
          <w:numId w:val="6"/>
        </w:numPr>
        <w:ind w:left="1800"/>
      </w:pPr>
      <w:r>
        <w:t>Documented diagnosis of Tardive Dyskinesia – must meet all of the following:</w:t>
      </w:r>
    </w:p>
    <w:p w14:paraId="7EF21EEE" w14:textId="77777777" w:rsidR="006043C1" w:rsidRDefault="006043C1" w:rsidP="003D7621">
      <w:pPr>
        <w:pStyle w:val="ListParagraph"/>
        <w:numPr>
          <w:ilvl w:val="5"/>
          <w:numId w:val="6"/>
        </w:numPr>
        <w:ind w:left="2160"/>
      </w:pPr>
      <w:r>
        <w:t>Documentation that the prescriber has conducted a comprehensive review of all of the participant’s current medications and TD risk mitigation strategies, which include the following, have been considered (unless contraindicated or inappropriate in order to maintain stable psychiatric function):</w:t>
      </w:r>
    </w:p>
    <w:p w14:paraId="29998ECB" w14:textId="77777777" w:rsidR="006043C1" w:rsidRDefault="006043C1" w:rsidP="003D7621">
      <w:pPr>
        <w:pStyle w:val="ListParagraph"/>
        <w:numPr>
          <w:ilvl w:val="6"/>
          <w:numId w:val="6"/>
        </w:numPr>
        <w:ind w:left="2520"/>
      </w:pPr>
      <w:r>
        <w:t>Switching to a 2</w:t>
      </w:r>
      <w:r>
        <w:rPr>
          <w:vertAlign w:val="superscript"/>
        </w:rPr>
        <w:t>nd</w:t>
      </w:r>
      <w:r>
        <w:t xml:space="preserve"> generation (atypical) antipsychotic; </w:t>
      </w:r>
      <w:r>
        <w:rPr>
          <w:b/>
        </w:rPr>
        <w:t>OR</w:t>
      </w:r>
    </w:p>
    <w:p w14:paraId="0307BED1" w14:textId="77777777" w:rsidR="006043C1" w:rsidRDefault="006043C1" w:rsidP="003D7621">
      <w:pPr>
        <w:pStyle w:val="ListParagraph"/>
        <w:numPr>
          <w:ilvl w:val="6"/>
          <w:numId w:val="6"/>
        </w:numPr>
        <w:ind w:left="2520"/>
      </w:pPr>
      <w:r>
        <w:t>Discontinuation or dose modification of the offending medication;</w:t>
      </w:r>
    </w:p>
    <w:p w14:paraId="5B300CD3" w14:textId="77777777" w:rsidR="006043C1" w:rsidRDefault="006043C1" w:rsidP="003D7621">
      <w:pPr>
        <w:pStyle w:val="ListParagraph"/>
        <w:numPr>
          <w:ilvl w:val="5"/>
          <w:numId w:val="6"/>
        </w:numPr>
        <w:ind w:left="2160"/>
      </w:pPr>
      <w:r>
        <w:t xml:space="preserve">Documentation of baseline Abnormal Involuntary Movement Scale (AIMS) score ≥ 8; </w:t>
      </w:r>
      <w:r>
        <w:rPr>
          <w:b/>
        </w:rPr>
        <w:t>AND</w:t>
      </w:r>
    </w:p>
    <w:p w14:paraId="5D68DDA2" w14:textId="77777777" w:rsidR="006043C1" w:rsidRDefault="006043C1" w:rsidP="003D7621">
      <w:pPr>
        <w:pStyle w:val="ListParagraph"/>
        <w:numPr>
          <w:ilvl w:val="5"/>
          <w:numId w:val="6"/>
        </w:numPr>
        <w:ind w:left="2160"/>
      </w:pPr>
      <w:r>
        <w:t xml:space="preserve">Failure to achieve desired therapeutic outcomes with trial on </w:t>
      </w:r>
      <w:proofErr w:type="spellStart"/>
      <w:r>
        <w:t>Austedo</w:t>
      </w:r>
      <w:proofErr w:type="spellEnd"/>
      <w:r>
        <w:t xml:space="preserve">: </w:t>
      </w:r>
    </w:p>
    <w:p w14:paraId="1B0B7EAC" w14:textId="77777777" w:rsidR="006043C1" w:rsidRDefault="006043C1" w:rsidP="003D7621">
      <w:pPr>
        <w:pStyle w:val="ListParagraph"/>
        <w:numPr>
          <w:ilvl w:val="6"/>
          <w:numId w:val="6"/>
        </w:numPr>
        <w:ind w:left="2520"/>
      </w:pPr>
      <w:r>
        <w:t xml:space="preserve">Documented trial period of </w:t>
      </w:r>
      <w:proofErr w:type="spellStart"/>
      <w:r>
        <w:t>Austedo</w:t>
      </w:r>
      <w:proofErr w:type="spellEnd"/>
      <w:r>
        <w:t xml:space="preserve"> (90 out of 120 days); </w:t>
      </w:r>
      <w:r>
        <w:rPr>
          <w:b/>
        </w:rPr>
        <w:t>OR</w:t>
      </w:r>
    </w:p>
    <w:p w14:paraId="230758C3" w14:textId="77777777" w:rsidR="006043C1" w:rsidRDefault="006043C1" w:rsidP="003D7621">
      <w:pPr>
        <w:pStyle w:val="ListParagraph"/>
        <w:numPr>
          <w:ilvl w:val="6"/>
          <w:numId w:val="6"/>
        </w:numPr>
        <w:ind w:left="2520"/>
      </w:pPr>
      <w:r>
        <w:t xml:space="preserve">Documented ADE/ADR to </w:t>
      </w:r>
      <w:proofErr w:type="spellStart"/>
      <w:r>
        <w:t>Austedo</w:t>
      </w:r>
      <w:proofErr w:type="spellEnd"/>
      <w:r>
        <w:t>.</w:t>
      </w:r>
    </w:p>
    <w:p w14:paraId="6BE5073B" w14:textId="77777777" w:rsidR="006043C1" w:rsidRDefault="006043C1" w:rsidP="003D7621">
      <w:pPr>
        <w:pStyle w:val="ListParagraph"/>
        <w:numPr>
          <w:ilvl w:val="5"/>
          <w:numId w:val="6"/>
        </w:numPr>
        <w:ind w:left="2160"/>
      </w:pPr>
      <w:r>
        <w:t>Initial approval of prior authorization is for 6 months; renewal of prior authorization may be given for an additional 6 months following documentation of the following:</w:t>
      </w:r>
    </w:p>
    <w:p w14:paraId="4C534CD5" w14:textId="77777777" w:rsidR="006043C1" w:rsidRDefault="006043C1" w:rsidP="003D7621">
      <w:pPr>
        <w:pStyle w:val="ListParagraph"/>
        <w:numPr>
          <w:ilvl w:val="6"/>
          <w:numId w:val="6"/>
        </w:numPr>
        <w:ind w:left="2520"/>
      </w:pPr>
      <w:r>
        <w:t xml:space="preserve">Documentation of benefit of therapy (i.e., improved quality of life); </w:t>
      </w:r>
      <w:r>
        <w:rPr>
          <w:b/>
        </w:rPr>
        <w:t>AND</w:t>
      </w:r>
    </w:p>
    <w:p w14:paraId="32B75E86" w14:textId="77777777" w:rsidR="006043C1" w:rsidRDefault="006043C1" w:rsidP="003D7621">
      <w:pPr>
        <w:pStyle w:val="ListParagraph"/>
        <w:numPr>
          <w:ilvl w:val="6"/>
          <w:numId w:val="6"/>
        </w:numPr>
        <w:ind w:left="2520"/>
      </w:pPr>
      <w:r>
        <w:t>Documentation of current Abnormal Involuntary Movement Scale (AIMS) score indicating a reduction in AIMS score of at least 2 from baseline.</w:t>
      </w:r>
    </w:p>
    <w:p w14:paraId="7536E74F" w14:textId="26408327" w:rsidR="00F7227E" w:rsidRPr="00F7227E" w:rsidRDefault="006043C1" w:rsidP="003D7621">
      <w:pPr>
        <w:pStyle w:val="ListParagraph"/>
        <w:numPr>
          <w:ilvl w:val="3"/>
          <w:numId w:val="6"/>
        </w:numPr>
        <w:ind w:left="1440"/>
      </w:pPr>
      <w:r w:rsidRPr="001942D8">
        <w:lastRenderedPageBreak/>
        <w:t xml:space="preserve">Additional approval criteria for </w:t>
      </w:r>
      <w:proofErr w:type="spellStart"/>
      <w:r w:rsidRPr="001942D8">
        <w:t>Ingrezza</w:t>
      </w:r>
      <w:proofErr w:type="spellEnd"/>
      <w:r w:rsidRPr="001942D8">
        <w:t xml:space="preserve"> Sprinkle capsules: Clinical Consultant Review for</w:t>
      </w:r>
      <w:r>
        <w:rPr>
          <w:b/>
          <w:color w:val="0070C0"/>
        </w:rPr>
        <w:t xml:space="preserve"> </w:t>
      </w:r>
      <w:r w:rsidRPr="001942D8">
        <w:t>reason why non-sprinkle oral capsules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040B5AF6" w14:textId="77777777" w:rsidR="006C5B40" w:rsidRDefault="006C5B40" w:rsidP="006C5B40">
      <w:pPr>
        <w:pStyle w:val="ListParagraph"/>
        <w:numPr>
          <w:ilvl w:val="1"/>
          <w:numId w:val="6"/>
        </w:numPr>
        <w:rPr>
          <w:rFonts w:cs="Arial"/>
          <w:noProof/>
          <w:szCs w:val="20"/>
        </w:rPr>
      </w:pPr>
      <w:r>
        <w:rPr>
          <w:rFonts w:cs="Arial"/>
          <w:noProof/>
          <w:szCs w:val="20"/>
        </w:rPr>
        <w:t xml:space="preserve">Any approval criteria are not met; </w:t>
      </w:r>
    </w:p>
    <w:p w14:paraId="42AD355B" w14:textId="77777777" w:rsidR="006C5B40" w:rsidRDefault="006C5B40" w:rsidP="006C5B40">
      <w:pPr>
        <w:pStyle w:val="ListParagraph"/>
        <w:numPr>
          <w:ilvl w:val="1"/>
          <w:numId w:val="6"/>
        </w:numPr>
        <w:rPr>
          <w:rFonts w:cs="Arial"/>
          <w:noProof/>
          <w:szCs w:val="20"/>
        </w:rPr>
      </w:pPr>
      <w:r>
        <w:rPr>
          <w:rFonts w:cs="Arial"/>
          <w:noProof/>
          <w:szCs w:val="20"/>
        </w:rPr>
        <w:t xml:space="preserve">Documented history of MAOI therapy in the past 45 days; </w:t>
      </w:r>
    </w:p>
    <w:p w14:paraId="09E4C16C" w14:textId="77777777" w:rsidR="006C5B40" w:rsidRDefault="006C5B40" w:rsidP="006C5B40">
      <w:pPr>
        <w:pStyle w:val="ListParagraph"/>
        <w:numPr>
          <w:ilvl w:val="1"/>
          <w:numId w:val="6"/>
        </w:numPr>
        <w:rPr>
          <w:rFonts w:cs="Arial"/>
          <w:noProof/>
          <w:szCs w:val="20"/>
        </w:rPr>
      </w:pPr>
      <w:r>
        <w:rPr>
          <w:rFonts w:cs="Arial"/>
          <w:noProof/>
          <w:szCs w:val="20"/>
        </w:rPr>
        <w:t xml:space="preserve">Concurrent therapy with any other VMAT2 agent in the past 45 days; </w:t>
      </w:r>
    </w:p>
    <w:p w14:paraId="27DD0C26" w14:textId="77777777" w:rsidR="006C5B40" w:rsidRDefault="006C5B40" w:rsidP="006C5B40">
      <w:pPr>
        <w:pStyle w:val="ListParagraph"/>
        <w:numPr>
          <w:ilvl w:val="1"/>
          <w:numId w:val="6"/>
        </w:numPr>
        <w:rPr>
          <w:rFonts w:cs="Arial"/>
          <w:noProof/>
          <w:szCs w:val="20"/>
        </w:rPr>
      </w:pPr>
      <w:r>
        <w:rPr>
          <w:rFonts w:cs="Arial"/>
          <w:noProof/>
          <w:szCs w:val="20"/>
        </w:rPr>
        <w:t>For Xenazine, Austedo, or Austedo XR: Documented history of hepatic impairment;</w:t>
      </w:r>
    </w:p>
    <w:p w14:paraId="6627E552" w14:textId="77777777" w:rsidR="006C5B40" w:rsidRDefault="006C5B40" w:rsidP="006C5B40">
      <w:pPr>
        <w:pStyle w:val="ListParagraph"/>
        <w:numPr>
          <w:ilvl w:val="1"/>
          <w:numId w:val="6"/>
        </w:numPr>
        <w:rPr>
          <w:rFonts w:cs="Arial"/>
          <w:noProof/>
          <w:szCs w:val="20"/>
        </w:rPr>
      </w:pPr>
      <w:r>
        <w:rPr>
          <w:rFonts w:cs="Arial"/>
          <w:noProof/>
          <w:szCs w:val="20"/>
        </w:rPr>
        <w:t xml:space="preserve">For Ingrezza: Claim for 60 mg or 80 mg strength and documented history of hepatic impairment; </w:t>
      </w:r>
      <w:r>
        <w:rPr>
          <w:rFonts w:cs="Arial"/>
          <w:b/>
          <w:bCs/>
          <w:noProof/>
          <w:szCs w:val="20"/>
        </w:rPr>
        <w:t>OR</w:t>
      </w:r>
    </w:p>
    <w:p w14:paraId="23955AA0" w14:textId="77777777" w:rsidR="006C5B40" w:rsidRDefault="006C5B40" w:rsidP="006C5B40">
      <w:pPr>
        <w:pStyle w:val="ListParagraph"/>
        <w:numPr>
          <w:ilvl w:val="1"/>
          <w:numId w:val="6"/>
        </w:numPr>
        <w:rPr>
          <w:rFonts w:cs="Arial"/>
          <w:noProof/>
          <w:szCs w:val="20"/>
        </w:rPr>
      </w:pPr>
      <w:r>
        <w:rPr>
          <w:rFonts w:cs="Arial"/>
          <w:noProof/>
          <w:szCs w:val="20"/>
        </w:rPr>
        <w:t>Claim exceeds maximum dosing limitations for the following:</w:t>
      </w:r>
    </w:p>
    <w:tbl>
      <w:tblPr>
        <w:tblW w:w="79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328"/>
        <w:gridCol w:w="3650"/>
      </w:tblGrid>
      <w:tr w:rsidR="006C5B40" w14:paraId="512E7AA8" w14:textId="77777777">
        <w:tc>
          <w:tcPr>
            <w:tcW w:w="194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33C26BD1" w14:textId="77777777" w:rsidR="006C5B40" w:rsidRDefault="006C5B40">
            <w:pPr>
              <w:rPr>
                <w:rFonts w:cs="Arial"/>
                <w:szCs w:val="20"/>
              </w:rPr>
            </w:pPr>
            <w:r>
              <w:rPr>
                <w:rFonts w:cs="Arial"/>
                <w:b/>
                <w:szCs w:val="20"/>
              </w:rPr>
              <w:t>Drug Description</w:t>
            </w:r>
          </w:p>
        </w:tc>
        <w:tc>
          <w:tcPr>
            <w:tcW w:w="232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44AEF389" w14:textId="77777777" w:rsidR="006C5B40" w:rsidRDefault="006C5B40">
            <w:pPr>
              <w:rPr>
                <w:rFonts w:cs="Arial"/>
                <w:szCs w:val="20"/>
              </w:rPr>
            </w:pPr>
            <w:r>
              <w:rPr>
                <w:rFonts w:cs="Arial"/>
                <w:b/>
                <w:szCs w:val="20"/>
              </w:rPr>
              <w:t>Generic Equivalent</w:t>
            </w:r>
          </w:p>
        </w:tc>
        <w:tc>
          <w:tcPr>
            <w:tcW w:w="365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6C1BAF8" w14:textId="77777777" w:rsidR="006C5B40" w:rsidRDefault="006C5B40">
            <w:pPr>
              <w:rPr>
                <w:rFonts w:cs="Arial"/>
                <w:b/>
                <w:szCs w:val="20"/>
              </w:rPr>
            </w:pPr>
            <w:r>
              <w:rPr>
                <w:rFonts w:cs="Arial"/>
                <w:b/>
                <w:szCs w:val="20"/>
              </w:rPr>
              <w:t>Max Dosing Limitation</w:t>
            </w:r>
          </w:p>
        </w:tc>
      </w:tr>
      <w:tr w:rsidR="006C5B40" w14:paraId="56608560"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47291" w14:textId="77777777" w:rsidR="006C5B40" w:rsidRDefault="006C5B40">
            <w:pPr>
              <w:jc w:val="both"/>
              <w:rPr>
                <w:rFonts w:cs="Arial"/>
                <w:caps/>
                <w:szCs w:val="20"/>
              </w:rPr>
            </w:pPr>
            <w:r>
              <w:rPr>
                <w:rFonts w:cs="Arial"/>
                <w:caps/>
                <w:szCs w:val="20"/>
              </w:rPr>
              <w:t>Austedo</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C2853" w14:textId="77777777" w:rsidR="006C5B40" w:rsidRDefault="006C5B40">
            <w:pPr>
              <w:rPr>
                <w:rFonts w:cs="Arial"/>
                <w:caps/>
                <w:szCs w:val="20"/>
              </w:rPr>
            </w:pPr>
            <w:r>
              <w:rPr>
                <w:rFonts w:cs="Arial"/>
                <w:caps/>
                <w:szCs w:val="20"/>
              </w:rPr>
              <w:t>deutetrabenazine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3D789" w14:textId="77777777" w:rsidR="006C5B40" w:rsidRDefault="006C5B40">
            <w:pPr>
              <w:rPr>
                <w:rFonts w:cs="Arial"/>
                <w:szCs w:val="20"/>
              </w:rPr>
            </w:pPr>
            <w:r>
              <w:rPr>
                <w:rFonts w:cs="Arial"/>
                <w:szCs w:val="20"/>
              </w:rPr>
              <w:t>4 tablets per day</w:t>
            </w:r>
          </w:p>
        </w:tc>
      </w:tr>
      <w:tr w:rsidR="006C5B40" w14:paraId="003F3C3C"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E98F36" w14:textId="77777777" w:rsidR="006C5B40" w:rsidRDefault="006C5B40">
            <w:pPr>
              <w:rPr>
                <w:rFonts w:cs="Arial"/>
                <w:caps/>
                <w:szCs w:val="20"/>
              </w:rPr>
            </w:pPr>
            <w:r>
              <w:rPr>
                <w:rFonts w:cs="Arial"/>
                <w:caps/>
                <w:szCs w:val="20"/>
              </w:rPr>
              <w:t>Austedo xr</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7F491" w14:textId="77777777" w:rsidR="006C5B40" w:rsidRDefault="006C5B40">
            <w:pPr>
              <w:rPr>
                <w:rFonts w:cs="Arial"/>
                <w:caps/>
                <w:szCs w:val="20"/>
              </w:rPr>
            </w:pPr>
            <w:r>
              <w:rPr>
                <w:rFonts w:cs="Arial"/>
                <w:caps/>
                <w:szCs w:val="20"/>
              </w:rPr>
              <w:t>deutetrabenazine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E325E" w14:textId="77777777" w:rsidR="006C5B40" w:rsidRPr="00724D68" w:rsidRDefault="006C5B40">
            <w:pPr>
              <w:rPr>
                <w:rFonts w:cs="Arial"/>
                <w:szCs w:val="20"/>
              </w:rPr>
            </w:pPr>
            <w:r w:rsidRPr="00724D68">
              <w:rPr>
                <w:rFonts w:cs="Arial"/>
                <w:szCs w:val="20"/>
              </w:rPr>
              <w:t xml:space="preserve">1 tablet per day </w:t>
            </w:r>
          </w:p>
        </w:tc>
      </w:tr>
      <w:tr w:rsidR="006C5B40" w14:paraId="04B4F81B"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6757C" w14:textId="77777777" w:rsidR="006C5B40" w:rsidRDefault="006C5B40">
            <w:pPr>
              <w:jc w:val="both"/>
              <w:rPr>
                <w:rFonts w:cs="Arial"/>
                <w:caps/>
                <w:szCs w:val="20"/>
              </w:rPr>
            </w:pPr>
            <w:r>
              <w:rPr>
                <w:rFonts w:cs="Arial"/>
                <w:caps/>
                <w:szCs w:val="20"/>
              </w:rPr>
              <w:t>ingrezza</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5C58D" w14:textId="77777777" w:rsidR="006C5B40" w:rsidRDefault="006C5B40">
            <w:pPr>
              <w:rPr>
                <w:rFonts w:cs="Arial"/>
                <w:caps/>
                <w:szCs w:val="20"/>
              </w:rPr>
            </w:pPr>
            <w:r>
              <w:rPr>
                <w:rFonts w:cs="Arial"/>
                <w:caps/>
                <w:szCs w:val="20"/>
              </w:rPr>
              <w:t>valbenazine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8A093" w14:textId="77777777" w:rsidR="006C5B40" w:rsidRDefault="006C5B40">
            <w:pPr>
              <w:rPr>
                <w:rFonts w:cs="Arial"/>
                <w:szCs w:val="20"/>
              </w:rPr>
            </w:pPr>
            <w:r>
              <w:rPr>
                <w:rFonts w:cs="Arial"/>
                <w:szCs w:val="20"/>
              </w:rPr>
              <w:t>1 capsule per day</w:t>
            </w:r>
          </w:p>
        </w:tc>
      </w:tr>
      <w:tr w:rsidR="006C5B40" w14:paraId="3B3FC0D1" w14:textId="77777777">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EC8F9" w14:textId="77777777" w:rsidR="006C5B40" w:rsidRDefault="006C5B40">
            <w:pPr>
              <w:rPr>
                <w:rFonts w:cs="Arial"/>
                <w:caps/>
                <w:szCs w:val="20"/>
              </w:rPr>
            </w:pPr>
            <w:r>
              <w:rPr>
                <w:rFonts w:cs="Arial"/>
                <w:caps/>
                <w:szCs w:val="20"/>
              </w:rPr>
              <w:t>Xenazine</w:t>
            </w:r>
          </w:p>
        </w:tc>
        <w:tc>
          <w:tcPr>
            <w:tcW w:w="2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0D5E5" w14:textId="77777777" w:rsidR="006C5B40" w:rsidRDefault="006C5B40">
            <w:pPr>
              <w:rPr>
                <w:rFonts w:cs="Arial"/>
                <w:caps/>
                <w:spacing w:val="-3"/>
              </w:rPr>
            </w:pPr>
            <w:r>
              <w:rPr>
                <w:rFonts w:cs="Arial"/>
                <w:caps/>
                <w:spacing w:val="-3"/>
              </w:rPr>
              <w:t>tetrabenazine</w:t>
            </w:r>
          </w:p>
        </w:tc>
        <w:tc>
          <w:tcPr>
            <w:tcW w:w="3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A7913" w14:textId="77777777" w:rsidR="006C5B40" w:rsidRDefault="006C5B40">
            <w:pPr>
              <w:rPr>
                <w:rFonts w:cs="Arial"/>
                <w:szCs w:val="20"/>
              </w:rPr>
            </w:pPr>
            <w:r>
              <w:rPr>
                <w:rFonts w:cs="Arial"/>
                <w:szCs w:val="20"/>
              </w:rPr>
              <w:t>12.5 mg tablets: 4 tablets per day</w:t>
            </w:r>
          </w:p>
          <w:p w14:paraId="39B3A14C" w14:textId="77777777" w:rsidR="006C5B40" w:rsidRDefault="006C5B40">
            <w:pPr>
              <w:rPr>
                <w:rFonts w:cs="Arial"/>
                <w:szCs w:val="20"/>
              </w:rPr>
            </w:pPr>
            <w:r>
              <w:rPr>
                <w:rFonts w:cs="Arial"/>
                <w:szCs w:val="20"/>
              </w:rPr>
              <w:t>25 mg tablets:    2 tablets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5ED201B8" w14:textId="5A0870DA" w:rsidR="006C5B40" w:rsidRDefault="006C5B40" w:rsidP="006C5B40">
      <w:pPr>
        <w:pStyle w:val="ListParagraph"/>
      </w:pPr>
      <w:proofErr w:type="spellStart"/>
      <w:r>
        <w:t>Austedo</w:t>
      </w:r>
      <w:proofErr w:type="spellEnd"/>
      <w:r>
        <w:t xml:space="preserve"> (</w:t>
      </w:r>
      <w:proofErr w:type="spellStart"/>
      <w:r>
        <w:t>deutetrabenazine</w:t>
      </w:r>
      <w:proofErr w:type="spellEnd"/>
      <w:r>
        <w:t xml:space="preserve">) [package insert]. Parsippany, NJ: Teva Neuroscience, Inc.; June </w:t>
      </w:r>
      <w:r w:rsidR="00701AE8">
        <w:t>2024.</w:t>
      </w:r>
    </w:p>
    <w:p w14:paraId="3998D72C" w14:textId="77777777" w:rsidR="006C5B40" w:rsidRDefault="006C5B40" w:rsidP="006C5B40">
      <w:pPr>
        <w:pStyle w:val="ListParagraph"/>
      </w:pPr>
      <w:proofErr w:type="spellStart"/>
      <w:r>
        <w:t>Ingrezza</w:t>
      </w:r>
      <w:proofErr w:type="spellEnd"/>
      <w:r>
        <w:t xml:space="preserve"> (</w:t>
      </w:r>
      <w:proofErr w:type="spellStart"/>
      <w:r>
        <w:t>valbenazine</w:t>
      </w:r>
      <w:proofErr w:type="spellEnd"/>
      <w:r>
        <w:t>) [package insert]. San Diego, CA: Neurocrine Biosciences, Inc.; April 2024.</w:t>
      </w:r>
    </w:p>
    <w:p w14:paraId="378378F8" w14:textId="77777777" w:rsidR="006C5B40" w:rsidRDefault="006C5B40" w:rsidP="006C5B40">
      <w:pPr>
        <w:pStyle w:val="ListParagraph"/>
      </w:pPr>
      <w:proofErr w:type="spellStart"/>
      <w:r>
        <w:t>Xenazine</w:t>
      </w:r>
      <w:proofErr w:type="spellEnd"/>
      <w:r>
        <w:t xml:space="preserve"> (tetrabenazine) [package insert]. Deerfield, IL: Bausch Health Companies Inc.; September 2017. </w:t>
      </w:r>
    </w:p>
    <w:p w14:paraId="49C48E98" w14:textId="77777777" w:rsidR="006C5B40" w:rsidRDefault="006C5B40" w:rsidP="006C5B40">
      <w:pPr>
        <w:pStyle w:val="ListParagraph"/>
      </w:pPr>
      <w:r>
        <w:rPr>
          <w:rStyle w:val="normaltextrun"/>
          <w:rFonts w:cs="Arial"/>
          <w:color w:val="000000"/>
          <w:szCs w:val="20"/>
          <w:shd w:val="clear" w:color="auto" w:fill="FFFFFF"/>
        </w:rPr>
        <w:t>Evidence-Based Medicine and Fiscal Analysis: “Therapeutic Class Review: CENTRAL NERVOUS SYSTEM: Vesicular Monoamine Transporter 2 (VMAT2) Inhibitors”, Gainwell Technologies; Last updated December 2024.</w:t>
      </w:r>
      <w:r>
        <w:rPr>
          <w:rStyle w:val="eop"/>
          <w:rFonts w:cs="Arial"/>
          <w:color w:val="000000"/>
          <w:szCs w:val="20"/>
          <w:shd w:val="clear" w:color="auto" w:fill="FFFFFF"/>
        </w:rPr>
        <w:t> </w:t>
      </w:r>
    </w:p>
    <w:p w14:paraId="149F4885" w14:textId="7555BBEE" w:rsidR="006C5B40" w:rsidRDefault="006C5B40" w:rsidP="006C5B40">
      <w:pPr>
        <w:pStyle w:val="ListParagraph"/>
      </w:pPr>
      <w:r>
        <w:t xml:space="preserve">Evidence-Based Medicine Analysis: “Vesicular Monoamine Transporter 2 (VMAT2) Inhibitors”, UMKC-DIC; </w:t>
      </w:r>
      <w:r w:rsidR="002A6718" w:rsidRPr="002A6718">
        <w:t>December 2025</w:t>
      </w:r>
      <w:r>
        <w:t>.</w:t>
      </w:r>
    </w:p>
    <w:p w14:paraId="3DADCDFD" w14:textId="77777777" w:rsidR="006C5B40" w:rsidRDefault="006C5B40" w:rsidP="006C5B40">
      <w:pPr>
        <w:pStyle w:val="ListParagraph"/>
      </w:pPr>
      <w:r>
        <w:rPr>
          <w:shd w:val="clear" w:color="auto" w:fill="FFFFFF"/>
          <w:lang w:val="it-IT"/>
        </w:rPr>
        <w:t xml:space="preserve">Bhidayasiri R, Jitkritsadakul O, et al. </w:t>
      </w:r>
      <w:r>
        <w:rPr>
          <w:shd w:val="clear" w:color="auto" w:fill="FFFFFF"/>
        </w:rPr>
        <w:t>Updating the recommendations for treatment of tardive syndromes: A systematic review of new evidence and practical treatment algorithm. </w:t>
      </w:r>
      <w:r>
        <w:rPr>
          <w:i/>
          <w:iCs/>
          <w:shd w:val="clear" w:color="auto" w:fill="FFFFFF"/>
        </w:rPr>
        <w:t>J Neurol Sci</w:t>
      </w:r>
      <w:r>
        <w:rPr>
          <w:shd w:val="clear" w:color="auto" w:fill="FFFFFF"/>
        </w:rPr>
        <w:t>. 2018;389:67-75. doi:10.1016/j.jns.2018.02.010</w:t>
      </w:r>
    </w:p>
    <w:p w14:paraId="4FC43B2D" w14:textId="77777777" w:rsidR="006C5B40" w:rsidRDefault="006C5B40" w:rsidP="006C5B40">
      <w:pPr>
        <w:pStyle w:val="ListParagraph"/>
      </w:pPr>
      <w:r>
        <w:t>Owens, D. (2019). Tardive dyskinesia update: Treatment and management. </w:t>
      </w:r>
      <w:proofErr w:type="spellStart"/>
      <w:r>
        <w:t>BJPsych</w:t>
      </w:r>
      <w:proofErr w:type="spellEnd"/>
      <w:r>
        <w:t xml:space="preserve"> Advances, 25(2), 78-89. doi:10.1192/bja.2018.46</w:t>
      </w:r>
    </w:p>
    <w:p w14:paraId="361F0623" w14:textId="77777777" w:rsidR="006C5B40" w:rsidRDefault="006C5B40" w:rsidP="006C5B40">
      <w:pPr>
        <w:pStyle w:val="ListParagraph"/>
        <w:rPr>
          <w:rStyle w:val="normaltextrun"/>
        </w:rPr>
      </w:pPr>
      <w:r>
        <w:rPr>
          <w:rStyle w:val="normaltextrun"/>
          <w:rFonts w:cs="Arial"/>
          <w:szCs w:val="20"/>
        </w:rPr>
        <w:t xml:space="preserve">Keepers GA, </w:t>
      </w:r>
      <w:proofErr w:type="spellStart"/>
      <w:r>
        <w:rPr>
          <w:rStyle w:val="normaltextrun"/>
          <w:rFonts w:cs="Arial"/>
          <w:szCs w:val="20"/>
        </w:rPr>
        <w:t>Fochtmann</w:t>
      </w:r>
      <w:proofErr w:type="spellEnd"/>
      <w:r>
        <w:rPr>
          <w:rStyle w:val="normaltextrun"/>
          <w:rFonts w:cs="Arial"/>
          <w:szCs w:val="20"/>
        </w:rPr>
        <w:t xml:space="preserve"> LJ, Anzia JM, et al. The American Psychiatric Association Practice Guideline for the Treatment of Patients with Schizophrenia. Am J Psychiatry. 2020; 177(9):868. </w:t>
      </w:r>
      <w:proofErr w:type="spellStart"/>
      <w:r>
        <w:rPr>
          <w:rStyle w:val="normaltextrun"/>
          <w:rFonts w:cs="Arial"/>
          <w:szCs w:val="20"/>
        </w:rPr>
        <w:t>doi</w:t>
      </w:r>
      <w:proofErr w:type="spellEnd"/>
      <w:r>
        <w:rPr>
          <w:rStyle w:val="normaltextrun"/>
          <w:rFonts w:cs="Arial"/>
          <w:szCs w:val="20"/>
        </w:rPr>
        <w:t>: 10.1176/appi.ajp.2020.177901.</w:t>
      </w:r>
    </w:p>
    <w:p w14:paraId="5F3B4FEB" w14:textId="77777777" w:rsidR="006C5B40" w:rsidRDefault="006C5B40" w:rsidP="006C5B40">
      <w:pPr>
        <w:pStyle w:val="ListParagraph"/>
        <w:rPr>
          <w:rStyle w:val="normaltextrun"/>
          <w:rFonts w:cs="Arial"/>
          <w:szCs w:val="20"/>
        </w:rPr>
      </w:pPr>
      <w:r>
        <w:rPr>
          <w:rStyle w:val="normaltextrun"/>
          <w:rFonts w:cs="Arial"/>
          <w:szCs w:val="20"/>
          <w:shd w:val="clear" w:color="auto" w:fill="FFFFFF"/>
        </w:rPr>
        <w:t>IPD Analytics.  Rx Insights: Central Nervous System.  Movement Disorders: Drug Management Strategy. May 31, 2017.</w:t>
      </w:r>
    </w:p>
    <w:p w14:paraId="0175D719" w14:textId="77777777" w:rsidR="006C5B40" w:rsidRDefault="006C5B40" w:rsidP="006C5B40">
      <w:pPr>
        <w:pStyle w:val="ListParagraph"/>
      </w:pPr>
      <w:proofErr w:type="spellStart"/>
      <w:r>
        <w:t>Bachoud</w:t>
      </w:r>
      <w:proofErr w:type="spellEnd"/>
      <w:r>
        <w:t xml:space="preserve">-Lévi AC, Ferreira J, </w:t>
      </w:r>
      <w:proofErr w:type="spellStart"/>
      <w:r>
        <w:t>Massart</w:t>
      </w:r>
      <w:proofErr w:type="spellEnd"/>
      <w:r>
        <w:t xml:space="preserve"> R, et al. International Guidelines for the Treatment of Huntington's Disease. Front Neurol. 2019;10:710. Published 2019 Jul 3. doi:10.3389/fneur.2019.00710</w:t>
      </w:r>
    </w:p>
    <w:p w14:paraId="20C97CB3" w14:textId="77777777" w:rsidR="006C5B40" w:rsidRDefault="006C5B40" w:rsidP="006C5B40">
      <w:pPr>
        <w:pStyle w:val="ListParagraph"/>
        <w:rPr>
          <w:rFonts w:ascii="Times New Roman" w:hAnsi="Times New Roman"/>
        </w:rPr>
      </w:pPr>
      <w:r>
        <w:t xml:space="preserve">Stacy M, </w:t>
      </w:r>
      <w:proofErr w:type="spellStart"/>
      <w:r>
        <w:t>Sajatovic</w:t>
      </w:r>
      <w:proofErr w:type="spellEnd"/>
      <w:r>
        <w:t xml:space="preserve"> M, Kane JM, et al. Abnormal involuntary movement scale in tardive dyskinesia: Minimal clinically important difference [published correction appears in Mov </w:t>
      </w:r>
      <w:proofErr w:type="spellStart"/>
      <w:r>
        <w:t>Disord</w:t>
      </w:r>
      <w:proofErr w:type="spellEnd"/>
      <w:r>
        <w:t xml:space="preserve">. 2019 Nov;34(11):1753-1754]. Mov </w:t>
      </w:r>
      <w:proofErr w:type="spellStart"/>
      <w:r>
        <w:t>Disord</w:t>
      </w:r>
      <w:proofErr w:type="spellEnd"/>
      <w:r>
        <w:t>. 2019;34(8):1203</w:t>
      </w:r>
      <w:r>
        <w:rPr>
          <w:rFonts w:ascii="Cambria Math" w:hAnsi="Cambria Math" w:cs="Cambria Math"/>
        </w:rPr>
        <w:t>‐</w:t>
      </w:r>
      <w:r>
        <w:t>1209. doi:10.1002/mds.27769.</w:t>
      </w:r>
    </w:p>
    <w:p w14:paraId="6CC1B5B8" w14:textId="1F8F4468" w:rsidR="006C5B40" w:rsidRDefault="006C5B40" w:rsidP="006C5B40">
      <w:pPr>
        <w:pStyle w:val="ListParagraph"/>
      </w:pPr>
      <w:r>
        <w:lastRenderedPageBreak/>
        <w:t xml:space="preserve">USPDI, Micromedex; 2025. </w:t>
      </w:r>
    </w:p>
    <w:p w14:paraId="3FA1E7DB" w14:textId="733C381B" w:rsidR="00777CA4" w:rsidRDefault="006C5B40" w:rsidP="006C5B40">
      <w:pPr>
        <w:pStyle w:val="ListParagraph"/>
      </w:pPr>
      <w:r>
        <w:t xml:space="preserve">Facts and Comparisons </w:t>
      </w:r>
      <w:proofErr w:type="spellStart"/>
      <w:r>
        <w:t>eAnswers</w:t>
      </w:r>
      <w:proofErr w:type="spellEnd"/>
      <w:r>
        <w:t xml:space="preserve"> (online); 2025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A896" w14:textId="77777777" w:rsidR="00B81D96" w:rsidRPr="00C02553" w:rsidRDefault="00B81D96" w:rsidP="00AE77DB">
      <w:r w:rsidRPr="00C02553">
        <w:separator/>
      </w:r>
    </w:p>
  </w:endnote>
  <w:endnote w:type="continuationSeparator" w:id="0">
    <w:p w14:paraId="44506769" w14:textId="77777777" w:rsidR="00B81D96" w:rsidRPr="00C02553" w:rsidRDefault="00B81D96" w:rsidP="00AE77DB">
      <w:r w:rsidRPr="00C02553">
        <w:continuationSeparator/>
      </w:r>
    </w:p>
  </w:endnote>
  <w:endnote w:type="continuationNotice" w:id="1">
    <w:p w14:paraId="0B62CF46" w14:textId="77777777" w:rsidR="00B81D96" w:rsidRPr="00C02553" w:rsidRDefault="00B81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5F56" w14:textId="77777777" w:rsidR="00B81D96" w:rsidRPr="00C02553" w:rsidRDefault="00B81D96" w:rsidP="00AE77DB">
      <w:r w:rsidRPr="00C02553">
        <w:separator/>
      </w:r>
    </w:p>
  </w:footnote>
  <w:footnote w:type="continuationSeparator" w:id="0">
    <w:p w14:paraId="1812AC71" w14:textId="77777777" w:rsidR="00B81D96" w:rsidRPr="00C02553" w:rsidRDefault="00B81D96" w:rsidP="00AE77DB">
      <w:r w:rsidRPr="00C02553">
        <w:continuationSeparator/>
      </w:r>
    </w:p>
  </w:footnote>
  <w:footnote w:type="continuationNotice" w:id="1">
    <w:p w14:paraId="5E62350B" w14:textId="77777777" w:rsidR="00B81D96" w:rsidRPr="00C02553" w:rsidRDefault="00B81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5711A5">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5711A5">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5711A5">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DAD4D24"/>
    <w:multiLevelType w:val="hybridMultilevel"/>
    <w:tmpl w:val="3104B13A"/>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810"/>
        </w:tabs>
        <w:ind w:left="810" w:hanging="360"/>
      </w:pPr>
      <w:rPr>
        <w:rFonts w:ascii="Courier New" w:hAnsi="Courier New" w:cs="Times New Roman"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CE9"/>
    <w:multiLevelType w:val="hybridMultilevel"/>
    <w:tmpl w:val="C804CDA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D5745"/>
    <w:multiLevelType w:val="hybridMultilevel"/>
    <w:tmpl w:val="8FFA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575C82"/>
    <w:multiLevelType w:val="hybridMultilevel"/>
    <w:tmpl w:val="BA12FA1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04090001">
      <w:start w:val="1"/>
      <w:numFmt w:val="bullet"/>
      <w:lvlText w:val=""/>
      <w:lvlJc w:val="left"/>
      <w:pPr>
        <w:ind w:left="72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C5E2D0F"/>
    <w:multiLevelType w:val="hybridMultilevel"/>
    <w:tmpl w:val="9A948848"/>
    <w:lvl w:ilvl="0" w:tplc="D30618B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1D3F76"/>
    <w:multiLevelType w:val="hybridMultilevel"/>
    <w:tmpl w:val="9EB40EBE"/>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D86D73"/>
    <w:multiLevelType w:val="hybridMultilevel"/>
    <w:tmpl w:val="6484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D1867B9"/>
    <w:multiLevelType w:val="hybridMultilevel"/>
    <w:tmpl w:val="FB70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FDD2022"/>
    <w:multiLevelType w:val="hybridMultilevel"/>
    <w:tmpl w:val="C688C4E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AB37B0"/>
    <w:multiLevelType w:val="hybridMultilevel"/>
    <w:tmpl w:val="0E4CF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4E64B45"/>
    <w:multiLevelType w:val="hybridMultilevel"/>
    <w:tmpl w:val="70F87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CF57588"/>
    <w:multiLevelType w:val="hybridMultilevel"/>
    <w:tmpl w:val="6712A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064CF6"/>
    <w:multiLevelType w:val="hybridMultilevel"/>
    <w:tmpl w:val="8D847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A7B225C"/>
    <w:multiLevelType w:val="hybridMultilevel"/>
    <w:tmpl w:val="CB8E7C2E"/>
    <w:lvl w:ilvl="0" w:tplc="7D64F30E">
      <w:start w:val="1"/>
      <w:numFmt w:val="bullet"/>
      <w:lvlText w:val=""/>
      <w:lvlJc w:val="left"/>
      <w:pPr>
        <w:tabs>
          <w:tab w:val="num" w:pos="360"/>
        </w:tabs>
        <w:ind w:left="360" w:hanging="360"/>
      </w:pPr>
      <w:rPr>
        <w:rFonts w:ascii="Symbol" w:hAnsi="Symbol" w:hint="default"/>
        <w:color w:val="auto"/>
      </w:rPr>
    </w:lvl>
    <w:lvl w:ilvl="1" w:tplc="8DF6B638">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367994657">
    <w:abstractNumId w:val="0"/>
  </w:num>
  <w:num w:numId="2" w16cid:durableId="517891239">
    <w:abstractNumId w:val="28"/>
  </w:num>
  <w:num w:numId="3" w16cid:durableId="1729067566">
    <w:abstractNumId w:val="4"/>
  </w:num>
  <w:num w:numId="4" w16cid:durableId="320159068">
    <w:abstractNumId w:val="10"/>
  </w:num>
  <w:num w:numId="5" w16cid:durableId="1769498754">
    <w:abstractNumId w:val="3"/>
  </w:num>
  <w:num w:numId="6" w16cid:durableId="1094596320">
    <w:abstractNumId w:val="25"/>
  </w:num>
  <w:num w:numId="7" w16cid:durableId="2110008555">
    <w:abstractNumId w:val="2"/>
  </w:num>
  <w:num w:numId="8" w16cid:durableId="489712751">
    <w:abstractNumId w:val="9"/>
  </w:num>
  <w:num w:numId="9" w16cid:durableId="1085147965">
    <w:abstractNumId w:val="16"/>
  </w:num>
  <w:num w:numId="10" w16cid:durableId="917518096">
    <w:abstractNumId w:val="11"/>
  </w:num>
  <w:num w:numId="11" w16cid:durableId="1894998475">
    <w:abstractNumId w:val="1"/>
  </w:num>
  <w:num w:numId="12" w16cid:durableId="1418215296">
    <w:abstractNumId w:val="26"/>
  </w:num>
  <w:num w:numId="13" w16cid:durableId="604729665">
    <w:abstractNumId w:val="7"/>
  </w:num>
  <w:num w:numId="14" w16cid:durableId="1805081292">
    <w:abstractNumId w:val="21"/>
  </w:num>
  <w:num w:numId="15" w16cid:durableId="126511728">
    <w:abstractNumId w:val="14"/>
  </w:num>
  <w:num w:numId="16" w16cid:durableId="1051615005">
    <w:abstractNumId w:val="24"/>
  </w:num>
  <w:num w:numId="17" w16cid:durableId="2143838528">
    <w:abstractNumId w:val="6"/>
  </w:num>
  <w:num w:numId="18" w16cid:durableId="1715693297">
    <w:abstractNumId w:val="18"/>
  </w:num>
  <w:num w:numId="19" w16cid:durableId="489754927">
    <w:abstractNumId w:val="29"/>
  </w:num>
  <w:num w:numId="20" w16cid:durableId="489441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6691228">
    <w:abstractNumId w:val="15"/>
  </w:num>
  <w:num w:numId="22" w16cid:durableId="1740129025">
    <w:abstractNumId w:val="5"/>
  </w:num>
  <w:num w:numId="23" w16cid:durableId="1521699047">
    <w:abstractNumId w:val="12"/>
  </w:num>
  <w:num w:numId="24" w16cid:durableId="1799760413">
    <w:abstractNumId w:val="17"/>
  </w:num>
  <w:num w:numId="25" w16cid:durableId="1091662044">
    <w:abstractNumId w:val="19"/>
  </w:num>
  <w:num w:numId="26" w16cid:durableId="25914856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4736780">
    <w:abstractNumId w:val="15"/>
  </w:num>
  <w:num w:numId="28" w16cid:durableId="292684337">
    <w:abstractNumId w:val="5"/>
  </w:num>
  <w:num w:numId="29" w16cid:durableId="930699194">
    <w:abstractNumId w:val="8"/>
  </w:num>
  <w:num w:numId="30" w16cid:durableId="1887446326">
    <w:abstractNumId w:val="22"/>
  </w:num>
  <w:num w:numId="31" w16cid:durableId="958296203">
    <w:abstractNumId w:val="13"/>
  </w:num>
  <w:num w:numId="32" w16cid:durableId="1601718385">
    <w:abstractNumId w:val="27"/>
  </w:num>
  <w:num w:numId="33" w16cid:durableId="213740994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19D3"/>
    <w:rsid w:val="000276D9"/>
    <w:rsid w:val="000344C5"/>
    <w:rsid w:val="00040AD3"/>
    <w:rsid w:val="00053807"/>
    <w:rsid w:val="000572E5"/>
    <w:rsid w:val="00057F84"/>
    <w:rsid w:val="00061541"/>
    <w:rsid w:val="00064162"/>
    <w:rsid w:val="00065C22"/>
    <w:rsid w:val="000677E7"/>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0F34D9"/>
    <w:rsid w:val="001062F6"/>
    <w:rsid w:val="00112FC7"/>
    <w:rsid w:val="001239FA"/>
    <w:rsid w:val="00125F5F"/>
    <w:rsid w:val="00126951"/>
    <w:rsid w:val="00126B60"/>
    <w:rsid w:val="00127EF6"/>
    <w:rsid w:val="001310AD"/>
    <w:rsid w:val="001314A5"/>
    <w:rsid w:val="00132C7F"/>
    <w:rsid w:val="00144DBE"/>
    <w:rsid w:val="00152C8B"/>
    <w:rsid w:val="0015636A"/>
    <w:rsid w:val="00172053"/>
    <w:rsid w:val="00177A80"/>
    <w:rsid w:val="0018056A"/>
    <w:rsid w:val="001942D8"/>
    <w:rsid w:val="001A50CB"/>
    <w:rsid w:val="001A74B7"/>
    <w:rsid w:val="001B2D47"/>
    <w:rsid w:val="001C0250"/>
    <w:rsid w:val="001C6DA4"/>
    <w:rsid w:val="001C73B1"/>
    <w:rsid w:val="001D1E7D"/>
    <w:rsid w:val="001D6567"/>
    <w:rsid w:val="001E2CCB"/>
    <w:rsid w:val="001E4CBA"/>
    <w:rsid w:val="001E523C"/>
    <w:rsid w:val="001E61DF"/>
    <w:rsid w:val="001F15E0"/>
    <w:rsid w:val="001F2B9F"/>
    <w:rsid w:val="001F580D"/>
    <w:rsid w:val="001F5954"/>
    <w:rsid w:val="001F7873"/>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6718"/>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D7621"/>
    <w:rsid w:val="003F227C"/>
    <w:rsid w:val="00400F88"/>
    <w:rsid w:val="004023CC"/>
    <w:rsid w:val="00407564"/>
    <w:rsid w:val="00411152"/>
    <w:rsid w:val="004156AA"/>
    <w:rsid w:val="00416980"/>
    <w:rsid w:val="00416B48"/>
    <w:rsid w:val="004253A1"/>
    <w:rsid w:val="004313B6"/>
    <w:rsid w:val="00433339"/>
    <w:rsid w:val="00446BBC"/>
    <w:rsid w:val="004472C0"/>
    <w:rsid w:val="00447BE1"/>
    <w:rsid w:val="00447C30"/>
    <w:rsid w:val="00450705"/>
    <w:rsid w:val="00451928"/>
    <w:rsid w:val="0046618B"/>
    <w:rsid w:val="0048608C"/>
    <w:rsid w:val="00496E57"/>
    <w:rsid w:val="004A6E9D"/>
    <w:rsid w:val="004B3E10"/>
    <w:rsid w:val="004C0F5D"/>
    <w:rsid w:val="004C1666"/>
    <w:rsid w:val="004C375A"/>
    <w:rsid w:val="004C4954"/>
    <w:rsid w:val="004C5767"/>
    <w:rsid w:val="004D5322"/>
    <w:rsid w:val="004D78B0"/>
    <w:rsid w:val="004E611F"/>
    <w:rsid w:val="004F2A79"/>
    <w:rsid w:val="004F4D37"/>
    <w:rsid w:val="004F7CA0"/>
    <w:rsid w:val="00501A14"/>
    <w:rsid w:val="00501DE3"/>
    <w:rsid w:val="005058CB"/>
    <w:rsid w:val="0051044D"/>
    <w:rsid w:val="0051088C"/>
    <w:rsid w:val="005139E4"/>
    <w:rsid w:val="00515075"/>
    <w:rsid w:val="00520FE9"/>
    <w:rsid w:val="005231F1"/>
    <w:rsid w:val="005233E7"/>
    <w:rsid w:val="005328B2"/>
    <w:rsid w:val="005336B8"/>
    <w:rsid w:val="00535BD5"/>
    <w:rsid w:val="00540977"/>
    <w:rsid w:val="0055100F"/>
    <w:rsid w:val="00551668"/>
    <w:rsid w:val="005572D5"/>
    <w:rsid w:val="00566BE4"/>
    <w:rsid w:val="00570D21"/>
    <w:rsid w:val="005711A5"/>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43C1"/>
    <w:rsid w:val="00606B55"/>
    <w:rsid w:val="00612A7B"/>
    <w:rsid w:val="00616E5E"/>
    <w:rsid w:val="006173A4"/>
    <w:rsid w:val="00617E50"/>
    <w:rsid w:val="006205AD"/>
    <w:rsid w:val="00625C3A"/>
    <w:rsid w:val="00631BD3"/>
    <w:rsid w:val="00635DDB"/>
    <w:rsid w:val="0064149A"/>
    <w:rsid w:val="00646DFE"/>
    <w:rsid w:val="00650530"/>
    <w:rsid w:val="00650C96"/>
    <w:rsid w:val="00653788"/>
    <w:rsid w:val="0065477F"/>
    <w:rsid w:val="00656896"/>
    <w:rsid w:val="00661656"/>
    <w:rsid w:val="0066374F"/>
    <w:rsid w:val="00674D20"/>
    <w:rsid w:val="00677C65"/>
    <w:rsid w:val="00693152"/>
    <w:rsid w:val="00694FAE"/>
    <w:rsid w:val="00696E3A"/>
    <w:rsid w:val="006A0834"/>
    <w:rsid w:val="006A4BBD"/>
    <w:rsid w:val="006A52F1"/>
    <w:rsid w:val="006B561D"/>
    <w:rsid w:val="006B6D5D"/>
    <w:rsid w:val="006C5B40"/>
    <w:rsid w:val="006D2330"/>
    <w:rsid w:val="006E0F8B"/>
    <w:rsid w:val="006E12F7"/>
    <w:rsid w:val="006E29D7"/>
    <w:rsid w:val="006E5FB1"/>
    <w:rsid w:val="00701AE8"/>
    <w:rsid w:val="007068A4"/>
    <w:rsid w:val="00706D67"/>
    <w:rsid w:val="00713052"/>
    <w:rsid w:val="00721367"/>
    <w:rsid w:val="007231FA"/>
    <w:rsid w:val="00724D68"/>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87ACC"/>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5694B"/>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E6809"/>
    <w:rsid w:val="009F6B67"/>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3525"/>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401B5"/>
    <w:rsid w:val="00B507A5"/>
    <w:rsid w:val="00B52475"/>
    <w:rsid w:val="00B535DA"/>
    <w:rsid w:val="00B56DCC"/>
    <w:rsid w:val="00B56F54"/>
    <w:rsid w:val="00B638C2"/>
    <w:rsid w:val="00B758AB"/>
    <w:rsid w:val="00B76277"/>
    <w:rsid w:val="00B772AB"/>
    <w:rsid w:val="00B80395"/>
    <w:rsid w:val="00B80B56"/>
    <w:rsid w:val="00B81D96"/>
    <w:rsid w:val="00B86372"/>
    <w:rsid w:val="00B92DF4"/>
    <w:rsid w:val="00BA1C17"/>
    <w:rsid w:val="00BA1D65"/>
    <w:rsid w:val="00BA2B1A"/>
    <w:rsid w:val="00BB181D"/>
    <w:rsid w:val="00BB3B4D"/>
    <w:rsid w:val="00BC2C67"/>
    <w:rsid w:val="00BC351E"/>
    <w:rsid w:val="00BC3F77"/>
    <w:rsid w:val="00BC5635"/>
    <w:rsid w:val="00BC5675"/>
    <w:rsid w:val="00BD081C"/>
    <w:rsid w:val="00BD277B"/>
    <w:rsid w:val="00BD47CA"/>
    <w:rsid w:val="00BD62C7"/>
    <w:rsid w:val="00BE020D"/>
    <w:rsid w:val="00BE1F25"/>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4217"/>
    <w:rsid w:val="00CA7252"/>
    <w:rsid w:val="00CB2C5A"/>
    <w:rsid w:val="00CB3BE4"/>
    <w:rsid w:val="00CE0C1C"/>
    <w:rsid w:val="00CE34AF"/>
    <w:rsid w:val="00CF00A4"/>
    <w:rsid w:val="00CF22C4"/>
    <w:rsid w:val="00CF25FB"/>
    <w:rsid w:val="00CF614C"/>
    <w:rsid w:val="00D02F34"/>
    <w:rsid w:val="00D13D87"/>
    <w:rsid w:val="00D16590"/>
    <w:rsid w:val="00D20720"/>
    <w:rsid w:val="00D248A2"/>
    <w:rsid w:val="00D250D9"/>
    <w:rsid w:val="00D27533"/>
    <w:rsid w:val="00D27E44"/>
    <w:rsid w:val="00D42DA3"/>
    <w:rsid w:val="00D4546D"/>
    <w:rsid w:val="00D47996"/>
    <w:rsid w:val="00D61118"/>
    <w:rsid w:val="00D614F1"/>
    <w:rsid w:val="00D70D50"/>
    <w:rsid w:val="00D71917"/>
    <w:rsid w:val="00D82E3D"/>
    <w:rsid w:val="00D85039"/>
    <w:rsid w:val="00D95A95"/>
    <w:rsid w:val="00D95C65"/>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0AD5"/>
    <w:rsid w:val="00E11A3F"/>
    <w:rsid w:val="00E1386E"/>
    <w:rsid w:val="00E2369B"/>
    <w:rsid w:val="00E23EC0"/>
    <w:rsid w:val="00E24E65"/>
    <w:rsid w:val="00E354AA"/>
    <w:rsid w:val="00E43D54"/>
    <w:rsid w:val="00E442FB"/>
    <w:rsid w:val="00E529DB"/>
    <w:rsid w:val="00E53A5E"/>
    <w:rsid w:val="00E6466A"/>
    <w:rsid w:val="00E70EA0"/>
    <w:rsid w:val="00E72221"/>
    <w:rsid w:val="00E83428"/>
    <w:rsid w:val="00E84C58"/>
    <w:rsid w:val="00E873A5"/>
    <w:rsid w:val="00E90D11"/>
    <w:rsid w:val="00E915E5"/>
    <w:rsid w:val="00EA01D7"/>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77"/>
    <w:rsid w:val="00F6068C"/>
    <w:rsid w:val="00F62F33"/>
    <w:rsid w:val="00F63A52"/>
    <w:rsid w:val="00F65BD5"/>
    <w:rsid w:val="00F7227E"/>
    <w:rsid w:val="00F730BA"/>
    <w:rsid w:val="00F82CE5"/>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301F"/>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7">
    <w:name w:val="heading 7"/>
    <w:basedOn w:val="Normal"/>
    <w:next w:val="Normal"/>
    <w:link w:val="Heading7Char"/>
    <w:uiPriority w:val="9"/>
    <w:semiHidden/>
    <w:unhideWhenUsed/>
    <w:qFormat/>
    <w:rsid w:val="00D27E4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FollowedHyperlink">
    <w:name w:val="FollowedHyperlink"/>
    <w:basedOn w:val="DefaultParagraphFont"/>
    <w:uiPriority w:val="99"/>
    <w:semiHidden/>
    <w:unhideWhenUsed/>
    <w:rsid w:val="00E10AD5"/>
    <w:rPr>
      <w:color w:val="800080" w:themeColor="followedHyperlink"/>
      <w:u w:val="single"/>
    </w:rPr>
  </w:style>
  <w:style w:type="character" w:customStyle="1" w:styleId="Heading7Char">
    <w:name w:val="Heading 7 Char"/>
    <w:basedOn w:val="DefaultParagraphFont"/>
    <w:link w:val="Heading7"/>
    <w:uiPriority w:val="9"/>
    <w:semiHidden/>
    <w:rsid w:val="00D27E44"/>
    <w:rPr>
      <w:rFonts w:asciiTheme="majorHAnsi" w:eastAsiaTheme="majorEastAsia" w:hAnsiTheme="majorHAnsi" w:cstheme="majorBidi"/>
      <w:i/>
      <w:iCs/>
      <w:color w:val="243F60" w:themeColor="accent1" w:themeShade="7F"/>
      <w:szCs w:val="24"/>
    </w:rPr>
  </w:style>
  <w:style w:type="character" w:styleId="CommentReference">
    <w:name w:val="annotation reference"/>
    <w:basedOn w:val="DefaultParagraphFont"/>
    <w:uiPriority w:val="99"/>
    <w:semiHidden/>
    <w:unhideWhenUsed/>
    <w:rsid w:val="00D85039"/>
    <w:rPr>
      <w:sz w:val="16"/>
      <w:szCs w:val="16"/>
    </w:rPr>
  </w:style>
  <w:style w:type="paragraph" w:styleId="CommentSubject">
    <w:name w:val="annotation subject"/>
    <w:basedOn w:val="CommentText"/>
    <w:next w:val="CommentText"/>
    <w:link w:val="CommentSubjectChar"/>
    <w:uiPriority w:val="99"/>
    <w:semiHidden/>
    <w:unhideWhenUsed/>
    <w:rsid w:val="00D85039"/>
    <w:rPr>
      <w:b/>
      <w:bCs/>
    </w:rPr>
  </w:style>
  <w:style w:type="character" w:customStyle="1" w:styleId="CommentTextChar">
    <w:name w:val="Comment Text Char"/>
    <w:basedOn w:val="DefaultParagraphFont"/>
    <w:link w:val="CommentText"/>
    <w:semiHidden/>
    <w:rsid w:val="00D85039"/>
    <w:rPr>
      <w:rFonts w:ascii="Arial" w:hAnsi="Arial"/>
    </w:rPr>
  </w:style>
  <w:style w:type="character" w:customStyle="1" w:styleId="CommentSubjectChar">
    <w:name w:val="Comment Subject Char"/>
    <w:basedOn w:val="CommentTextChar"/>
    <w:link w:val="CommentSubject"/>
    <w:uiPriority w:val="99"/>
    <w:semiHidden/>
    <w:rsid w:val="00D85039"/>
    <w:rPr>
      <w:rFonts w:ascii="Arial" w:hAnsi="Arial"/>
      <w:b/>
      <w:bCs/>
    </w:rPr>
  </w:style>
  <w:style w:type="paragraph" w:styleId="Revision">
    <w:name w:val="Revision"/>
    <w:hidden/>
    <w:uiPriority w:val="99"/>
    <w:semiHidden/>
    <w:rsid w:val="00416B4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B10F0B95-205F-4EE2-9176-09941FBE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1179</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Somatostatin Analogs PDL Edit</vt:lpstr>
    </vt:vector>
  </TitlesOfParts>
  <Company>DSS</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Vesicular Monoamine Transporter 2 (VMAT2) Inhibitors PDL Edit</dc:title>
  <dc:creator>DMS</dc:creator>
  <cp:lastModifiedBy>Colozza, Jennifer</cp:lastModifiedBy>
  <cp:revision>29</cp:revision>
  <cp:lastPrinted>2018-10-31T20:17:00Z</cp:lastPrinted>
  <dcterms:created xsi:type="dcterms:W3CDTF">2025-12-03T02:18:00Z</dcterms:created>
  <dcterms:modified xsi:type="dcterms:W3CDTF">2026-01-14T20:51:00Z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