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4E7DFD2" w:rsidR="004C5767" w:rsidRPr="006560B3" w:rsidRDefault="004C5767" w:rsidP="00D27533">
      <w:pPr>
        <w:pStyle w:val="tbody"/>
        <w:rPr>
          <w:b w:val="0"/>
        </w:rPr>
      </w:pPr>
      <w:r w:rsidRPr="00C02553">
        <w:t>Drug/Drug Class:</w:t>
      </w:r>
      <w:r w:rsidR="00A07658">
        <w:t xml:space="preserve"> </w:t>
      </w:r>
      <w:r w:rsidR="00CB7818" w:rsidRPr="00CB7818">
        <w:rPr>
          <w:b w:val="0"/>
        </w:rPr>
        <w:t>Nuedexta Clinical Edit</w:t>
      </w:r>
    </w:p>
    <w:p w14:paraId="7AD7FFCE" w14:textId="0A8383B2" w:rsidR="004C5767" w:rsidRPr="006560B3" w:rsidRDefault="004C5767" w:rsidP="00D27533">
      <w:pPr>
        <w:pStyle w:val="tbody"/>
        <w:rPr>
          <w:b w:val="0"/>
        </w:rPr>
      </w:pPr>
      <w:r w:rsidRPr="00C02553">
        <w:t>First Implementation Date:</w:t>
      </w:r>
      <w:r w:rsidR="006560B3">
        <w:rPr>
          <w:b w:val="0"/>
        </w:rPr>
        <w:t xml:space="preserve"> </w:t>
      </w:r>
      <w:r w:rsidR="00052C5D" w:rsidRPr="00052C5D">
        <w:rPr>
          <w:b w:val="0"/>
        </w:rPr>
        <w:t>February 18, 2021</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CE08741" w:rsidR="004C5767" w:rsidRPr="00D27533" w:rsidRDefault="004C5767" w:rsidP="00D27533">
      <w:pPr>
        <w:pStyle w:val="tbody"/>
        <w:rPr>
          <w:b w:val="0"/>
          <w:bCs/>
          <w:spacing w:val="-3"/>
        </w:rPr>
      </w:pPr>
      <w:r w:rsidRPr="00C02553">
        <w:t xml:space="preserve">Criteria Status: </w:t>
      </w:r>
      <w:r w:rsidR="00566BE4" w:rsidRPr="00052C5D">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320C114" w14:textId="5B33F79B" w:rsidR="00E23EC0" w:rsidRDefault="004C6098" w:rsidP="00696E3A">
      <w:r w:rsidRPr="004C6098">
        <w:t>Ensure appropriate utilization and control of Nuedexta</w:t>
      </w:r>
      <w:r w:rsidRPr="004C6098">
        <w:rPr>
          <w:vertAlign w:val="superscript"/>
        </w:rPr>
        <w:t>®</w:t>
      </w:r>
      <w:r w:rsidRPr="004C6098">
        <w:t xml:space="preserve"> (dextromethorphan hydrobromide and quinidine sulfate)</w:t>
      </w:r>
      <w:r w:rsidR="00E23EC0" w:rsidRPr="00C02553">
        <w:tab/>
      </w:r>
    </w:p>
    <w:p w14:paraId="4B94B6BE" w14:textId="77777777" w:rsidR="00E35670" w:rsidRPr="002C2C41" w:rsidRDefault="00E35670" w:rsidP="00696E3A">
      <w:pPr>
        <w:rPr>
          <w:rFonts w:cs="Arial"/>
          <w:szCs w:val="20"/>
        </w:rPr>
      </w:pPr>
    </w:p>
    <w:p w14:paraId="3A9BE506" w14:textId="11761DC1" w:rsidR="00E23EC0" w:rsidRDefault="00E23EC0" w:rsidP="00696E3A">
      <w:pPr>
        <w:rPr>
          <w:b/>
          <w:bCs/>
        </w:rPr>
      </w:pPr>
      <w:r w:rsidRPr="00696E3A">
        <w:rPr>
          <w:b/>
          <w:bCs/>
        </w:rPr>
        <w:t>Why Issue Selected:</w:t>
      </w:r>
    </w:p>
    <w:p w14:paraId="7ACECC9F" w14:textId="6F52708C" w:rsidR="00B56DCC" w:rsidRDefault="002B192D" w:rsidP="00696E3A">
      <w:r w:rsidRPr="002B192D">
        <w:t>Nuedexta</w:t>
      </w:r>
      <w:r w:rsidRPr="002B192D">
        <w:rPr>
          <w:vertAlign w:val="superscript"/>
        </w:rPr>
        <w:t>®</w:t>
      </w:r>
      <w:r w:rsidRPr="002B192D">
        <w:t>, a combination product of dextromethorphan hydrobromide and quinidine sulfate, is the first FDA approved treatment for pseudobulbar affect (PBA). PBA is a condition that typically presents in patients with neurological conditions or injuries that affect the way the brain controls emotion. The condition is characterized by episodes of sudden, uncontrollable, and inappropriate episodes of crying or laughing.  PBA has a prevalence of approximately 2 million people in the United States with underlying conditions such as stroke, Alzheimer’s disease, Parkinson’s disease, multiple sclerosis, Lou Gehrig’s disease (ALS), or traumatic brain injury.  PBA shares several clinical features of mood disorders, however there are characteristic clinical features and validated scales to assist in determining an appropriate diagnosis and therapy. The Center for Neurologic Study – Lability Scale (CNS-LS) is a self-administered questionnaire that asks about the control of laughter and crying; this scale has been validated in patients with ALS and multiple sclerosis. The Pathological Laughter and Crying Scale (PLACS) is an interviewer administered scale assessing sudden episodes of laughter and crying; this scale has been validated in patients with acute stroke. MO HealthNet will impose clinical criteria to ensure appropriate utilization of Nuedexta therapy.</w:t>
      </w:r>
    </w:p>
    <w:p w14:paraId="48057833" w14:textId="77777777" w:rsidR="005E69AE" w:rsidRDefault="005E69AE" w:rsidP="00696E3A"/>
    <w:p w14:paraId="5B5260CF" w14:textId="6324FE01" w:rsidR="003D4704" w:rsidRPr="00AD17B7" w:rsidRDefault="003D4704" w:rsidP="003D4704">
      <w:r>
        <w:rPr>
          <w:b/>
          <w:bCs/>
        </w:rPr>
        <w:t xml:space="preserve">Program-Specific Information: </w:t>
      </w:r>
      <w:r>
        <w:t>Dat</w:t>
      </w:r>
      <w:r w:rsidR="00ED760F">
        <w:t>e</w:t>
      </w:r>
      <w:r>
        <w:t xml:space="preserve"> Ranges FFS </w:t>
      </w:r>
      <w:r w:rsidR="004F7FEA">
        <w:t>7</w:t>
      </w:r>
      <w:r>
        <w:t xml:space="preserve">-1-2024 to </w:t>
      </w:r>
      <w:r w:rsidR="004F7FEA">
        <w:t>6</w:t>
      </w:r>
      <w:r>
        <w:t>-30-2025</w:t>
      </w:r>
    </w:p>
    <w:tbl>
      <w:tblPr>
        <w:tblW w:w="8226" w:type="dxa"/>
        <w:jc w:val="center"/>
        <w:tblLayout w:type="fixed"/>
        <w:tblLook w:val="04A0" w:firstRow="1" w:lastRow="0" w:firstColumn="1" w:lastColumn="0" w:noHBand="0" w:noVBand="1"/>
      </w:tblPr>
      <w:tblGrid>
        <w:gridCol w:w="3506"/>
        <w:gridCol w:w="1112"/>
        <w:gridCol w:w="1329"/>
        <w:gridCol w:w="2279"/>
      </w:tblGrid>
      <w:tr w:rsidR="00DC4D38" w:rsidRPr="00902CF9" w14:paraId="7E639B47" w14:textId="77777777" w:rsidTr="001F3A35">
        <w:trPr>
          <w:trHeight w:val="232"/>
          <w:jc w:val="center"/>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117BC832" w:rsidR="00DC4D38" w:rsidRPr="00902CF9" w:rsidRDefault="00DC4D38" w:rsidP="00DC4D38">
            <w:pPr>
              <w:jc w:val="center"/>
              <w:rPr>
                <w:rFonts w:cs="Arial"/>
                <w:b/>
                <w:bCs/>
                <w:spacing w:val="-3"/>
                <w:szCs w:val="20"/>
              </w:rPr>
            </w:pPr>
            <w:r w:rsidRPr="00DB083D">
              <w:rPr>
                <w:rFonts w:cs="Arial"/>
                <w:b/>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45291F4B" w:rsidR="00DC4D38" w:rsidRPr="00902CF9" w:rsidRDefault="00DC4D38" w:rsidP="00DC4D38">
            <w:pPr>
              <w:jc w:val="center"/>
              <w:rPr>
                <w:rFonts w:cs="Arial"/>
                <w:b/>
                <w:bCs/>
                <w:spacing w:val="-3"/>
                <w:szCs w:val="20"/>
              </w:rPr>
            </w:pPr>
            <w:r w:rsidRPr="00DB083D">
              <w:rPr>
                <w:rFonts w:cs="Arial"/>
                <w:b/>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516C63E5" w:rsidR="00DC4D38" w:rsidRPr="00902CF9" w:rsidRDefault="00DC4D38" w:rsidP="00DC4D38">
            <w:pPr>
              <w:jc w:val="center"/>
              <w:rPr>
                <w:rFonts w:cs="Arial"/>
                <w:b/>
                <w:bCs/>
                <w:spacing w:val="-3"/>
                <w:szCs w:val="20"/>
              </w:rPr>
            </w:pPr>
            <w:r w:rsidRPr="00DB083D">
              <w:rPr>
                <w:rFonts w:cs="Arial"/>
                <w:b/>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4CFCB07B" w:rsidR="00DC4D38" w:rsidRPr="00902CF9" w:rsidRDefault="00DC4D38" w:rsidP="00DC4D38">
            <w:pPr>
              <w:jc w:val="center"/>
              <w:rPr>
                <w:rFonts w:cs="Arial"/>
                <w:b/>
                <w:bCs/>
                <w:spacing w:val="-3"/>
                <w:szCs w:val="20"/>
              </w:rPr>
            </w:pPr>
            <w:r>
              <w:rPr>
                <w:rFonts w:cs="Arial"/>
                <w:b/>
                <w:spacing w:val="-3"/>
                <w:szCs w:val="20"/>
              </w:rPr>
              <w:t>Avg Spend per Claim</w:t>
            </w:r>
          </w:p>
        </w:tc>
      </w:tr>
      <w:tr w:rsidR="00DC4D38" w:rsidRPr="00902CF9" w14:paraId="29C2C6B5" w14:textId="77777777" w:rsidTr="009C1769">
        <w:trPr>
          <w:trHeight w:val="232"/>
          <w:jc w:val="center"/>
        </w:trPr>
        <w:tc>
          <w:tcPr>
            <w:tcW w:w="3506" w:type="dxa"/>
            <w:tcBorders>
              <w:top w:val="single" w:sz="4" w:space="0" w:color="auto"/>
              <w:left w:val="single" w:sz="4" w:space="0" w:color="auto"/>
              <w:bottom w:val="single" w:sz="4" w:space="0" w:color="auto"/>
              <w:right w:val="single" w:sz="4" w:space="0" w:color="auto"/>
            </w:tcBorders>
            <w:vAlign w:val="center"/>
          </w:tcPr>
          <w:p w14:paraId="4E48F17F" w14:textId="6C1F4BDB" w:rsidR="00DC4D38" w:rsidRPr="00902CF9" w:rsidRDefault="00DC4D38" w:rsidP="00DC4D38">
            <w:pPr>
              <w:rPr>
                <w:rFonts w:cs="Arial"/>
                <w:szCs w:val="20"/>
              </w:rPr>
            </w:pPr>
            <w:r w:rsidRPr="00AF6815">
              <w:rPr>
                <w:rFonts w:cs="Arial"/>
                <w:spacing w:val="-3"/>
                <w:szCs w:val="20"/>
              </w:rPr>
              <w:t>NUEDEXTA 20-10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39A0D337" w:rsidR="00DC4D38" w:rsidRPr="00902CF9" w:rsidRDefault="00DC4D38" w:rsidP="00DC4D38">
            <w:pPr>
              <w:jc w:val="center"/>
              <w:rPr>
                <w:rFonts w:cs="Arial"/>
                <w:szCs w:val="20"/>
              </w:rPr>
            </w:pPr>
            <w:r>
              <w:rPr>
                <w:rFonts w:cs="Arial"/>
                <w:szCs w:val="20"/>
              </w:rPr>
              <w:t>531</w:t>
            </w:r>
          </w:p>
        </w:tc>
        <w:tc>
          <w:tcPr>
            <w:tcW w:w="1329" w:type="dxa"/>
            <w:tcBorders>
              <w:top w:val="single" w:sz="4" w:space="0" w:color="auto"/>
              <w:left w:val="single" w:sz="4" w:space="0" w:color="auto"/>
              <w:bottom w:val="single" w:sz="4" w:space="0" w:color="auto"/>
              <w:right w:val="single" w:sz="4" w:space="0" w:color="auto"/>
            </w:tcBorders>
            <w:vAlign w:val="bottom"/>
          </w:tcPr>
          <w:p w14:paraId="52453425" w14:textId="787510AD" w:rsidR="00DC4D38" w:rsidRPr="00902CF9" w:rsidRDefault="00DC4D38" w:rsidP="00DC4D38">
            <w:pPr>
              <w:jc w:val="right"/>
              <w:rPr>
                <w:rFonts w:cs="Arial"/>
                <w:szCs w:val="20"/>
              </w:rPr>
            </w:pPr>
            <w:r>
              <w:rPr>
                <w:rFonts w:cs="Arial"/>
                <w:szCs w:val="20"/>
              </w:rPr>
              <w:t>$599,276</w:t>
            </w:r>
          </w:p>
        </w:tc>
        <w:tc>
          <w:tcPr>
            <w:tcW w:w="2279" w:type="dxa"/>
            <w:tcBorders>
              <w:top w:val="single" w:sz="4" w:space="0" w:color="auto"/>
              <w:left w:val="single" w:sz="4" w:space="0" w:color="auto"/>
              <w:bottom w:val="single" w:sz="4" w:space="0" w:color="auto"/>
              <w:right w:val="single" w:sz="4" w:space="0" w:color="auto"/>
            </w:tcBorders>
            <w:vAlign w:val="bottom"/>
          </w:tcPr>
          <w:p w14:paraId="43EE586B" w14:textId="310EC267" w:rsidR="00DC4D38" w:rsidRPr="00902CF9" w:rsidRDefault="00DC4D38" w:rsidP="00DC4D38">
            <w:pPr>
              <w:jc w:val="right"/>
              <w:rPr>
                <w:rFonts w:cs="Arial"/>
                <w:szCs w:val="20"/>
              </w:rPr>
            </w:pPr>
            <w:r>
              <w:rPr>
                <w:rFonts w:cs="Arial"/>
                <w:szCs w:val="20"/>
              </w:rPr>
              <w:t>$1,129</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E85FBE2" w:rsidR="0097028A" w:rsidRPr="0079438F" w:rsidRDefault="0097028A" w:rsidP="00696E3A">
      <w:pPr>
        <w:rPr>
          <w:b/>
        </w:rPr>
      </w:pPr>
      <w:r w:rsidRPr="00696E3A">
        <w:rPr>
          <w:b/>
          <w:bCs/>
        </w:rPr>
        <w:t>Drug class for review:</w:t>
      </w:r>
      <w:r w:rsidRPr="00C02553">
        <w:t xml:space="preserve"> </w:t>
      </w:r>
      <w:r w:rsidR="005A3436" w:rsidRPr="005A3436">
        <w:t>Nuedexta</w:t>
      </w:r>
      <w:r w:rsidR="005A3436" w:rsidRPr="005A3436">
        <w:rPr>
          <w:vertAlign w:val="superscript"/>
        </w:rPr>
        <w:t>®</w:t>
      </w:r>
      <w:r w:rsidR="005A3436" w:rsidRPr="005A3436">
        <w:t xml:space="preserve"> (dextromethorphan hydrobromide and quinidine sulfate)</w:t>
      </w:r>
    </w:p>
    <w:p w14:paraId="26CFE8A0" w14:textId="4275127B"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5A3436">
        <w:rPr>
          <w:rFonts w:cs="Arial"/>
        </w:rPr>
        <w:t xml:space="preserve"> </w:t>
      </w:r>
      <w:r w:rsidR="00CA02A2" w:rsidRPr="00CA02A2">
        <w:rPr>
          <w:rFonts w:cs="Arial"/>
        </w:rPr>
        <w:t>aged 18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63E9ECD" w14:textId="77777777" w:rsidR="00EA2AE6" w:rsidRPr="00EA2AE6" w:rsidRDefault="00EA2AE6" w:rsidP="00EA2AE6">
      <w:pPr>
        <w:jc w:val="both"/>
        <w:rPr>
          <w:rFonts w:cs="Arial"/>
          <w:bCs/>
          <w:szCs w:val="20"/>
          <w:u w:val="single"/>
        </w:rPr>
      </w:pPr>
      <w:r w:rsidRPr="00EA2AE6">
        <w:rPr>
          <w:rFonts w:cs="Arial"/>
          <w:bCs/>
          <w:szCs w:val="20"/>
          <w:u w:val="single"/>
        </w:rPr>
        <w:t>Initial Approval</w:t>
      </w:r>
    </w:p>
    <w:p w14:paraId="4B5EE5CE" w14:textId="77777777" w:rsidR="00EA2AE6" w:rsidRPr="00EA2AE6" w:rsidRDefault="00EA2AE6" w:rsidP="00EA2AE6">
      <w:pPr>
        <w:numPr>
          <w:ilvl w:val="0"/>
          <w:numId w:val="16"/>
        </w:numPr>
        <w:contextualSpacing/>
        <w:jc w:val="both"/>
        <w:rPr>
          <w:rFonts w:cs="Arial"/>
          <w:bCs/>
          <w:szCs w:val="20"/>
          <w:u w:val="single"/>
        </w:rPr>
      </w:pPr>
      <w:r w:rsidRPr="00EA2AE6">
        <w:rPr>
          <w:rFonts w:cs="Arial"/>
          <w:bCs/>
          <w:szCs w:val="20"/>
        </w:rPr>
        <w:t xml:space="preserve">Must meet </w:t>
      </w:r>
      <w:proofErr w:type="gramStart"/>
      <w:r w:rsidRPr="00EA2AE6">
        <w:rPr>
          <w:rFonts w:cs="Arial"/>
          <w:bCs/>
          <w:szCs w:val="20"/>
        </w:rPr>
        <w:t>all of</w:t>
      </w:r>
      <w:proofErr w:type="gramEnd"/>
      <w:r w:rsidRPr="00EA2AE6">
        <w:rPr>
          <w:rFonts w:cs="Arial"/>
          <w:bCs/>
          <w:szCs w:val="20"/>
        </w:rPr>
        <w:t xml:space="preserve"> the following:</w:t>
      </w:r>
    </w:p>
    <w:p w14:paraId="12A2E6AE" w14:textId="77777777" w:rsidR="00EA2AE6" w:rsidRPr="00EA2AE6" w:rsidRDefault="00EA2AE6" w:rsidP="00EA2AE6">
      <w:pPr>
        <w:numPr>
          <w:ilvl w:val="1"/>
          <w:numId w:val="17"/>
        </w:numPr>
        <w:contextualSpacing/>
        <w:jc w:val="both"/>
        <w:rPr>
          <w:rFonts w:cs="Arial"/>
          <w:bCs/>
          <w:szCs w:val="20"/>
          <w:u w:val="single"/>
        </w:rPr>
      </w:pPr>
      <w:r w:rsidRPr="00EA2AE6">
        <w:rPr>
          <w:rFonts w:cs="Arial"/>
          <w:bCs/>
          <w:szCs w:val="20"/>
        </w:rPr>
        <w:t xml:space="preserve">Participant aged 18 years or </w:t>
      </w:r>
      <w:proofErr w:type="gramStart"/>
      <w:r w:rsidRPr="00EA2AE6">
        <w:rPr>
          <w:rFonts w:cs="Arial"/>
          <w:bCs/>
          <w:szCs w:val="20"/>
        </w:rPr>
        <w:t>older;</w:t>
      </w:r>
      <w:proofErr w:type="gramEnd"/>
    </w:p>
    <w:p w14:paraId="0E7868B2" w14:textId="77777777" w:rsidR="00EA2AE6" w:rsidRPr="00EA2AE6" w:rsidRDefault="00EA2AE6" w:rsidP="00EA2AE6">
      <w:pPr>
        <w:numPr>
          <w:ilvl w:val="1"/>
          <w:numId w:val="17"/>
        </w:numPr>
        <w:contextualSpacing/>
        <w:jc w:val="both"/>
        <w:rPr>
          <w:rFonts w:cs="Arial"/>
          <w:bCs/>
          <w:szCs w:val="20"/>
          <w:u w:val="single"/>
        </w:rPr>
      </w:pPr>
      <w:r w:rsidRPr="00EA2AE6">
        <w:rPr>
          <w:rFonts w:cs="Arial"/>
          <w:bCs/>
          <w:szCs w:val="20"/>
        </w:rPr>
        <w:t xml:space="preserve">Documented diagnosis of pseudobulbar </w:t>
      </w:r>
      <w:proofErr w:type="gramStart"/>
      <w:r w:rsidRPr="00EA2AE6">
        <w:rPr>
          <w:rFonts w:cs="Arial"/>
          <w:bCs/>
          <w:szCs w:val="20"/>
        </w:rPr>
        <w:t>affect;</w:t>
      </w:r>
      <w:proofErr w:type="gramEnd"/>
    </w:p>
    <w:p w14:paraId="3C553314" w14:textId="77777777" w:rsidR="00EA2AE6" w:rsidRPr="00EA2AE6" w:rsidRDefault="00EA2AE6" w:rsidP="00EA2AE6">
      <w:pPr>
        <w:numPr>
          <w:ilvl w:val="1"/>
          <w:numId w:val="17"/>
        </w:numPr>
        <w:contextualSpacing/>
        <w:jc w:val="both"/>
        <w:rPr>
          <w:rFonts w:cs="Arial"/>
          <w:bCs/>
          <w:szCs w:val="20"/>
          <w:u w:val="single"/>
        </w:rPr>
      </w:pPr>
      <w:r w:rsidRPr="00EA2AE6">
        <w:rPr>
          <w:rFonts w:cs="Arial"/>
          <w:bCs/>
          <w:szCs w:val="20"/>
        </w:rPr>
        <w:t xml:space="preserve">Documentation of baseline episode frequency; </w:t>
      </w:r>
      <w:r w:rsidRPr="00EA2AE6">
        <w:rPr>
          <w:rFonts w:cs="Arial"/>
          <w:b/>
          <w:szCs w:val="20"/>
        </w:rPr>
        <w:t>AND</w:t>
      </w:r>
    </w:p>
    <w:p w14:paraId="2B956BDF" w14:textId="77777777" w:rsidR="00EA2AE6" w:rsidRPr="00EA2AE6" w:rsidRDefault="00EA2AE6" w:rsidP="00EA2AE6">
      <w:pPr>
        <w:numPr>
          <w:ilvl w:val="1"/>
          <w:numId w:val="17"/>
        </w:numPr>
        <w:contextualSpacing/>
        <w:jc w:val="both"/>
        <w:rPr>
          <w:rFonts w:cs="Arial"/>
          <w:bCs/>
          <w:szCs w:val="20"/>
          <w:u w:val="single"/>
        </w:rPr>
      </w:pPr>
      <w:r w:rsidRPr="00EA2AE6">
        <w:rPr>
          <w:rFonts w:cs="Arial"/>
          <w:bCs/>
          <w:szCs w:val="20"/>
        </w:rPr>
        <w:t>Must meet one of the following:</w:t>
      </w:r>
    </w:p>
    <w:p w14:paraId="1E58092E" w14:textId="77777777" w:rsidR="00EA2AE6" w:rsidRPr="00EA2AE6" w:rsidRDefault="00EA2AE6" w:rsidP="00EA2AE6">
      <w:pPr>
        <w:numPr>
          <w:ilvl w:val="2"/>
          <w:numId w:val="18"/>
        </w:numPr>
        <w:contextualSpacing/>
        <w:jc w:val="both"/>
        <w:rPr>
          <w:rFonts w:cs="Arial"/>
          <w:bCs/>
          <w:szCs w:val="20"/>
          <w:u w:val="single"/>
        </w:rPr>
      </w:pPr>
      <w:r w:rsidRPr="00EA2AE6">
        <w:rPr>
          <w:rFonts w:cs="Arial"/>
          <w:bCs/>
          <w:szCs w:val="20"/>
        </w:rPr>
        <w:t xml:space="preserve">Participant has a Center for Neurologic Study-Lability Scale (CNS-LS) score of ≥ </w:t>
      </w:r>
      <w:proofErr w:type="gramStart"/>
      <w:r w:rsidRPr="00EA2AE6">
        <w:rPr>
          <w:rFonts w:cs="Arial"/>
          <w:bCs/>
          <w:szCs w:val="20"/>
        </w:rPr>
        <w:t>13;</w:t>
      </w:r>
      <w:proofErr w:type="gramEnd"/>
      <w:r w:rsidRPr="00EA2AE6">
        <w:rPr>
          <w:rFonts w:cs="Arial"/>
          <w:bCs/>
          <w:szCs w:val="20"/>
        </w:rPr>
        <w:t xml:space="preserve"> </w:t>
      </w:r>
      <w:r w:rsidRPr="00EA2AE6">
        <w:rPr>
          <w:rFonts w:cs="Arial"/>
          <w:b/>
          <w:szCs w:val="20"/>
        </w:rPr>
        <w:t>OR</w:t>
      </w:r>
    </w:p>
    <w:p w14:paraId="3264E1E9" w14:textId="77777777" w:rsidR="00EA2AE6" w:rsidRPr="00EA2AE6" w:rsidRDefault="00EA2AE6" w:rsidP="00EA2AE6">
      <w:pPr>
        <w:numPr>
          <w:ilvl w:val="2"/>
          <w:numId w:val="18"/>
        </w:numPr>
        <w:contextualSpacing/>
        <w:jc w:val="both"/>
        <w:rPr>
          <w:rFonts w:cs="Arial"/>
          <w:bCs/>
          <w:szCs w:val="20"/>
        </w:rPr>
      </w:pPr>
      <w:r w:rsidRPr="00EA2AE6">
        <w:rPr>
          <w:rFonts w:cs="Arial"/>
          <w:bCs/>
          <w:szCs w:val="20"/>
        </w:rPr>
        <w:lastRenderedPageBreak/>
        <w:t>Participant has a Pathological Laughter and Crying Scale (PLACS) score of ≥ 13.</w:t>
      </w:r>
    </w:p>
    <w:p w14:paraId="633B63F6" w14:textId="77777777" w:rsidR="00EA2AE6" w:rsidRPr="00EA2AE6" w:rsidRDefault="00EA2AE6" w:rsidP="00EA2AE6">
      <w:pPr>
        <w:numPr>
          <w:ilvl w:val="0"/>
          <w:numId w:val="18"/>
        </w:numPr>
        <w:contextualSpacing/>
        <w:jc w:val="both"/>
        <w:rPr>
          <w:rFonts w:cs="Arial"/>
          <w:bCs/>
          <w:szCs w:val="20"/>
        </w:rPr>
      </w:pPr>
      <w:r w:rsidRPr="00EA2AE6">
        <w:rPr>
          <w:rFonts w:cs="Arial"/>
          <w:szCs w:val="20"/>
        </w:rPr>
        <w:t>Initial approval period</w:t>
      </w:r>
      <w:r w:rsidRPr="00EA2AE6">
        <w:rPr>
          <w:rFonts w:cs="Arial"/>
          <w:bCs/>
          <w:szCs w:val="20"/>
        </w:rPr>
        <w:t>: 6 months</w:t>
      </w:r>
    </w:p>
    <w:p w14:paraId="7876B6AC" w14:textId="77777777" w:rsidR="00EA2AE6" w:rsidRPr="00EA2AE6" w:rsidRDefault="00EA2AE6" w:rsidP="00EA2AE6">
      <w:pPr>
        <w:jc w:val="both"/>
        <w:rPr>
          <w:rFonts w:cs="Arial"/>
          <w:bCs/>
          <w:szCs w:val="20"/>
          <w:u w:val="single"/>
        </w:rPr>
      </w:pPr>
    </w:p>
    <w:p w14:paraId="7D4ACA4F" w14:textId="77777777" w:rsidR="00EA2AE6" w:rsidRPr="00EA2AE6" w:rsidRDefault="00EA2AE6" w:rsidP="00EA2AE6">
      <w:pPr>
        <w:jc w:val="both"/>
        <w:rPr>
          <w:rFonts w:cs="Arial"/>
          <w:bCs/>
          <w:szCs w:val="20"/>
          <w:u w:val="single"/>
        </w:rPr>
      </w:pPr>
      <w:r w:rsidRPr="00EA2AE6">
        <w:rPr>
          <w:rFonts w:cs="Arial"/>
          <w:bCs/>
          <w:szCs w:val="20"/>
          <w:u w:val="single"/>
        </w:rPr>
        <w:t>Continuation of Therapy</w:t>
      </w:r>
    </w:p>
    <w:p w14:paraId="39403335" w14:textId="77777777" w:rsidR="00EA2AE6" w:rsidRPr="00EA2AE6" w:rsidRDefault="00EA2AE6" w:rsidP="00EA2AE6">
      <w:pPr>
        <w:numPr>
          <w:ilvl w:val="0"/>
          <w:numId w:val="16"/>
        </w:numPr>
        <w:contextualSpacing/>
        <w:jc w:val="both"/>
        <w:rPr>
          <w:rFonts w:cs="Arial"/>
          <w:bCs/>
          <w:szCs w:val="20"/>
          <w:u w:val="single"/>
        </w:rPr>
      </w:pPr>
      <w:r w:rsidRPr="00EA2AE6">
        <w:rPr>
          <w:rFonts w:cs="Arial"/>
          <w:bCs/>
          <w:szCs w:val="20"/>
        </w:rPr>
        <w:t xml:space="preserve">Must meet </w:t>
      </w:r>
      <w:proofErr w:type="gramStart"/>
      <w:r w:rsidRPr="00EA2AE6">
        <w:rPr>
          <w:rFonts w:cs="Arial"/>
          <w:bCs/>
          <w:szCs w:val="20"/>
        </w:rPr>
        <w:t>all of</w:t>
      </w:r>
      <w:proofErr w:type="gramEnd"/>
      <w:r w:rsidRPr="00EA2AE6">
        <w:rPr>
          <w:rFonts w:cs="Arial"/>
          <w:bCs/>
          <w:szCs w:val="20"/>
        </w:rPr>
        <w:t xml:space="preserve"> the following:</w:t>
      </w:r>
    </w:p>
    <w:p w14:paraId="6EF9517E" w14:textId="77777777" w:rsidR="00EA2AE6" w:rsidRPr="00EA2AE6" w:rsidRDefault="00EA2AE6" w:rsidP="00EA2AE6">
      <w:pPr>
        <w:numPr>
          <w:ilvl w:val="1"/>
          <w:numId w:val="19"/>
        </w:numPr>
        <w:contextualSpacing/>
        <w:jc w:val="both"/>
        <w:rPr>
          <w:rFonts w:cs="Arial"/>
          <w:bCs/>
          <w:szCs w:val="20"/>
          <w:u w:val="single"/>
        </w:rPr>
      </w:pPr>
      <w:r w:rsidRPr="00EA2AE6">
        <w:rPr>
          <w:rFonts w:cs="Arial"/>
          <w:bCs/>
          <w:szCs w:val="20"/>
        </w:rPr>
        <w:t xml:space="preserve">Documentation of decrease in CNS-LS score or PLACS score from baseline; </w:t>
      </w:r>
      <w:r w:rsidRPr="00EA2AE6">
        <w:rPr>
          <w:rFonts w:cs="Arial"/>
          <w:b/>
          <w:szCs w:val="20"/>
        </w:rPr>
        <w:t>AND</w:t>
      </w:r>
    </w:p>
    <w:p w14:paraId="6DB8356C" w14:textId="77777777" w:rsidR="00EA2AE6" w:rsidRPr="00EA2AE6" w:rsidRDefault="00EA2AE6" w:rsidP="00EA2AE6">
      <w:pPr>
        <w:numPr>
          <w:ilvl w:val="1"/>
          <w:numId w:val="19"/>
        </w:numPr>
        <w:contextualSpacing/>
        <w:jc w:val="both"/>
        <w:rPr>
          <w:rFonts w:cs="Arial"/>
          <w:bCs/>
          <w:szCs w:val="20"/>
          <w:u w:val="single"/>
        </w:rPr>
      </w:pPr>
      <w:r w:rsidRPr="00EA2AE6">
        <w:rPr>
          <w:rFonts w:cs="Arial"/>
          <w:bCs/>
          <w:szCs w:val="20"/>
        </w:rPr>
        <w:t>Documentation of decrease in episode frequency from baseline.</w:t>
      </w:r>
    </w:p>
    <w:p w14:paraId="4EE66ABE" w14:textId="77777777" w:rsidR="00EA2AE6" w:rsidRPr="00EA2AE6" w:rsidRDefault="00EA2AE6" w:rsidP="00EA2AE6">
      <w:pPr>
        <w:numPr>
          <w:ilvl w:val="0"/>
          <w:numId w:val="16"/>
        </w:numPr>
        <w:contextualSpacing/>
        <w:jc w:val="both"/>
        <w:rPr>
          <w:rFonts w:cs="Arial"/>
          <w:bCs/>
          <w:szCs w:val="20"/>
        </w:rPr>
      </w:pPr>
      <w:r w:rsidRPr="00EA2AE6">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631F6968" w14:textId="77777777" w:rsidR="00DD7E18" w:rsidRPr="00DD7E18" w:rsidRDefault="00DD7E18" w:rsidP="00DD7E18">
      <w:pPr>
        <w:numPr>
          <w:ilvl w:val="0"/>
          <w:numId w:val="16"/>
        </w:numPr>
        <w:contextualSpacing/>
        <w:rPr>
          <w:rFonts w:cs="Arial"/>
          <w:noProof/>
          <w:szCs w:val="20"/>
        </w:rPr>
      </w:pPr>
      <w:r w:rsidRPr="00DD7E18">
        <w:rPr>
          <w:rFonts w:cs="Arial"/>
          <w:noProof/>
          <w:szCs w:val="20"/>
        </w:rPr>
        <w:t>Therapy will deny with presence of one of the following:</w:t>
      </w:r>
    </w:p>
    <w:p w14:paraId="471B9871" w14:textId="77777777" w:rsidR="00DD7E18" w:rsidRPr="00DD7E18" w:rsidRDefault="00DD7E18" w:rsidP="00DD7E18">
      <w:pPr>
        <w:numPr>
          <w:ilvl w:val="1"/>
          <w:numId w:val="20"/>
        </w:numPr>
        <w:contextualSpacing/>
        <w:rPr>
          <w:rFonts w:cs="Arial"/>
          <w:noProof/>
          <w:szCs w:val="20"/>
        </w:rPr>
      </w:pPr>
      <w:r w:rsidRPr="00DD7E18">
        <w:rPr>
          <w:rFonts w:cs="Arial"/>
          <w:noProof/>
          <w:szCs w:val="20"/>
        </w:rPr>
        <w:t>All approval criteria are not met;</w:t>
      </w:r>
    </w:p>
    <w:p w14:paraId="08B402D7" w14:textId="77777777" w:rsidR="00DD7E18" w:rsidRPr="00DD7E18" w:rsidRDefault="00DD7E18" w:rsidP="00DD7E18">
      <w:pPr>
        <w:numPr>
          <w:ilvl w:val="1"/>
          <w:numId w:val="20"/>
        </w:numPr>
        <w:contextualSpacing/>
        <w:rPr>
          <w:rFonts w:cs="Arial"/>
          <w:noProof/>
          <w:szCs w:val="20"/>
        </w:rPr>
      </w:pPr>
      <w:r w:rsidRPr="00DD7E18">
        <w:rPr>
          <w:rFonts w:cs="Arial"/>
          <w:noProof/>
          <w:szCs w:val="20"/>
        </w:rPr>
        <w:t>Claim exceeds 2 capsules per day;</w:t>
      </w:r>
    </w:p>
    <w:p w14:paraId="7CDDB922" w14:textId="77777777" w:rsidR="00DD7E18" w:rsidRPr="00DD7E18" w:rsidRDefault="00DD7E18" w:rsidP="00DD7E18">
      <w:pPr>
        <w:numPr>
          <w:ilvl w:val="1"/>
          <w:numId w:val="20"/>
        </w:numPr>
        <w:contextualSpacing/>
        <w:rPr>
          <w:rFonts w:cs="Arial"/>
          <w:noProof/>
          <w:szCs w:val="20"/>
        </w:rPr>
      </w:pPr>
      <w:r w:rsidRPr="00DD7E18">
        <w:rPr>
          <w:rFonts w:cs="Arial"/>
          <w:noProof/>
          <w:szCs w:val="20"/>
        </w:rPr>
        <w:t xml:space="preserve">Documented history of MAOI therapy in the past 45 days; </w:t>
      </w:r>
      <w:r w:rsidRPr="00DD7E18">
        <w:rPr>
          <w:rFonts w:cs="Arial"/>
          <w:b/>
          <w:bCs/>
          <w:noProof/>
          <w:szCs w:val="20"/>
        </w:rPr>
        <w:t>OR</w:t>
      </w:r>
    </w:p>
    <w:p w14:paraId="6114550C" w14:textId="77777777" w:rsidR="00DD7E18" w:rsidRPr="00DD7E18" w:rsidRDefault="00DD7E18" w:rsidP="00DD7E18">
      <w:pPr>
        <w:numPr>
          <w:ilvl w:val="1"/>
          <w:numId w:val="20"/>
        </w:numPr>
        <w:contextualSpacing/>
        <w:rPr>
          <w:rFonts w:cs="Arial"/>
          <w:noProof/>
          <w:szCs w:val="20"/>
        </w:rPr>
      </w:pPr>
      <w:r w:rsidRPr="00DD7E18">
        <w:rPr>
          <w:rFonts w:cs="Arial"/>
          <w:noProof/>
          <w:szCs w:val="20"/>
        </w:rPr>
        <w:t>Documented history of quinidine, quinine, or mefloquine therapy in the past 45 days.</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A9229C5" w14:textId="77777777" w:rsidR="00BC1AE9" w:rsidRPr="00BC1AE9" w:rsidRDefault="00BC1AE9" w:rsidP="00BC1AE9">
      <w:pPr>
        <w:numPr>
          <w:ilvl w:val="0"/>
          <w:numId w:val="21"/>
        </w:numPr>
        <w:contextualSpacing/>
        <w:rPr>
          <w:rFonts w:cs="Arial"/>
          <w:sz w:val="18"/>
          <w:szCs w:val="18"/>
        </w:rPr>
      </w:pPr>
      <w:r w:rsidRPr="00BC1AE9">
        <w:rPr>
          <w:rFonts w:cs="Arial"/>
          <w:sz w:val="18"/>
          <w:szCs w:val="18"/>
        </w:rPr>
        <w:t xml:space="preserve">NUEDEXTA (dextromethorphan hydrobromide and quinidine sulfate) [package insert]. Aliso Viejo, CA: </w:t>
      </w:r>
      <w:proofErr w:type="spellStart"/>
      <w:r w:rsidRPr="00BC1AE9">
        <w:rPr>
          <w:rFonts w:cs="Arial"/>
          <w:sz w:val="18"/>
          <w:szCs w:val="18"/>
        </w:rPr>
        <w:t>Avanir</w:t>
      </w:r>
      <w:proofErr w:type="spellEnd"/>
      <w:r w:rsidRPr="00BC1AE9">
        <w:rPr>
          <w:rFonts w:cs="Arial"/>
          <w:sz w:val="18"/>
          <w:szCs w:val="18"/>
        </w:rPr>
        <w:t xml:space="preserve"> Pharmaceuticals, Inc.; December 2022.</w:t>
      </w:r>
    </w:p>
    <w:p w14:paraId="445928C2" w14:textId="77777777" w:rsidR="00BC1AE9" w:rsidRPr="00BC1AE9" w:rsidRDefault="00BC1AE9" w:rsidP="00BC1AE9">
      <w:pPr>
        <w:numPr>
          <w:ilvl w:val="0"/>
          <w:numId w:val="21"/>
        </w:numPr>
        <w:textAlignment w:val="baseline"/>
        <w:rPr>
          <w:rFonts w:cs="Arial"/>
          <w:sz w:val="18"/>
          <w:szCs w:val="18"/>
        </w:rPr>
      </w:pPr>
      <w:r w:rsidRPr="00BC1AE9">
        <w:rPr>
          <w:rFonts w:cs="Arial"/>
          <w:sz w:val="18"/>
          <w:szCs w:val="18"/>
        </w:rPr>
        <w:t xml:space="preserve">Ahmed A, Simmons Z. Pseudobulbar affect: prevalence and management. Ther Clin Risk Manag. </w:t>
      </w:r>
      <w:proofErr w:type="gramStart"/>
      <w:r w:rsidRPr="00BC1AE9">
        <w:rPr>
          <w:rFonts w:cs="Arial"/>
          <w:sz w:val="18"/>
          <w:szCs w:val="18"/>
        </w:rPr>
        <w:t>2013;9:483</w:t>
      </w:r>
      <w:proofErr w:type="gramEnd"/>
      <w:r w:rsidRPr="00BC1AE9">
        <w:rPr>
          <w:rFonts w:cs="Arial"/>
          <w:sz w:val="18"/>
          <w:szCs w:val="18"/>
        </w:rPr>
        <w:t>-489. doi:10.2147/TCRM.S53906</w:t>
      </w:r>
    </w:p>
    <w:p w14:paraId="2B7D6B2D" w14:textId="77777777" w:rsidR="00BC1AE9" w:rsidRPr="00BC1AE9" w:rsidRDefault="00BC1AE9" w:rsidP="00BC1AE9">
      <w:pPr>
        <w:numPr>
          <w:ilvl w:val="0"/>
          <w:numId w:val="21"/>
        </w:numPr>
        <w:contextualSpacing/>
        <w:rPr>
          <w:rFonts w:cs="Arial"/>
          <w:sz w:val="18"/>
          <w:szCs w:val="18"/>
          <w:shd w:val="clear" w:color="auto" w:fill="FFFFFF"/>
        </w:rPr>
      </w:pPr>
      <w:r w:rsidRPr="00BC1AE9">
        <w:rPr>
          <w:rFonts w:cs="Arial"/>
          <w:sz w:val="18"/>
          <w:szCs w:val="18"/>
          <w:shd w:val="clear" w:color="auto" w:fill="FFFFFF"/>
        </w:rPr>
        <w:t xml:space="preserve">Genetic and Rare Diseases Information Center. Pseudobulbar affect.  </w:t>
      </w:r>
      <w:r w:rsidRPr="00BC1AE9">
        <w:rPr>
          <w:rFonts w:cs="Arial"/>
          <w:sz w:val="18"/>
          <w:szCs w:val="18"/>
        </w:rPr>
        <w:t>https://rarediseases.info.nih.gov/diseases/12012/pseudobulbar-affect</w:t>
      </w:r>
      <w:r w:rsidRPr="00BC1AE9">
        <w:rPr>
          <w:rFonts w:cs="Arial"/>
          <w:sz w:val="18"/>
          <w:szCs w:val="18"/>
          <w:shd w:val="clear" w:color="auto" w:fill="FFFFFF"/>
        </w:rPr>
        <w:t>. Accessed August 21, 2024.</w:t>
      </w:r>
    </w:p>
    <w:p w14:paraId="058568E1" w14:textId="77777777" w:rsidR="00BC1AE9" w:rsidRPr="00BC1AE9" w:rsidRDefault="00BC1AE9" w:rsidP="00BC1AE9">
      <w:pPr>
        <w:numPr>
          <w:ilvl w:val="0"/>
          <w:numId w:val="21"/>
        </w:numPr>
        <w:contextualSpacing/>
        <w:rPr>
          <w:rFonts w:cs="Arial"/>
          <w:sz w:val="18"/>
          <w:szCs w:val="18"/>
          <w:shd w:val="clear" w:color="auto" w:fill="FFFFFF"/>
        </w:rPr>
      </w:pPr>
      <w:proofErr w:type="spellStart"/>
      <w:r w:rsidRPr="00BC1AE9">
        <w:rPr>
          <w:rFonts w:cs="Arial"/>
          <w:sz w:val="18"/>
          <w:szCs w:val="18"/>
          <w:shd w:val="clear" w:color="auto" w:fill="FFFFFF"/>
        </w:rPr>
        <w:t>Avanir</w:t>
      </w:r>
      <w:proofErr w:type="spellEnd"/>
      <w:r w:rsidRPr="00BC1AE9">
        <w:rPr>
          <w:rFonts w:cs="Arial"/>
          <w:sz w:val="18"/>
          <w:szCs w:val="18"/>
          <w:shd w:val="clear" w:color="auto" w:fill="FFFFFF"/>
        </w:rPr>
        <w:t xml:space="preserve"> Pharmaceuticals, Inc.  Impact of Pseudobulbar Affect (PBA).  </w:t>
      </w:r>
      <w:r w:rsidRPr="00BC1AE9">
        <w:rPr>
          <w:rFonts w:cs="Arial"/>
          <w:sz w:val="18"/>
          <w:szCs w:val="18"/>
        </w:rPr>
        <w:t>https://www.nuedextahcp.com/understanding-pba</w:t>
      </w:r>
      <w:r w:rsidRPr="00BC1AE9">
        <w:rPr>
          <w:rFonts w:cs="Arial"/>
          <w:sz w:val="18"/>
          <w:szCs w:val="18"/>
          <w:shd w:val="clear" w:color="auto" w:fill="FFFFFF"/>
        </w:rPr>
        <w:t>.  Accessed August 21, 2024.</w:t>
      </w:r>
    </w:p>
    <w:p w14:paraId="3FA1E7DB" w14:textId="242B4210" w:rsidR="00777CA4" w:rsidRDefault="00777CA4" w:rsidP="00BC1AE9">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A5E0" w14:textId="77777777" w:rsidR="001B137E" w:rsidRPr="00C02553" w:rsidRDefault="001B137E" w:rsidP="00AE77DB">
      <w:r w:rsidRPr="00C02553">
        <w:separator/>
      </w:r>
    </w:p>
  </w:endnote>
  <w:endnote w:type="continuationSeparator" w:id="0">
    <w:p w14:paraId="2FCE1D47" w14:textId="77777777" w:rsidR="001B137E" w:rsidRPr="00C02553" w:rsidRDefault="001B137E" w:rsidP="00AE77DB">
      <w:r w:rsidRPr="00C02553">
        <w:continuationSeparator/>
      </w:r>
    </w:p>
  </w:endnote>
  <w:endnote w:type="continuationNotice" w:id="1">
    <w:p w14:paraId="46064BB2" w14:textId="77777777" w:rsidR="001B137E" w:rsidRPr="00C02553" w:rsidRDefault="001B1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2AD0D" w14:textId="77777777" w:rsidR="001B137E" w:rsidRPr="00C02553" w:rsidRDefault="001B137E" w:rsidP="00AE77DB">
      <w:r w:rsidRPr="00C02553">
        <w:separator/>
      </w:r>
    </w:p>
  </w:footnote>
  <w:footnote w:type="continuationSeparator" w:id="0">
    <w:p w14:paraId="29FDF039" w14:textId="77777777" w:rsidR="001B137E" w:rsidRPr="00C02553" w:rsidRDefault="001B137E" w:rsidP="00AE77DB">
      <w:r w:rsidRPr="00C02553">
        <w:continuationSeparator/>
      </w:r>
    </w:p>
  </w:footnote>
  <w:footnote w:type="continuationNotice" w:id="1">
    <w:p w14:paraId="1C31CB82" w14:textId="77777777" w:rsidR="001B137E" w:rsidRPr="00C02553" w:rsidRDefault="001B1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1E5746"/>
    <w:multiLevelType w:val="hybridMultilevel"/>
    <w:tmpl w:val="A5F8C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E943D3"/>
    <w:multiLevelType w:val="hybridMultilevel"/>
    <w:tmpl w:val="AA0E77C8"/>
    <w:lvl w:ilvl="0" w:tplc="FFFFFFFF">
      <w:start w:val="1"/>
      <w:numFmt w:val="bullet"/>
      <w:lvlText w:val=""/>
      <w:lvlJc w:val="left"/>
      <w:pPr>
        <w:ind w:left="360" w:hanging="360"/>
      </w:pPr>
      <w:rPr>
        <w:rFonts w:ascii="Symbol" w:hAnsi="Symbol" w:hint="default"/>
      </w:rPr>
    </w:lvl>
    <w:lvl w:ilvl="1" w:tplc="4B4857E0">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C24DD6"/>
    <w:multiLevelType w:val="hybridMultilevel"/>
    <w:tmpl w:val="6E620E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6FF5D25"/>
    <w:multiLevelType w:val="hybridMultilevel"/>
    <w:tmpl w:val="0AEC609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D48CAB02">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BBA6438"/>
    <w:multiLevelType w:val="hybridMultilevel"/>
    <w:tmpl w:val="8EC48E90"/>
    <w:lvl w:ilvl="0" w:tplc="FFFFFFFF">
      <w:start w:val="1"/>
      <w:numFmt w:val="bullet"/>
      <w:lvlText w:val=""/>
      <w:lvlJc w:val="left"/>
      <w:pPr>
        <w:ind w:left="360" w:hanging="360"/>
      </w:pPr>
      <w:rPr>
        <w:rFonts w:ascii="Symbol" w:hAnsi="Symbol" w:hint="default"/>
      </w:rPr>
    </w:lvl>
    <w:lvl w:ilvl="1" w:tplc="046AD554">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7E6078A5"/>
    <w:multiLevelType w:val="hybridMultilevel"/>
    <w:tmpl w:val="9D6A55C4"/>
    <w:lvl w:ilvl="0" w:tplc="FFFFFFFF">
      <w:start w:val="1"/>
      <w:numFmt w:val="bullet"/>
      <w:lvlText w:val=""/>
      <w:lvlJc w:val="left"/>
      <w:pPr>
        <w:ind w:left="360" w:hanging="360"/>
      </w:pPr>
      <w:rPr>
        <w:rFonts w:ascii="Symbol" w:hAnsi="Symbol" w:hint="default"/>
      </w:rPr>
    </w:lvl>
    <w:lvl w:ilvl="1" w:tplc="81B8D5D6">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0"/>
  </w:num>
  <w:num w:numId="5" w16cid:durableId="1769498754">
    <w:abstractNumId w:val="3"/>
  </w:num>
  <w:num w:numId="6" w16cid:durableId="1094596320">
    <w:abstractNumId w:val="17"/>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8"/>
  </w:num>
  <w:num w:numId="13" w16cid:durableId="604729665">
    <w:abstractNumId w:val="7"/>
  </w:num>
  <w:num w:numId="14" w16cid:durableId="1805081292">
    <w:abstractNumId w:val="16"/>
  </w:num>
  <w:num w:numId="15" w16cid:durableId="1911186802">
    <w:abstractNumId w:val="8"/>
  </w:num>
  <w:num w:numId="16" w16cid:durableId="1766799118">
    <w:abstractNumId w:val="13"/>
  </w:num>
  <w:num w:numId="17" w16cid:durableId="362905136">
    <w:abstractNumId w:val="20"/>
  </w:num>
  <w:num w:numId="18" w16cid:durableId="602299831">
    <w:abstractNumId w:val="14"/>
  </w:num>
  <w:num w:numId="19" w16cid:durableId="738594761">
    <w:abstractNumId w:val="6"/>
  </w:num>
  <w:num w:numId="20" w16cid:durableId="2137067612">
    <w:abstractNumId w:val="15"/>
  </w:num>
  <w:num w:numId="21" w16cid:durableId="48139187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2C5D"/>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137E"/>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B192D"/>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36404"/>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87CBB"/>
    <w:rsid w:val="00496E57"/>
    <w:rsid w:val="004B3E10"/>
    <w:rsid w:val="004B6E00"/>
    <w:rsid w:val="004C0F5D"/>
    <w:rsid w:val="004C2B30"/>
    <w:rsid w:val="004C375A"/>
    <w:rsid w:val="004C4954"/>
    <w:rsid w:val="004C5767"/>
    <w:rsid w:val="004C6098"/>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66EA8"/>
    <w:rsid w:val="00570D21"/>
    <w:rsid w:val="00576113"/>
    <w:rsid w:val="00590652"/>
    <w:rsid w:val="0059235F"/>
    <w:rsid w:val="00596936"/>
    <w:rsid w:val="005A2F1E"/>
    <w:rsid w:val="005A3436"/>
    <w:rsid w:val="005A4232"/>
    <w:rsid w:val="005C3616"/>
    <w:rsid w:val="005D36B2"/>
    <w:rsid w:val="005D52E7"/>
    <w:rsid w:val="005D78B5"/>
    <w:rsid w:val="005E3572"/>
    <w:rsid w:val="005E45E4"/>
    <w:rsid w:val="005E69AE"/>
    <w:rsid w:val="005F0A81"/>
    <w:rsid w:val="005F0FCF"/>
    <w:rsid w:val="005F6104"/>
    <w:rsid w:val="005F6869"/>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83A6B"/>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35B30"/>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760CF"/>
    <w:rsid w:val="0088225C"/>
    <w:rsid w:val="0088353D"/>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07658"/>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1AE9"/>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02A2"/>
    <w:rsid w:val="00CA1735"/>
    <w:rsid w:val="00CA207E"/>
    <w:rsid w:val="00CA3C4B"/>
    <w:rsid w:val="00CA7252"/>
    <w:rsid w:val="00CB2C5A"/>
    <w:rsid w:val="00CB7818"/>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193F"/>
    <w:rsid w:val="00D95E68"/>
    <w:rsid w:val="00DA3A0F"/>
    <w:rsid w:val="00DA4E62"/>
    <w:rsid w:val="00DA6990"/>
    <w:rsid w:val="00DB27BA"/>
    <w:rsid w:val="00DB3009"/>
    <w:rsid w:val="00DB337A"/>
    <w:rsid w:val="00DC034A"/>
    <w:rsid w:val="00DC4D38"/>
    <w:rsid w:val="00DC51CB"/>
    <w:rsid w:val="00DD3EA5"/>
    <w:rsid w:val="00DD4819"/>
    <w:rsid w:val="00DD4B8A"/>
    <w:rsid w:val="00DD5403"/>
    <w:rsid w:val="00DD546A"/>
    <w:rsid w:val="00DD7E18"/>
    <w:rsid w:val="00DE1388"/>
    <w:rsid w:val="00DE149E"/>
    <w:rsid w:val="00DE7501"/>
    <w:rsid w:val="00DF3146"/>
    <w:rsid w:val="00DF57C3"/>
    <w:rsid w:val="00E008D9"/>
    <w:rsid w:val="00E02FE0"/>
    <w:rsid w:val="00E07ABE"/>
    <w:rsid w:val="00E11A3F"/>
    <w:rsid w:val="00E1386E"/>
    <w:rsid w:val="00E2369B"/>
    <w:rsid w:val="00E23EC0"/>
    <w:rsid w:val="00E354AA"/>
    <w:rsid w:val="00E35670"/>
    <w:rsid w:val="00E43D54"/>
    <w:rsid w:val="00E442FB"/>
    <w:rsid w:val="00E529DB"/>
    <w:rsid w:val="00E53A5E"/>
    <w:rsid w:val="00E6466A"/>
    <w:rsid w:val="00E72221"/>
    <w:rsid w:val="00E81B96"/>
    <w:rsid w:val="00E83428"/>
    <w:rsid w:val="00E84C58"/>
    <w:rsid w:val="00E873A5"/>
    <w:rsid w:val="00E874BC"/>
    <w:rsid w:val="00E90D11"/>
    <w:rsid w:val="00E915E5"/>
    <w:rsid w:val="00EA2AE6"/>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05DB"/>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798C914C-421B-4C07-859D-E81715372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3253</Characters>
  <Application>Microsoft Office Word</Application>
  <DocSecurity>0</DocSecurity>
  <Lines>27</Lines>
  <Paragraphs>7</Paragraphs>
  <ScaleCrop>false</ScaleCrop>
  <Company>DSS</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2026-02-19T16:14:00Z</dcterms:created>
  <dcterms:modified xsi:type="dcterms:W3CDTF">2026-02-19T16:14:00Z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