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4F7901D5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B96D35" w:rsidRPr="00B96D35">
        <w:rPr>
          <w:b w:val="0"/>
        </w:rPr>
        <w:t>Ranolazine Clinical Edit (formerly Ranexa Clinical Edit)</w:t>
      </w:r>
    </w:p>
    <w:p w14:paraId="7AD7FFCE" w14:textId="365F9FB8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E20E30" w:rsidRPr="00E20E30">
        <w:rPr>
          <w:b w:val="0"/>
        </w:rPr>
        <w:t>June 13, 2007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D7F1C81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E20E30">
        <w:t xml:space="preserve">Criteria Status: </w:t>
      </w:r>
      <w:r w:rsidR="00566BE4" w:rsidRPr="00E20E30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39525D60" w:rsidR="00D47996" w:rsidRDefault="79EEA449" w:rsidP="00696E3A">
      <w:r>
        <w:t>Ensure appropriate utilization and control of</w:t>
      </w:r>
      <w:r w:rsidR="00D47996">
        <w:t xml:space="preserve"> </w:t>
      </w:r>
      <w:r w:rsidR="00CD2715">
        <w:rPr>
          <w:rFonts w:cs="Arial"/>
          <w:spacing w:val="-3"/>
        </w:rPr>
        <w:t>r</w:t>
      </w:r>
      <w:r w:rsidR="00CD2715" w:rsidRPr="00252BC8">
        <w:rPr>
          <w:rFonts w:cs="Arial"/>
          <w:spacing w:val="-3"/>
        </w:rPr>
        <w:t>an</w:t>
      </w:r>
      <w:r w:rsidR="00CD2715">
        <w:rPr>
          <w:rFonts w:cs="Arial"/>
          <w:spacing w:val="-3"/>
        </w:rPr>
        <w:t>olazine agents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391FBE83" w:rsidR="00B56DCC" w:rsidRDefault="004D7086" w:rsidP="00696E3A">
      <w:r>
        <w:rPr>
          <w:rFonts w:cs="Arial"/>
          <w:spacing w:val="-3"/>
        </w:rPr>
        <w:t>R</w:t>
      </w:r>
      <w:r w:rsidRPr="00084C06">
        <w:rPr>
          <w:rFonts w:cs="Arial"/>
          <w:spacing w:val="-3"/>
        </w:rPr>
        <w:t xml:space="preserve">anolazine is indicated for the treatment of chronic angina. </w:t>
      </w:r>
      <w:r w:rsidRPr="00851530">
        <w:rPr>
          <w:rFonts w:cs="Arial"/>
          <w:spacing w:val="-3"/>
        </w:rPr>
        <w:t>The mechanism of action of ranolazine’s</w:t>
      </w:r>
      <w:r w:rsidRPr="00084C06">
        <w:rPr>
          <w:rFonts w:cs="Arial"/>
          <w:spacing w:val="-3"/>
        </w:rPr>
        <w:t xml:space="preserve"> antianginal effects has not been determined. </w:t>
      </w:r>
      <w:r>
        <w:rPr>
          <w:rFonts w:cs="Arial"/>
          <w:spacing w:val="-3"/>
        </w:rPr>
        <w:t>T</w:t>
      </w:r>
      <w:r w:rsidRPr="00084C06">
        <w:rPr>
          <w:rFonts w:cs="Arial"/>
          <w:spacing w:val="-3"/>
        </w:rPr>
        <w:t>he 20</w:t>
      </w:r>
      <w:r>
        <w:rPr>
          <w:rFonts w:cs="Arial"/>
          <w:spacing w:val="-3"/>
        </w:rPr>
        <w:t>23</w:t>
      </w:r>
      <w:r w:rsidRPr="00084C06">
        <w:rPr>
          <w:rFonts w:cs="Arial"/>
          <w:spacing w:val="-3"/>
        </w:rPr>
        <w:t xml:space="preserve"> </w:t>
      </w:r>
      <w:r w:rsidRPr="00851530">
        <w:rPr>
          <w:rFonts w:cs="Arial"/>
          <w:spacing w:val="-3"/>
        </w:rPr>
        <w:t>American Heart Association</w:t>
      </w:r>
      <w:r>
        <w:rPr>
          <w:rFonts w:cs="Arial"/>
          <w:spacing w:val="-3"/>
        </w:rPr>
        <w:t>/</w:t>
      </w:r>
      <w:r w:rsidRPr="00084C06">
        <w:rPr>
          <w:rFonts w:cs="Arial"/>
          <w:spacing w:val="-3"/>
        </w:rPr>
        <w:t>American College of Cardiology</w:t>
      </w:r>
      <w:r w:rsidRPr="00851530">
        <w:rPr>
          <w:rFonts w:cs="Arial"/>
          <w:spacing w:val="-3"/>
        </w:rPr>
        <w:t xml:space="preserve"> guidelines </w:t>
      </w:r>
      <w:r>
        <w:rPr>
          <w:rFonts w:cs="Arial"/>
          <w:spacing w:val="-3"/>
        </w:rPr>
        <w:t>recommend utilizing</w:t>
      </w:r>
      <w:r w:rsidRPr="00851530">
        <w:rPr>
          <w:rFonts w:cs="Arial"/>
          <w:spacing w:val="-3"/>
        </w:rPr>
        <w:t xml:space="preserve"> ranolazine</w:t>
      </w:r>
      <w:r>
        <w:rPr>
          <w:rFonts w:cs="Arial"/>
          <w:spacing w:val="-3"/>
        </w:rPr>
        <w:t xml:space="preserve"> </w:t>
      </w:r>
      <w:r w:rsidRPr="00851530">
        <w:rPr>
          <w:rFonts w:cs="Arial"/>
          <w:spacing w:val="-3"/>
        </w:rPr>
        <w:t xml:space="preserve">when treatment with </w:t>
      </w:r>
      <w:r>
        <w:rPr>
          <w:rFonts w:cs="Arial"/>
          <w:spacing w:val="-3"/>
        </w:rPr>
        <w:t xml:space="preserve">first line therapies, such as </w:t>
      </w:r>
      <w:r w:rsidRPr="00851530">
        <w:rPr>
          <w:rFonts w:cs="Arial"/>
          <w:spacing w:val="-3"/>
        </w:rPr>
        <w:t>beta-blockers</w:t>
      </w:r>
      <w:r>
        <w:rPr>
          <w:rFonts w:cs="Arial"/>
          <w:spacing w:val="-3"/>
        </w:rPr>
        <w:t>, calcium channel blockers, or long-acting nitrate therapies, are</w:t>
      </w:r>
      <w:r w:rsidRPr="00851530">
        <w:rPr>
          <w:rFonts w:cs="Arial"/>
          <w:spacing w:val="-3"/>
        </w:rPr>
        <w:t xml:space="preserve"> not successful.</w:t>
      </w:r>
    </w:p>
    <w:p w14:paraId="0A9F3E9E" w14:textId="77777777" w:rsidR="004D7086" w:rsidRDefault="004D7086" w:rsidP="00696E3A"/>
    <w:p w14:paraId="5B5260CF" w14:textId="6324FE01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260"/>
        <w:gridCol w:w="1350"/>
        <w:gridCol w:w="1661"/>
      </w:tblGrid>
      <w:tr w:rsidR="005F7AE7" w:rsidRPr="00902CF9" w14:paraId="7E639B47" w14:textId="77777777" w:rsidTr="007F0CD2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675E3795" w:rsidR="005F7AE7" w:rsidRPr="00902CF9" w:rsidRDefault="005F7AE7" w:rsidP="005F7AE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B083D">
              <w:rPr>
                <w:rFonts w:cs="Arial"/>
                <w:b/>
                <w:spacing w:val="-3"/>
                <w:szCs w:val="20"/>
              </w:rPr>
              <w:t>Drug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146D7BC" w:rsidR="005F7AE7" w:rsidRPr="00902CF9" w:rsidRDefault="005F7AE7" w:rsidP="005F7AE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B083D">
              <w:rPr>
                <w:rFonts w:cs="Arial"/>
                <w:b/>
                <w:spacing w:val="-3"/>
                <w:szCs w:val="20"/>
              </w:rPr>
              <w:t>Claims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3BF3EB74" w:rsidR="005F7AE7" w:rsidRPr="00902CF9" w:rsidRDefault="005F7AE7" w:rsidP="005F7AE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B083D">
              <w:rPr>
                <w:rFonts w:cs="Arial"/>
                <w:b/>
                <w:spacing w:val="-3"/>
                <w:szCs w:val="20"/>
              </w:rPr>
              <w:t>Spend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6AD624AD" w:rsidR="005F7AE7" w:rsidRPr="00902CF9" w:rsidRDefault="005F7AE7" w:rsidP="005F7AE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5F7AE7" w:rsidRPr="00902CF9" w14:paraId="29C2C6B5" w14:textId="77777777" w:rsidTr="007F0CD2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149E9257" w:rsidR="005F7AE7" w:rsidRPr="00902CF9" w:rsidRDefault="005F7AE7" w:rsidP="005F7AE7">
            <w:pPr>
              <w:rPr>
                <w:rFonts w:cs="Arial"/>
                <w:szCs w:val="20"/>
              </w:rPr>
            </w:pPr>
            <w:r w:rsidRPr="004B7007">
              <w:rPr>
                <w:rFonts w:cs="Arial"/>
                <w:szCs w:val="20"/>
              </w:rPr>
              <w:t>ASPRUZYO SPRINKLE ER 500MG PKT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761B5E4A" w:rsidR="005F7AE7" w:rsidRPr="00902CF9" w:rsidRDefault="005F7AE7" w:rsidP="005F7AE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3425" w14:textId="16263D4D" w:rsidR="005F7AE7" w:rsidRPr="00902CF9" w:rsidRDefault="005F7AE7" w:rsidP="005F7AE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86B" w14:textId="2CCFC98C" w:rsidR="005F7AE7" w:rsidRPr="00902CF9" w:rsidRDefault="005F7AE7" w:rsidP="007F0CD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-</w:t>
            </w:r>
          </w:p>
        </w:tc>
      </w:tr>
      <w:tr w:rsidR="005F7AE7" w:rsidRPr="00902CF9" w14:paraId="0A1EF85E" w14:textId="77777777" w:rsidTr="007F0CD2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C05" w14:textId="07B5EDC0" w:rsidR="005F7AE7" w:rsidRPr="00902CF9" w:rsidRDefault="005F7AE7" w:rsidP="005F7AE7">
            <w:pPr>
              <w:rPr>
                <w:rFonts w:cs="Arial"/>
                <w:szCs w:val="20"/>
              </w:rPr>
            </w:pPr>
            <w:r w:rsidRPr="004B7007">
              <w:rPr>
                <w:rFonts w:cs="Arial"/>
                <w:szCs w:val="20"/>
              </w:rPr>
              <w:t>ASPRUZYO SPRINKLE ER 1000MG PK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93BC" w14:textId="4FD8C4AB" w:rsidR="005F7AE7" w:rsidRPr="00902CF9" w:rsidRDefault="005F7AE7" w:rsidP="005F7AE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8051" w14:textId="233B7139" w:rsidR="005F7AE7" w:rsidRPr="00902CF9" w:rsidRDefault="005F7AE7" w:rsidP="005F7AE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8848" w14:textId="77A19301" w:rsidR="005F7AE7" w:rsidRPr="00902CF9" w:rsidRDefault="005F7AE7" w:rsidP="007F0CD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-</w:t>
            </w:r>
          </w:p>
        </w:tc>
      </w:tr>
      <w:tr w:rsidR="005F7AE7" w:rsidRPr="00902CF9" w14:paraId="5A77BEA3" w14:textId="77777777" w:rsidTr="007F0CD2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A97" w14:textId="47CE1B64" w:rsidR="005F7AE7" w:rsidRPr="00902CF9" w:rsidRDefault="005F7AE7" w:rsidP="005F7AE7">
            <w:pPr>
              <w:rPr>
                <w:rFonts w:cs="Arial"/>
                <w:szCs w:val="20"/>
              </w:rPr>
            </w:pPr>
            <w:r w:rsidRPr="00084C06">
              <w:rPr>
                <w:rFonts w:cs="Arial"/>
                <w:spacing w:val="-3"/>
                <w:szCs w:val="20"/>
              </w:rPr>
              <w:t>RANEXA ER 500 MG TABLET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8BBAE" w14:textId="4415670C" w:rsidR="005F7AE7" w:rsidRPr="00902CF9" w:rsidRDefault="005F7AE7" w:rsidP="005F7AE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3,047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4EEDB" w14:textId="3462A00A" w:rsidR="005F7AE7" w:rsidRPr="00902CF9" w:rsidRDefault="005F7AE7" w:rsidP="005F7AE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$69,864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2FF0" w14:textId="61C78C61" w:rsidR="005F7AE7" w:rsidRPr="00902CF9" w:rsidRDefault="005F7AE7" w:rsidP="007F0CD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$23</w:t>
            </w:r>
          </w:p>
        </w:tc>
      </w:tr>
      <w:tr w:rsidR="005F7AE7" w:rsidRPr="00902CF9" w14:paraId="3C9BE34A" w14:textId="77777777" w:rsidTr="007F0CD2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7096" w14:textId="436B56A3" w:rsidR="005F7AE7" w:rsidRPr="00084C06" w:rsidRDefault="005F7AE7" w:rsidP="005F7AE7">
            <w:pPr>
              <w:rPr>
                <w:rFonts w:cs="Arial"/>
                <w:spacing w:val="-3"/>
                <w:szCs w:val="20"/>
              </w:rPr>
            </w:pPr>
            <w:r w:rsidRPr="00084C06">
              <w:rPr>
                <w:rFonts w:cs="Arial"/>
                <w:spacing w:val="-3"/>
                <w:szCs w:val="20"/>
              </w:rPr>
              <w:t>RANEXA ER 1,000 MG TABLET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9E48F" w14:textId="07E7935E" w:rsidR="005F7AE7" w:rsidRDefault="005F7AE7" w:rsidP="005F7AE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1,259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23963" w14:textId="5A0D430E" w:rsidR="005F7AE7" w:rsidRDefault="005F7AE7" w:rsidP="005F7AE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$36,981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52F8" w14:textId="49D25BFB" w:rsidR="005F7AE7" w:rsidRDefault="005F7AE7" w:rsidP="007F0CD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$29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8DB23D6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EF4A1B" w:rsidRPr="00084C06">
        <w:rPr>
          <w:rFonts w:cs="Arial"/>
          <w:szCs w:val="20"/>
        </w:rPr>
        <w:t>Ranolazine</w:t>
      </w:r>
      <w:r w:rsidR="00EF4A1B">
        <w:rPr>
          <w:rFonts w:cs="Arial"/>
          <w:szCs w:val="20"/>
        </w:rPr>
        <w:t xml:space="preserve"> agents</w:t>
      </w:r>
    </w:p>
    <w:p w14:paraId="26CFE8A0" w14:textId="3931C62F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6D6653" w:rsidRPr="006D6653">
        <w:rPr>
          <w:rFonts w:cs="Arial"/>
          <w:szCs w:val="20"/>
        </w:rPr>
        <w:t xml:space="preserve"> </w:t>
      </w:r>
      <w:r w:rsidR="006D6653" w:rsidRPr="00084C06">
        <w:rPr>
          <w:rFonts w:cs="Arial"/>
          <w:szCs w:val="20"/>
        </w:rPr>
        <w:t>aged 18 years and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7107909" w14:textId="77777777" w:rsidR="009B2BDE" w:rsidRDefault="009B2BDE" w:rsidP="009B2BDE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2E0035F9" w14:textId="77777777" w:rsidR="009B2BDE" w:rsidRPr="00391C24" w:rsidRDefault="009B2BDE" w:rsidP="009B2BDE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Participant is aged 1</w:t>
      </w:r>
      <w:r w:rsidRPr="00DA7EAA">
        <w:rPr>
          <w:rFonts w:cs="Arial"/>
          <w:bCs/>
          <w:szCs w:val="20"/>
        </w:rPr>
        <w:t>8 years or older</w:t>
      </w:r>
      <w:r>
        <w:rPr>
          <w:rFonts w:cs="Arial"/>
          <w:bCs/>
          <w:szCs w:val="20"/>
        </w:rPr>
        <w:t xml:space="preserve">; </w:t>
      </w:r>
      <w:r>
        <w:rPr>
          <w:rFonts w:cs="Arial"/>
          <w:b/>
          <w:bCs/>
          <w:szCs w:val="20"/>
        </w:rPr>
        <w:t>AND</w:t>
      </w:r>
    </w:p>
    <w:p w14:paraId="592353EB" w14:textId="77777777" w:rsidR="009B2BDE" w:rsidRDefault="009B2BDE" w:rsidP="009B2BDE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>
        <w:rPr>
          <w:rFonts w:cs="Arial"/>
          <w:szCs w:val="20"/>
        </w:rPr>
        <w:t>Must meet one of the following:</w:t>
      </w:r>
    </w:p>
    <w:p w14:paraId="3B573CA2" w14:textId="77777777" w:rsidR="009B2BDE" w:rsidRDefault="009B2BDE" w:rsidP="009B2BDE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Documented compliance to previous ranolazine therapy (defined as 90 days in the past 120 days); </w:t>
      </w:r>
      <w:r w:rsidRPr="002A135B">
        <w:rPr>
          <w:rFonts w:cs="Arial"/>
          <w:b/>
          <w:bCs/>
          <w:caps/>
          <w:szCs w:val="20"/>
        </w:rPr>
        <w:t>or</w:t>
      </w:r>
    </w:p>
    <w:p w14:paraId="1CBDD9A9" w14:textId="77777777" w:rsidR="009B2BDE" w:rsidRDefault="009B2BDE" w:rsidP="009B2BDE">
      <w:pPr>
        <w:pStyle w:val="ListParagraph"/>
        <w:numPr>
          <w:ilvl w:val="2"/>
          <w:numId w:val="16"/>
        </w:numPr>
        <w:rPr>
          <w:rFonts w:cs="Arial"/>
          <w:szCs w:val="20"/>
        </w:rPr>
      </w:pPr>
      <w:r w:rsidRPr="00084C06">
        <w:rPr>
          <w:rFonts w:cs="Arial"/>
          <w:szCs w:val="20"/>
        </w:rPr>
        <w:t>Documented trial of a nitrate, beta-blocker, or calcium channel blocker (defined as 30 days in the past year)</w:t>
      </w:r>
      <w:r>
        <w:rPr>
          <w:rFonts w:cs="Arial"/>
          <w:szCs w:val="20"/>
        </w:rPr>
        <w:t>.</w:t>
      </w:r>
    </w:p>
    <w:p w14:paraId="3A53F4D2" w14:textId="77777777" w:rsidR="009B2BDE" w:rsidRPr="00CB48BA" w:rsidRDefault="009B2BDE" w:rsidP="009B2BDE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rPr>
          <w:rFonts w:cs="Arial"/>
          <w:szCs w:val="20"/>
        </w:rPr>
        <w:t>Additional approval criteria f</w:t>
      </w:r>
      <w:r w:rsidRPr="00CB48BA">
        <w:rPr>
          <w:rFonts w:cs="Arial"/>
          <w:szCs w:val="20"/>
        </w:rPr>
        <w:t xml:space="preserve">or </w:t>
      </w:r>
      <w:proofErr w:type="spellStart"/>
      <w:r w:rsidRPr="00CB48BA">
        <w:rPr>
          <w:rFonts w:cs="Arial"/>
          <w:szCs w:val="20"/>
        </w:rPr>
        <w:t>Aspruzyo</w:t>
      </w:r>
      <w:proofErr w:type="spellEnd"/>
      <w:r w:rsidRPr="00CB48BA">
        <w:rPr>
          <w:rFonts w:cs="Arial"/>
          <w:szCs w:val="20"/>
        </w:rPr>
        <w:t>: Clinical Consultant review for reason why generic ranolazine tablets cannot be utilized</w:t>
      </w:r>
      <w:r>
        <w:rPr>
          <w:rFonts w:cs="Arial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>Therapy will deny with presence of one of the following:</w:t>
      </w:r>
    </w:p>
    <w:p w14:paraId="011D8AC9" w14:textId="77777777" w:rsidR="002F115C" w:rsidRDefault="002F115C" w:rsidP="002F115C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EF36F9">
        <w:rPr>
          <w:rFonts w:cs="Arial"/>
        </w:rPr>
        <w:lastRenderedPageBreak/>
        <w:t xml:space="preserve">Any approval criteria are not </w:t>
      </w:r>
      <w:proofErr w:type="gramStart"/>
      <w:r w:rsidRPr="00EF36F9">
        <w:rPr>
          <w:rFonts w:cs="Arial"/>
        </w:rPr>
        <w:t>met</w:t>
      </w:r>
      <w:r>
        <w:rPr>
          <w:rFonts w:cs="Arial"/>
        </w:rPr>
        <w:t>;</w:t>
      </w:r>
      <w:proofErr w:type="gramEnd"/>
      <w:r>
        <w:rPr>
          <w:rFonts w:cs="Arial"/>
        </w:rPr>
        <w:t xml:space="preserve"> </w:t>
      </w:r>
      <w:r>
        <w:rPr>
          <w:rFonts w:cs="Arial"/>
          <w:b/>
          <w:bCs/>
        </w:rPr>
        <w:t>OR</w:t>
      </w:r>
    </w:p>
    <w:p w14:paraId="6561E582" w14:textId="77777777" w:rsidR="002F115C" w:rsidRPr="00084C06" w:rsidRDefault="002F115C" w:rsidP="002F115C">
      <w:pPr>
        <w:numPr>
          <w:ilvl w:val="1"/>
          <w:numId w:val="6"/>
        </w:numPr>
        <w:rPr>
          <w:rFonts w:cs="Arial"/>
          <w:noProof/>
        </w:rPr>
      </w:pPr>
      <w:bookmarkStart w:id="1" w:name="_Hlk219055822"/>
      <w:r w:rsidRPr="00084C06">
        <w:rPr>
          <w:rFonts w:cs="Arial"/>
          <w:noProof/>
        </w:rPr>
        <w:t>Documented history of significant hepatic impairment</w:t>
      </w:r>
      <w:bookmarkEnd w:id="1"/>
      <w:r>
        <w:rPr>
          <w:rFonts w:cs="Arial"/>
          <w:noProof/>
        </w:rPr>
        <w:t>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BA82711" w14:textId="77777777" w:rsidR="00660115" w:rsidRPr="00660115" w:rsidRDefault="00660115" w:rsidP="00660115">
      <w:pPr>
        <w:pStyle w:val="ListParagraph"/>
        <w:rPr>
          <w:szCs w:val="20"/>
          <w:vertAlign w:val="superscript"/>
        </w:rPr>
      </w:pPr>
      <w:r w:rsidRPr="00660115">
        <w:rPr>
          <w:szCs w:val="20"/>
        </w:rPr>
        <w:t>ASPRUZYO SPRINKLE</w:t>
      </w:r>
      <w:r w:rsidRPr="00660115">
        <w:rPr>
          <w:szCs w:val="20"/>
          <w:vertAlign w:val="superscript"/>
        </w:rPr>
        <w:t>™</w:t>
      </w:r>
      <w:r w:rsidRPr="00660115">
        <w:rPr>
          <w:szCs w:val="20"/>
        </w:rPr>
        <w:t xml:space="preserve"> (ranolazine) [package insert]. Cranbury, NJ: Sun Pharmaceutical Industries, Inc.; March 2022.</w:t>
      </w:r>
    </w:p>
    <w:p w14:paraId="1CEF7645" w14:textId="77777777" w:rsidR="00660115" w:rsidRPr="00257E0F" w:rsidRDefault="00660115" w:rsidP="00660115">
      <w:pPr>
        <w:pStyle w:val="ListParagraph"/>
      </w:pPr>
      <w:r w:rsidRPr="00257E0F">
        <w:t>RANEXA</w:t>
      </w:r>
      <w:r w:rsidRPr="00257E0F">
        <w:rPr>
          <w:vertAlign w:val="superscript"/>
        </w:rPr>
        <w:t>®</w:t>
      </w:r>
      <w:r w:rsidRPr="00257E0F">
        <w:t xml:space="preserve"> (ranolazine) [package insert]. Foster City, CA: Gilead Sciences, Inc.; October 2019.</w:t>
      </w:r>
    </w:p>
    <w:p w14:paraId="2998E64C" w14:textId="77777777" w:rsidR="00660115" w:rsidRPr="00257E0F" w:rsidRDefault="00660115" w:rsidP="00660115">
      <w:pPr>
        <w:pStyle w:val="ListParagraph"/>
      </w:pPr>
      <w:bookmarkStart w:id="3" w:name="5548914.b4"/>
      <w:bookmarkEnd w:id="3"/>
      <w:r w:rsidRPr="00257E0F">
        <w:t xml:space="preserve">Virani S, Newby L, et al. 2023 AHA/ACC/ACCP/ASPC/NLA/PCNA Guideline for the Management of Patients </w:t>
      </w:r>
      <w:proofErr w:type="gramStart"/>
      <w:r w:rsidRPr="00257E0F">
        <w:t>With</w:t>
      </w:r>
      <w:proofErr w:type="gramEnd"/>
      <w:r w:rsidRPr="00257E0F">
        <w:t xml:space="preserve"> Chronic Coronary Disease. J Am Coll </w:t>
      </w:r>
      <w:proofErr w:type="spellStart"/>
      <w:r w:rsidRPr="00257E0F">
        <w:t>Cardiol</w:t>
      </w:r>
      <w:proofErr w:type="spellEnd"/>
      <w:r w:rsidRPr="00257E0F">
        <w:t xml:space="preserve">. 2023 Aug, 82 (9) 833–955. </w:t>
      </w:r>
    </w:p>
    <w:p w14:paraId="69C7B20C" w14:textId="77777777" w:rsidR="00660115" w:rsidRPr="00257E0F" w:rsidRDefault="00660115" w:rsidP="00660115">
      <w:pPr>
        <w:pStyle w:val="ListParagraph"/>
      </w:pPr>
      <w:r w:rsidRPr="00257E0F">
        <w:rPr>
          <w:rStyle w:val="normaltextrun"/>
          <w:rFonts w:cs="Arial"/>
          <w:color w:val="000000"/>
          <w:szCs w:val="20"/>
          <w:shd w:val="clear" w:color="auto" w:fill="FFFFFF"/>
        </w:rPr>
        <w:t>USPDI, Micromedex; 202</w:t>
      </w:r>
      <w:r>
        <w:rPr>
          <w:rStyle w:val="normaltextrun"/>
          <w:rFonts w:cs="Arial"/>
          <w:color w:val="000000"/>
          <w:szCs w:val="20"/>
          <w:shd w:val="clear" w:color="auto" w:fill="FFFFFF"/>
        </w:rPr>
        <w:t>5</w:t>
      </w:r>
      <w:r w:rsidRPr="00257E0F">
        <w:rPr>
          <w:rStyle w:val="normaltextrun"/>
          <w:rFonts w:cs="Arial"/>
          <w:color w:val="000000"/>
          <w:szCs w:val="20"/>
          <w:shd w:val="clear" w:color="auto" w:fill="FFFFFF"/>
        </w:rPr>
        <w:t>. </w:t>
      </w:r>
      <w:r w:rsidRPr="00257E0F">
        <w:rPr>
          <w:rStyle w:val="eop"/>
          <w:rFonts w:cs="Arial"/>
          <w:color w:val="000000"/>
          <w:szCs w:val="20"/>
          <w:shd w:val="clear" w:color="auto" w:fill="FFFFFF"/>
        </w:rPr>
        <w:t> </w:t>
      </w:r>
    </w:p>
    <w:p w14:paraId="3FA1E7DB" w14:textId="2D06584B" w:rsidR="00777CA4" w:rsidRDefault="00660115" w:rsidP="00660115">
      <w:pPr>
        <w:pStyle w:val="ListParagraph"/>
      </w:pPr>
      <w:r w:rsidRPr="00257E0F">
        <w:t xml:space="preserve">Facts and Comparisons </w:t>
      </w:r>
      <w:proofErr w:type="spellStart"/>
      <w:r w:rsidRPr="00257E0F">
        <w:t>eAnswers</w:t>
      </w:r>
      <w:proofErr w:type="spellEnd"/>
      <w:r w:rsidRPr="00257E0F">
        <w:t xml:space="preserve"> (online); 202</w:t>
      </w:r>
      <w:r>
        <w:t>5</w:t>
      </w:r>
      <w:r w:rsidRPr="00257E0F"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CD28" w14:textId="77777777" w:rsidR="002F005A" w:rsidRPr="00C02553" w:rsidRDefault="002F005A" w:rsidP="00AE77DB">
      <w:r w:rsidRPr="00C02553">
        <w:separator/>
      </w:r>
    </w:p>
  </w:endnote>
  <w:endnote w:type="continuationSeparator" w:id="0">
    <w:p w14:paraId="337A3069" w14:textId="77777777" w:rsidR="002F005A" w:rsidRPr="00C02553" w:rsidRDefault="002F005A" w:rsidP="00AE77DB">
      <w:r w:rsidRPr="00C02553">
        <w:continuationSeparator/>
      </w:r>
    </w:p>
  </w:endnote>
  <w:endnote w:type="continuationNotice" w:id="1">
    <w:p w14:paraId="21CD94D6" w14:textId="77777777" w:rsidR="002F005A" w:rsidRPr="00C02553" w:rsidRDefault="002F0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C91E" w14:textId="77777777" w:rsidR="002F005A" w:rsidRPr="00C02553" w:rsidRDefault="002F005A" w:rsidP="00AE77DB">
      <w:r w:rsidRPr="00C02553">
        <w:separator/>
      </w:r>
    </w:p>
  </w:footnote>
  <w:footnote w:type="continuationSeparator" w:id="0">
    <w:p w14:paraId="78D1273A" w14:textId="77777777" w:rsidR="002F005A" w:rsidRPr="00C02553" w:rsidRDefault="002F005A" w:rsidP="00AE77DB">
      <w:r w:rsidRPr="00C02553">
        <w:continuationSeparator/>
      </w:r>
    </w:p>
  </w:footnote>
  <w:footnote w:type="continuationNotice" w:id="1">
    <w:p w14:paraId="05F14142" w14:textId="77777777" w:rsidR="002F005A" w:rsidRPr="00C02553" w:rsidRDefault="002F00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112A3E"/>
    <w:multiLevelType w:val="multilevel"/>
    <w:tmpl w:val="0F8606AA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F82FBB"/>
    <w:multiLevelType w:val="hybridMultilevel"/>
    <w:tmpl w:val="DBEEC7D0"/>
    <w:lvl w:ilvl="0" w:tplc="079E76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4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1555045761">
    <w:abstractNumId w:val="12"/>
  </w:num>
  <w:num w:numId="17" w16cid:durableId="2075622166">
    <w:abstractNumId w:val="16"/>
  </w:num>
  <w:num w:numId="18" w16cid:durableId="97780542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418CD"/>
    <w:rsid w:val="00046314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33FDC"/>
    <w:rsid w:val="00143A11"/>
    <w:rsid w:val="00144DBE"/>
    <w:rsid w:val="00152C8B"/>
    <w:rsid w:val="0015636A"/>
    <w:rsid w:val="00172053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05A"/>
    <w:rsid w:val="002F0E52"/>
    <w:rsid w:val="002F115C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83D0A"/>
    <w:rsid w:val="0048608C"/>
    <w:rsid w:val="00496E57"/>
    <w:rsid w:val="004B3E10"/>
    <w:rsid w:val="004C0F5D"/>
    <w:rsid w:val="004C2B30"/>
    <w:rsid w:val="004C375A"/>
    <w:rsid w:val="004C4954"/>
    <w:rsid w:val="004C5767"/>
    <w:rsid w:val="004D0080"/>
    <w:rsid w:val="004D5322"/>
    <w:rsid w:val="004D7086"/>
    <w:rsid w:val="004D78B0"/>
    <w:rsid w:val="004E611F"/>
    <w:rsid w:val="004F2A79"/>
    <w:rsid w:val="004F4D37"/>
    <w:rsid w:val="004F7FEA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5F7AE7"/>
    <w:rsid w:val="0060042F"/>
    <w:rsid w:val="006008BC"/>
    <w:rsid w:val="00602CFD"/>
    <w:rsid w:val="00606B55"/>
    <w:rsid w:val="00612A7B"/>
    <w:rsid w:val="00616E5E"/>
    <w:rsid w:val="006173A4"/>
    <w:rsid w:val="006205AD"/>
    <w:rsid w:val="00622DE7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0115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6653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C64E9"/>
    <w:rsid w:val="007D2920"/>
    <w:rsid w:val="007D42DD"/>
    <w:rsid w:val="007E6A37"/>
    <w:rsid w:val="007F0CD2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B2BDE"/>
    <w:rsid w:val="009C3CC7"/>
    <w:rsid w:val="009D2057"/>
    <w:rsid w:val="009D3D6C"/>
    <w:rsid w:val="009D5551"/>
    <w:rsid w:val="009D62DB"/>
    <w:rsid w:val="009E3B42"/>
    <w:rsid w:val="009F2AE3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96D35"/>
    <w:rsid w:val="00BA1C17"/>
    <w:rsid w:val="00BA1D65"/>
    <w:rsid w:val="00BB3B4D"/>
    <w:rsid w:val="00BC351E"/>
    <w:rsid w:val="00BC3F77"/>
    <w:rsid w:val="00BC411F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D2715"/>
    <w:rsid w:val="00CE0C1C"/>
    <w:rsid w:val="00CE34AF"/>
    <w:rsid w:val="00CF00A4"/>
    <w:rsid w:val="00CF25FB"/>
    <w:rsid w:val="00CF60C0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031B"/>
    <w:rsid w:val="00DA3A0F"/>
    <w:rsid w:val="00DA4E62"/>
    <w:rsid w:val="00DA6990"/>
    <w:rsid w:val="00DB27BA"/>
    <w:rsid w:val="00DB3009"/>
    <w:rsid w:val="00DB337A"/>
    <w:rsid w:val="00DC034A"/>
    <w:rsid w:val="00DC51CB"/>
    <w:rsid w:val="00DD3EA5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0E30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4A1B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57194-9D53-474C-83C0-296BD1C40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2093</Characters>
  <Application>Microsoft Office Word</Application>
  <DocSecurity>0</DocSecurity>
  <Lines>17</Lines>
  <Paragraphs>4</Paragraphs>
  <ScaleCrop>false</ScaleCrop>
  <Company>DSS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2</cp:revision>
  <cp:lastPrinted>2018-10-31T18:17:00Z</cp:lastPrinted>
  <dcterms:created xsi:type="dcterms:W3CDTF">2026-02-18T23:13:00Z</dcterms:created>
  <dcterms:modified xsi:type="dcterms:W3CDTF">2026-02-18T23:13:00Z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