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13BFD8" w14:textId="7F9C5CD2" w:rsidR="00AE77DB" w:rsidRPr="00C02553" w:rsidRDefault="000C3940" w:rsidP="00D02F34">
      <w:pPr>
        <w:pStyle w:val="Heading1"/>
        <w:rPr>
          <w:lang w:val="en-US"/>
        </w:rPr>
      </w:pPr>
      <w:bookmarkStart w:id="0" w:name="_Hlk792159"/>
      <w:proofErr w:type="spellStart"/>
      <w:r w:rsidRPr="00C02553">
        <w:rPr>
          <w:lang w:val="en-US"/>
        </w:rPr>
        <w:t>SmartPA</w:t>
      </w:r>
      <w:proofErr w:type="spellEnd"/>
      <w:r w:rsidRPr="00C02553">
        <w:rPr>
          <w:lang w:val="en-US"/>
        </w:rPr>
        <w:t xml:space="preserve"> Criteria Proposal</w:t>
      </w:r>
      <w:bookmarkEnd w:id="0"/>
    </w:p>
    <w:p w14:paraId="6413BFE7" w14:textId="506D81F7" w:rsidR="00AE77DB" w:rsidRPr="00C02553" w:rsidRDefault="00AE77DB" w:rsidP="00074464">
      <w:pPr>
        <w:rPr>
          <w:rFonts w:cs="Arial"/>
          <w:b/>
          <w:spacing w:val="-3"/>
          <w:szCs w:val="20"/>
        </w:rPr>
      </w:pPr>
    </w:p>
    <w:p w14:paraId="52CF6EBC" w14:textId="6F6107C1" w:rsidR="004C5767" w:rsidRPr="006560B3" w:rsidRDefault="004C5767" w:rsidP="00D27533">
      <w:pPr>
        <w:pStyle w:val="tbody"/>
        <w:rPr>
          <w:b w:val="0"/>
        </w:rPr>
      </w:pPr>
      <w:r w:rsidRPr="00C02553">
        <w:t>Drug/Drug Class:</w:t>
      </w:r>
      <w:r w:rsidR="006560B3">
        <w:rPr>
          <w:b w:val="0"/>
        </w:rPr>
        <w:t xml:space="preserve"> </w:t>
      </w:r>
      <w:r w:rsidR="00512204" w:rsidRPr="00512204">
        <w:rPr>
          <w:b w:val="0"/>
        </w:rPr>
        <w:t>Spinal Muscular Atrophy (SMA) Clinical Edit</w:t>
      </w:r>
    </w:p>
    <w:p w14:paraId="7AD7FFCE" w14:textId="4C9805B9" w:rsidR="004C5767" w:rsidRPr="006560B3" w:rsidRDefault="004C5767" w:rsidP="00D27533">
      <w:pPr>
        <w:pStyle w:val="tbody"/>
        <w:rPr>
          <w:b w:val="0"/>
        </w:rPr>
      </w:pPr>
      <w:r w:rsidRPr="00C02553">
        <w:t>First Implementation Date:</w:t>
      </w:r>
      <w:r w:rsidR="006560B3">
        <w:rPr>
          <w:b w:val="0"/>
        </w:rPr>
        <w:t xml:space="preserve"> </w:t>
      </w:r>
      <w:r w:rsidR="00A85246" w:rsidRPr="00A85246">
        <w:rPr>
          <w:b w:val="0"/>
        </w:rPr>
        <w:t>April 22, 2021</w:t>
      </w:r>
    </w:p>
    <w:p w14:paraId="4B7D760D" w14:textId="586401D4" w:rsidR="004C5767" w:rsidRPr="00D232D9" w:rsidRDefault="003C5718" w:rsidP="15EB50BA">
      <w:pPr>
        <w:pStyle w:val="tbody"/>
        <w:rPr>
          <w:b w:val="0"/>
        </w:rPr>
      </w:pPr>
      <w:r>
        <w:t>Proposed</w:t>
      </w:r>
      <w:r w:rsidR="004C5767">
        <w:t xml:space="preserve"> Date:</w:t>
      </w:r>
      <w:r w:rsidR="00065C22">
        <w:t xml:space="preserve"> </w:t>
      </w:r>
      <w:r>
        <w:rPr>
          <w:b w:val="0"/>
        </w:rPr>
        <w:t>April</w:t>
      </w:r>
      <w:r w:rsidR="00D232D9">
        <w:rPr>
          <w:b w:val="0"/>
        </w:rPr>
        <w:t xml:space="preserve"> </w:t>
      </w:r>
      <w:r>
        <w:rPr>
          <w:b w:val="0"/>
        </w:rPr>
        <w:t>8</w:t>
      </w:r>
      <w:r w:rsidR="00D232D9">
        <w:rPr>
          <w:b w:val="0"/>
        </w:rPr>
        <w:t>, 2026</w:t>
      </w:r>
    </w:p>
    <w:p w14:paraId="2726A013" w14:textId="3C40E9DA" w:rsidR="004C5767" w:rsidRPr="00C02553" w:rsidRDefault="004C5767" w:rsidP="00D27533">
      <w:pPr>
        <w:pStyle w:val="tbody"/>
      </w:pPr>
      <w:r w:rsidRPr="00C02553">
        <w:t xml:space="preserve">Prepared For: </w:t>
      </w:r>
      <w:r w:rsidR="00EE613F" w:rsidRPr="00D27533">
        <w:rPr>
          <w:b w:val="0"/>
          <w:bCs/>
        </w:rPr>
        <w:t>MO HealthNet</w:t>
      </w:r>
      <w:r w:rsidRPr="00C02553">
        <w:tab/>
      </w:r>
    </w:p>
    <w:p w14:paraId="0FD7BA18" w14:textId="61E24131" w:rsidR="004C5767" w:rsidRPr="00C02553" w:rsidRDefault="004C5767" w:rsidP="00D27533">
      <w:pPr>
        <w:pStyle w:val="tbody"/>
      </w:pPr>
      <w:r w:rsidRPr="00C02553">
        <w:t xml:space="preserve">Prepared By: </w:t>
      </w:r>
      <w:r w:rsidR="00303B21" w:rsidRPr="00D27533">
        <w:rPr>
          <w:b w:val="0"/>
          <w:bCs/>
        </w:rPr>
        <w:t>MO HealthNet and Conduent</w:t>
      </w:r>
      <w:r w:rsidRPr="00C02553">
        <w:tab/>
      </w:r>
    </w:p>
    <w:p w14:paraId="227AEF75" w14:textId="41133860" w:rsidR="004C5767" w:rsidRPr="00D27533" w:rsidRDefault="004C5767" w:rsidP="00D27533">
      <w:pPr>
        <w:pStyle w:val="tbody"/>
        <w:rPr>
          <w:b w:val="0"/>
          <w:bCs/>
          <w:spacing w:val="-3"/>
        </w:rPr>
      </w:pPr>
      <w:r w:rsidRPr="007773E8">
        <w:t xml:space="preserve">Criteria Status: </w:t>
      </w:r>
      <w:r w:rsidR="003C5718" w:rsidRPr="003C5718">
        <w:rPr>
          <w:b w:val="0"/>
          <w:bCs/>
        </w:rPr>
        <w:t>Revision of</w:t>
      </w:r>
      <w:r w:rsidR="003C5718">
        <w:t xml:space="preserve"> </w:t>
      </w:r>
      <w:r w:rsidR="00915FEB" w:rsidRPr="00A85246">
        <w:rPr>
          <w:b w:val="0"/>
          <w:bCs/>
          <w:spacing w:val="-3"/>
        </w:rPr>
        <w:t>Existing Criteria</w:t>
      </w:r>
    </w:p>
    <w:p w14:paraId="03479354" w14:textId="77777777" w:rsidR="004C5767" w:rsidRPr="002C2C41" w:rsidRDefault="004C5767" w:rsidP="00E23EC0">
      <w:pPr>
        <w:rPr>
          <w:rFonts w:cs="Arial"/>
          <w:szCs w:val="20"/>
        </w:rPr>
      </w:pPr>
    </w:p>
    <w:p w14:paraId="6413BFE8" w14:textId="77777777" w:rsidR="00AE77DB" w:rsidRPr="00C02553" w:rsidRDefault="00AE77DB" w:rsidP="004C5767">
      <w:pPr>
        <w:pStyle w:val="Heading1"/>
        <w:rPr>
          <w:lang w:val="en-US"/>
        </w:rPr>
      </w:pPr>
      <w:r w:rsidRPr="00C02553">
        <w:rPr>
          <w:lang w:val="en-US"/>
        </w:rPr>
        <w:t xml:space="preserve">Executive Summary </w:t>
      </w:r>
    </w:p>
    <w:p w14:paraId="706FFC95" w14:textId="77777777" w:rsidR="00B33693" w:rsidRPr="00696E3A" w:rsidRDefault="00E23EC0" w:rsidP="00696E3A">
      <w:pPr>
        <w:rPr>
          <w:b/>
          <w:bCs/>
        </w:rPr>
      </w:pPr>
      <w:r w:rsidRPr="00696E3A">
        <w:rPr>
          <w:b/>
          <w:bCs/>
        </w:rPr>
        <w:t>Purpose:</w:t>
      </w:r>
      <w:r w:rsidR="00290A03" w:rsidRPr="00696E3A">
        <w:rPr>
          <w:b/>
          <w:bCs/>
        </w:rPr>
        <w:t xml:space="preserve"> </w:t>
      </w:r>
    </w:p>
    <w:p w14:paraId="33DF7A62" w14:textId="52C631F3" w:rsidR="00D47996" w:rsidRDefault="79EEA449" w:rsidP="00696E3A">
      <w:r>
        <w:t>Ensure appropriate utilization and control of</w:t>
      </w:r>
      <w:r w:rsidR="00D47996">
        <w:t xml:space="preserve"> </w:t>
      </w:r>
      <w:r w:rsidR="00351E4B" w:rsidRPr="00351E4B">
        <w:t xml:space="preserve">agents </w:t>
      </w:r>
      <w:r w:rsidR="008A5F78">
        <w:rPr>
          <w:rFonts w:cs="Arial"/>
          <w:spacing w:val="-3"/>
        </w:rPr>
        <w:t xml:space="preserve">for </w:t>
      </w:r>
      <w:r w:rsidR="008A5F78" w:rsidRPr="00CD3D92">
        <w:rPr>
          <w:rFonts w:cs="Arial"/>
        </w:rPr>
        <w:t>spinal muscular atrophy (SMA)</w:t>
      </w:r>
    </w:p>
    <w:p w14:paraId="2320C114" w14:textId="4452B466" w:rsidR="00E23EC0" w:rsidRPr="002C2C41" w:rsidRDefault="00E23EC0" w:rsidP="00696E3A">
      <w:pPr>
        <w:rPr>
          <w:rFonts w:cs="Arial"/>
          <w:szCs w:val="20"/>
        </w:rPr>
      </w:pPr>
      <w:r w:rsidRPr="00C02553">
        <w:tab/>
      </w:r>
    </w:p>
    <w:p w14:paraId="3A9BE506" w14:textId="11761DC1" w:rsidR="00E23EC0" w:rsidRPr="00696E3A" w:rsidRDefault="00E23EC0" w:rsidP="00696E3A">
      <w:pPr>
        <w:rPr>
          <w:b/>
          <w:bCs/>
        </w:rPr>
      </w:pPr>
      <w:r w:rsidRPr="00696E3A">
        <w:rPr>
          <w:b/>
          <w:bCs/>
        </w:rPr>
        <w:t>Why Issue Selected:</w:t>
      </w:r>
    </w:p>
    <w:p w14:paraId="50BB171E" w14:textId="43AE24F2" w:rsidR="0009482C" w:rsidRDefault="0009482C" w:rsidP="0009482C">
      <w:pPr>
        <w:pStyle w:val="Header"/>
        <w:framePr w:hSpace="180" w:wrap="around" w:vAnchor="text" w:hAnchor="text" w:xAlign="right" w:y="1"/>
        <w:suppressOverlap/>
        <w:rPr>
          <w:rFonts w:cs="Arial"/>
          <w:spacing w:val="-3"/>
          <w:sz w:val="20"/>
        </w:rPr>
      </w:pPr>
      <w:r w:rsidRPr="0012461C">
        <w:rPr>
          <w:rFonts w:cs="Arial"/>
          <w:spacing w:val="-3"/>
          <w:sz w:val="20"/>
        </w:rPr>
        <w:t xml:space="preserve">Spinal muscular atrophy (SMA) is a </w:t>
      </w:r>
      <w:r>
        <w:rPr>
          <w:sz w:val="20"/>
        </w:rPr>
        <w:t xml:space="preserve">rare, genetic neuromuscular disease with the most severe cases affecting infants and young children.  </w:t>
      </w:r>
      <w:r w:rsidRPr="00DF4EAE">
        <w:rPr>
          <w:sz w:val="20"/>
        </w:rPr>
        <w:t>The most common cause of SMA is the homozygous deletion or deletion and mutation of the alleles of the survival motor neuron</w:t>
      </w:r>
      <w:r>
        <w:rPr>
          <w:sz w:val="20"/>
        </w:rPr>
        <w:t xml:space="preserve"> (SMN)</w:t>
      </w:r>
      <w:r w:rsidRPr="00DF4EAE">
        <w:rPr>
          <w:sz w:val="20"/>
        </w:rPr>
        <w:t xml:space="preserve"> 1 gene on chromosome 5q.</w:t>
      </w:r>
      <w:r w:rsidRPr="0012461C">
        <w:rPr>
          <w:rFonts w:cs="Arial"/>
          <w:spacing w:val="-3"/>
          <w:sz w:val="20"/>
        </w:rPr>
        <w:t xml:space="preserve"> </w:t>
      </w:r>
      <w:r w:rsidRPr="005B5AFB">
        <w:rPr>
          <w:rFonts w:cs="Arial"/>
          <w:spacing w:val="-3"/>
          <w:sz w:val="20"/>
        </w:rPr>
        <w:t>SMN protein is essential to motor neurons involved in ambulatory function, head and neck control, swallowing, and breathing</w:t>
      </w:r>
      <w:r>
        <w:rPr>
          <w:rFonts w:cs="Arial"/>
          <w:spacing w:val="-3"/>
          <w:sz w:val="20"/>
        </w:rPr>
        <w:t xml:space="preserve">.  </w:t>
      </w:r>
      <w:r w:rsidRPr="005B5AFB">
        <w:rPr>
          <w:rFonts w:cs="Arial"/>
          <w:spacing w:val="-3"/>
          <w:sz w:val="20"/>
        </w:rPr>
        <w:t xml:space="preserve">While the </w:t>
      </w:r>
      <w:r w:rsidRPr="00481EA8">
        <w:rPr>
          <w:rFonts w:cs="Arial"/>
          <w:i/>
          <w:iCs/>
          <w:spacing w:val="-3"/>
          <w:sz w:val="20"/>
        </w:rPr>
        <w:t>SMN1</w:t>
      </w:r>
      <w:r w:rsidRPr="005B5AFB">
        <w:rPr>
          <w:rFonts w:cs="Arial"/>
          <w:spacing w:val="-3"/>
          <w:sz w:val="20"/>
        </w:rPr>
        <w:t xml:space="preserve"> gene produces most of the full-length SMN protein in the body, another gene, </w:t>
      </w:r>
      <w:r w:rsidRPr="00481EA8">
        <w:rPr>
          <w:rFonts w:cs="Arial"/>
          <w:i/>
          <w:iCs/>
          <w:spacing w:val="-3"/>
          <w:sz w:val="20"/>
        </w:rPr>
        <w:t>SMN2</w:t>
      </w:r>
      <w:r w:rsidRPr="005B5AFB">
        <w:rPr>
          <w:rFonts w:cs="Arial"/>
          <w:spacing w:val="-3"/>
          <w:sz w:val="20"/>
        </w:rPr>
        <w:t xml:space="preserve">, also produces </w:t>
      </w:r>
      <w:r>
        <w:rPr>
          <w:rFonts w:cs="Arial"/>
          <w:spacing w:val="-3"/>
          <w:sz w:val="20"/>
        </w:rPr>
        <w:t>SMN</w:t>
      </w:r>
      <w:r w:rsidRPr="005B5AFB">
        <w:rPr>
          <w:rFonts w:cs="Arial"/>
          <w:spacing w:val="-3"/>
          <w:sz w:val="20"/>
        </w:rPr>
        <w:t xml:space="preserve"> protein. SMA is less severe in individuals who have more copies of the </w:t>
      </w:r>
      <w:r w:rsidRPr="00481EA8">
        <w:rPr>
          <w:rFonts w:cs="Arial"/>
          <w:i/>
          <w:iCs/>
          <w:spacing w:val="-3"/>
          <w:sz w:val="20"/>
        </w:rPr>
        <w:t>SMN2</w:t>
      </w:r>
      <w:r w:rsidRPr="005B5AFB">
        <w:rPr>
          <w:rFonts w:cs="Arial"/>
          <w:spacing w:val="-3"/>
          <w:sz w:val="20"/>
        </w:rPr>
        <w:t xml:space="preserve"> gene because </w:t>
      </w:r>
      <w:r>
        <w:rPr>
          <w:rFonts w:cs="Arial"/>
          <w:spacing w:val="-3"/>
          <w:sz w:val="20"/>
        </w:rPr>
        <w:t>it</w:t>
      </w:r>
      <w:r w:rsidRPr="005B5AFB">
        <w:rPr>
          <w:rFonts w:cs="Arial"/>
          <w:spacing w:val="-3"/>
          <w:sz w:val="20"/>
        </w:rPr>
        <w:t xml:space="preserve"> </w:t>
      </w:r>
      <w:r>
        <w:rPr>
          <w:rFonts w:cs="Arial"/>
          <w:spacing w:val="-3"/>
          <w:sz w:val="20"/>
        </w:rPr>
        <w:t xml:space="preserve">can </w:t>
      </w:r>
      <w:r w:rsidRPr="005B5AFB">
        <w:rPr>
          <w:rFonts w:cs="Arial"/>
          <w:spacing w:val="-3"/>
          <w:sz w:val="20"/>
        </w:rPr>
        <w:t xml:space="preserve">compensate for the SMN protein deficiency caused by the defect in the </w:t>
      </w:r>
      <w:r w:rsidRPr="00481EA8">
        <w:rPr>
          <w:rFonts w:cs="Arial"/>
          <w:i/>
          <w:iCs/>
          <w:spacing w:val="-3"/>
          <w:sz w:val="20"/>
        </w:rPr>
        <w:t>SMN1</w:t>
      </w:r>
      <w:r w:rsidRPr="005B5AFB">
        <w:rPr>
          <w:rFonts w:cs="Arial"/>
          <w:spacing w:val="-3"/>
          <w:sz w:val="20"/>
        </w:rPr>
        <w:t xml:space="preserve"> gene.</w:t>
      </w:r>
      <w:r w:rsidRPr="0012461C">
        <w:rPr>
          <w:rFonts w:cs="Arial"/>
          <w:spacing w:val="-3"/>
          <w:sz w:val="20"/>
        </w:rPr>
        <w:t xml:space="preserve"> </w:t>
      </w:r>
      <w:r w:rsidRPr="005B5AFB">
        <w:rPr>
          <w:rFonts w:cs="Arial"/>
          <w:spacing w:val="-3"/>
          <w:sz w:val="20"/>
        </w:rPr>
        <w:t>In the U</w:t>
      </w:r>
      <w:r>
        <w:rPr>
          <w:rFonts w:cs="Arial"/>
          <w:spacing w:val="-3"/>
          <w:sz w:val="20"/>
        </w:rPr>
        <w:t xml:space="preserve">nited States the incidence of </w:t>
      </w:r>
      <w:r w:rsidRPr="005B5AFB">
        <w:rPr>
          <w:rFonts w:cs="Arial"/>
          <w:spacing w:val="-3"/>
          <w:sz w:val="20"/>
        </w:rPr>
        <w:t>SMA is approximately one in 11,000 live births or about 500 new SMA cases per year.</w:t>
      </w:r>
      <w:r>
        <w:rPr>
          <w:rFonts w:cs="Arial"/>
          <w:spacing w:val="-3"/>
          <w:sz w:val="20"/>
        </w:rPr>
        <w:t xml:space="preserve"> Currently, there are two FDA approved maintenance </w:t>
      </w:r>
      <w:proofErr w:type="gramStart"/>
      <w:r>
        <w:rPr>
          <w:rFonts w:cs="Arial"/>
          <w:spacing w:val="-3"/>
          <w:sz w:val="20"/>
        </w:rPr>
        <w:t>therapies</w:t>
      </w:r>
      <w:proofErr w:type="gramEnd"/>
      <w:r>
        <w:rPr>
          <w:rFonts w:cs="Arial"/>
          <w:spacing w:val="-3"/>
          <w:sz w:val="20"/>
        </w:rPr>
        <w:t xml:space="preserve"> and </w:t>
      </w:r>
      <w:r w:rsidR="007273E1">
        <w:rPr>
          <w:rFonts w:cs="Arial"/>
          <w:spacing w:val="-3"/>
          <w:sz w:val="20"/>
        </w:rPr>
        <w:t>two</w:t>
      </w:r>
      <w:r>
        <w:rPr>
          <w:rFonts w:cs="Arial"/>
          <w:spacing w:val="-3"/>
          <w:sz w:val="20"/>
        </w:rPr>
        <w:t xml:space="preserve"> FDA approved one-time gene therap</w:t>
      </w:r>
      <w:r w:rsidR="007273E1">
        <w:rPr>
          <w:rFonts w:cs="Arial"/>
          <w:spacing w:val="-3"/>
          <w:sz w:val="20"/>
        </w:rPr>
        <w:t>ies</w:t>
      </w:r>
      <w:r>
        <w:rPr>
          <w:rFonts w:cs="Arial"/>
          <w:spacing w:val="-3"/>
          <w:sz w:val="20"/>
        </w:rPr>
        <w:t xml:space="preserve"> for the treatment of SMA.</w:t>
      </w:r>
    </w:p>
    <w:p w14:paraId="3472B1F1" w14:textId="77777777" w:rsidR="0009482C" w:rsidRDefault="0009482C" w:rsidP="0009482C">
      <w:pPr>
        <w:pStyle w:val="Header"/>
        <w:framePr w:hSpace="180" w:wrap="around" w:vAnchor="text" w:hAnchor="text" w:xAlign="right" w:y="1"/>
        <w:suppressOverlap/>
        <w:rPr>
          <w:rFonts w:cs="Arial"/>
          <w:spacing w:val="-3"/>
          <w:sz w:val="20"/>
        </w:rPr>
      </w:pPr>
    </w:p>
    <w:p w14:paraId="2F212E70" w14:textId="77777777" w:rsidR="0009482C" w:rsidRDefault="0009482C" w:rsidP="0009482C">
      <w:pPr>
        <w:pStyle w:val="Header"/>
        <w:framePr w:hSpace="180" w:wrap="around" w:vAnchor="text" w:hAnchor="text" w:xAlign="right" w:y="1"/>
        <w:suppressOverlap/>
        <w:rPr>
          <w:rFonts w:cs="Arial"/>
          <w:spacing w:val="-3"/>
          <w:sz w:val="20"/>
        </w:rPr>
      </w:pPr>
      <w:proofErr w:type="spellStart"/>
      <w:r w:rsidRPr="006613C7">
        <w:rPr>
          <w:rFonts w:cs="Arial"/>
          <w:spacing w:val="-3"/>
          <w:sz w:val="20"/>
        </w:rPr>
        <w:t>Spinraza</w:t>
      </w:r>
      <w:proofErr w:type="spellEnd"/>
      <w:r w:rsidRPr="006613C7">
        <w:rPr>
          <w:rFonts w:cs="Arial"/>
          <w:spacing w:val="-3"/>
          <w:sz w:val="20"/>
          <w:vertAlign w:val="superscript"/>
        </w:rPr>
        <w:t>®</w:t>
      </w:r>
      <w:r w:rsidRPr="006613C7">
        <w:rPr>
          <w:rFonts w:cs="Arial"/>
          <w:spacing w:val="-3"/>
          <w:sz w:val="20"/>
        </w:rPr>
        <w:t xml:space="preserve"> (</w:t>
      </w:r>
      <w:proofErr w:type="spellStart"/>
      <w:r w:rsidRPr="006613C7">
        <w:rPr>
          <w:rFonts w:cs="Arial"/>
          <w:spacing w:val="-3"/>
          <w:sz w:val="20"/>
        </w:rPr>
        <w:t>nusinersen</w:t>
      </w:r>
      <w:proofErr w:type="spellEnd"/>
      <w:r w:rsidRPr="006613C7">
        <w:rPr>
          <w:rFonts w:cs="Arial"/>
          <w:spacing w:val="-3"/>
          <w:sz w:val="20"/>
        </w:rPr>
        <w:t>)</w:t>
      </w:r>
      <w:r>
        <w:rPr>
          <w:rFonts w:cs="Arial"/>
          <w:spacing w:val="-3"/>
          <w:sz w:val="20"/>
        </w:rPr>
        <w:t xml:space="preserve"> </w:t>
      </w:r>
      <w:r w:rsidRPr="0012461C">
        <w:rPr>
          <w:rFonts w:cs="Arial"/>
          <w:spacing w:val="-3"/>
          <w:sz w:val="20"/>
        </w:rPr>
        <w:t xml:space="preserve">is a SMN2-directed antisense oligonucleotide indicated for the treatment of </w:t>
      </w:r>
      <w:r>
        <w:rPr>
          <w:rFonts w:cs="Arial"/>
          <w:spacing w:val="-3"/>
          <w:sz w:val="20"/>
        </w:rPr>
        <w:t>SMA</w:t>
      </w:r>
      <w:r w:rsidRPr="0012461C">
        <w:rPr>
          <w:rFonts w:cs="Arial"/>
          <w:spacing w:val="-3"/>
          <w:sz w:val="20"/>
        </w:rPr>
        <w:t xml:space="preserve"> in pediatric and adult patients. </w:t>
      </w:r>
      <w:proofErr w:type="spellStart"/>
      <w:r>
        <w:rPr>
          <w:rFonts w:cs="Arial"/>
          <w:spacing w:val="-3"/>
          <w:sz w:val="20"/>
        </w:rPr>
        <w:t>Spinraza</w:t>
      </w:r>
      <w:proofErr w:type="spellEnd"/>
      <w:r>
        <w:rPr>
          <w:rFonts w:cs="Arial"/>
          <w:spacing w:val="-3"/>
          <w:sz w:val="20"/>
        </w:rPr>
        <w:t xml:space="preserve"> was the first FDA approved treatment for SMA, approved in December 2016. </w:t>
      </w:r>
      <w:proofErr w:type="spellStart"/>
      <w:r>
        <w:rPr>
          <w:rFonts w:cs="Arial"/>
          <w:spacing w:val="-3"/>
          <w:sz w:val="20"/>
        </w:rPr>
        <w:t>Spinraza</w:t>
      </w:r>
      <w:proofErr w:type="spellEnd"/>
      <w:r>
        <w:rPr>
          <w:rFonts w:cs="Arial"/>
          <w:spacing w:val="-3"/>
          <w:sz w:val="20"/>
        </w:rPr>
        <w:t xml:space="preserve"> alters the splicing of the </w:t>
      </w:r>
      <w:r w:rsidRPr="00481EA8">
        <w:rPr>
          <w:rFonts w:cs="Arial"/>
          <w:i/>
          <w:iCs/>
          <w:spacing w:val="-3"/>
          <w:sz w:val="20"/>
        </w:rPr>
        <w:t>SMN2</w:t>
      </w:r>
      <w:r>
        <w:rPr>
          <w:rFonts w:cs="Arial"/>
          <w:spacing w:val="-3"/>
          <w:sz w:val="20"/>
        </w:rPr>
        <w:t xml:space="preserve"> gene increasing the production of SMN2 protein which can compensate for the deficiency of SMN1 protein.  </w:t>
      </w:r>
      <w:proofErr w:type="spellStart"/>
      <w:r>
        <w:rPr>
          <w:rFonts w:cs="Arial"/>
          <w:spacing w:val="-3"/>
          <w:sz w:val="20"/>
        </w:rPr>
        <w:t>Spinraza</w:t>
      </w:r>
      <w:proofErr w:type="spellEnd"/>
      <w:r>
        <w:rPr>
          <w:rFonts w:cs="Arial"/>
          <w:spacing w:val="-3"/>
          <w:sz w:val="20"/>
        </w:rPr>
        <w:t xml:space="preserve"> is a maintenance medication, </w:t>
      </w:r>
      <w:r w:rsidRPr="0012461C">
        <w:rPr>
          <w:rFonts w:cs="Arial"/>
          <w:spacing w:val="-3"/>
          <w:sz w:val="20"/>
        </w:rPr>
        <w:t xml:space="preserve">administered intrathecally. </w:t>
      </w:r>
      <w:r>
        <w:rPr>
          <w:rFonts w:cs="Arial"/>
          <w:spacing w:val="-3"/>
          <w:sz w:val="20"/>
        </w:rPr>
        <w:t>The first year of treatment includes a total of 6 doses; the first 3 doses are given 14 days apart, the 4</w:t>
      </w:r>
      <w:r w:rsidRPr="002873F5">
        <w:rPr>
          <w:rFonts w:cs="Arial"/>
          <w:spacing w:val="-3"/>
          <w:sz w:val="20"/>
          <w:vertAlign w:val="superscript"/>
        </w:rPr>
        <w:t>th</w:t>
      </w:r>
      <w:r>
        <w:rPr>
          <w:rFonts w:cs="Arial"/>
          <w:spacing w:val="-3"/>
          <w:sz w:val="20"/>
        </w:rPr>
        <w:t xml:space="preserve"> dose is given 30 days after the 3</w:t>
      </w:r>
      <w:r w:rsidRPr="002873F5">
        <w:rPr>
          <w:rFonts w:cs="Arial"/>
          <w:spacing w:val="-3"/>
          <w:sz w:val="20"/>
          <w:vertAlign w:val="superscript"/>
        </w:rPr>
        <w:t>rd</w:t>
      </w:r>
      <w:r>
        <w:rPr>
          <w:rFonts w:cs="Arial"/>
          <w:spacing w:val="-3"/>
          <w:sz w:val="20"/>
        </w:rPr>
        <w:t xml:space="preserve"> dose, and then maintenance therapy is given every 4 months thereafter. </w:t>
      </w:r>
    </w:p>
    <w:p w14:paraId="26FF47E5" w14:textId="77777777" w:rsidR="0009482C" w:rsidRDefault="0009482C" w:rsidP="0009482C">
      <w:pPr>
        <w:pStyle w:val="Header"/>
        <w:framePr w:hSpace="180" w:wrap="around" w:vAnchor="text" w:hAnchor="text" w:xAlign="right" w:y="1"/>
        <w:suppressOverlap/>
        <w:rPr>
          <w:rFonts w:cs="Arial"/>
          <w:spacing w:val="-3"/>
          <w:sz w:val="20"/>
        </w:rPr>
      </w:pPr>
    </w:p>
    <w:p w14:paraId="2A75E16D" w14:textId="77777777" w:rsidR="0009482C" w:rsidRDefault="0009482C" w:rsidP="0009482C">
      <w:pPr>
        <w:pStyle w:val="Header"/>
        <w:framePr w:hSpace="180" w:wrap="around" w:vAnchor="text" w:hAnchor="text" w:xAlign="right" w:y="1"/>
        <w:suppressOverlap/>
        <w:rPr>
          <w:rFonts w:cs="Arial"/>
          <w:spacing w:val="-3"/>
          <w:sz w:val="20"/>
        </w:rPr>
      </w:pPr>
      <w:proofErr w:type="spellStart"/>
      <w:r w:rsidRPr="002873F5">
        <w:rPr>
          <w:rFonts w:cs="Arial"/>
          <w:spacing w:val="-3"/>
          <w:sz w:val="20"/>
        </w:rPr>
        <w:t>Evrysdi</w:t>
      </w:r>
      <w:proofErr w:type="spellEnd"/>
      <w:r>
        <w:rPr>
          <w:rFonts w:cs="Arial"/>
          <w:spacing w:val="-3"/>
          <w:sz w:val="20"/>
          <w:vertAlign w:val="superscript"/>
        </w:rPr>
        <w:t>®</w:t>
      </w:r>
      <w:r w:rsidRPr="002873F5">
        <w:rPr>
          <w:rFonts w:cs="Arial"/>
          <w:spacing w:val="-3"/>
          <w:sz w:val="20"/>
        </w:rPr>
        <w:t xml:space="preserve"> (</w:t>
      </w:r>
      <w:proofErr w:type="spellStart"/>
      <w:r w:rsidRPr="002873F5">
        <w:rPr>
          <w:rFonts w:cs="Arial"/>
          <w:spacing w:val="-3"/>
          <w:sz w:val="20"/>
        </w:rPr>
        <w:t>risdiplam</w:t>
      </w:r>
      <w:proofErr w:type="spellEnd"/>
      <w:r w:rsidRPr="002873F5">
        <w:rPr>
          <w:rFonts w:cs="Arial"/>
          <w:spacing w:val="-3"/>
          <w:sz w:val="20"/>
        </w:rPr>
        <w:t>)</w:t>
      </w:r>
      <w:r>
        <w:rPr>
          <w:rFonts w:cs="Arial"/>
          <w:spacing w:val="-3"/>
          <w:sz w:val="20"/>
        </w:rPr>
        <w:t xml:space="preserve"> was FDA approved in August 2020 </w:t>
      </w:r>
      <w:r>
        <w:rPr>
          <w:rFonts w:eastAsia="Arial"/>
          <w:sz w:val="20"/>
        </w:rPr>
        <w:t xml:space="preserve">for the treatment of SMA in patients 2 months of age and older.  </w:t>
      </w:r>
      <w:proofErr w:type="spellStart"/>
      <w:r>
        <w:rPr>
          <w:rFonts w:eastAsia="Arial"/>
          <w:sz w:val="20"/>
        </w:rPr>
        <w:t>Evrysdi</w:t>
      </w:r>
      <w:proofErr w:type="spellEnd"/>
      <w:r>
        <w:rPr>
          <w:rFonts w:eastAsia="Arial"/>
          <w:sz w:val="20"/>
        </w:rPr>
        <w:t xml:space="preserve"> </w:t>
      </w:r>
      <w:r>
        <w:rPr>
          <w:rFonts w:cs="Arial"/>
          <w:spacing w:val="-3"/>
          <w:sz w:val="20"/>
        </w:rPr>
        <w:t xml:space="preserve">is a SMN2-directed RNA splicing modifier that increases </w:t>
      </w:r>
      <w:r w:rsidRPr="002873F5">
        <w:rPr>
          <w:rFonts w:cs="Arial"/>
          <w:spacing w:val="-3"/>
          <w:sz w:val="20"/>
        </w:rPr>
        <w:t>exon 7 inclusion in SMN2 m</w:t>
      </w:r>
      <w:r>
        <w:rPr>
          <w:rFonts w:cs="Arial"/>
          <w:spacing w:val="-3"/>
          <w:sz w:val="20"/>
        </w:rPr>
        <w:t>RNA</w:t>
      </w:r>
      <w:r w:rsidRPr="002873F5">
        <w:rPr>
          <w:rFonts w:cs="Arial"/>
          <w:spacing w:val="-3"/>
          <w:sz w:val="20"/>
        </w:rPr>
        <w:t xml:space="preserve"> transcripts and production of full-length SMN protein in the brain.</w:t>
      </w:r>
      <w:r>
        <w:rPr>
          <w:rFonts w:cs="Arial"/>
          <w:spacing w:val="-3"/>
          <w:sz w:val="20"/>
        </w:rPr>
        <w:t xml:space="preserve"> Like </w:t>
      </w:r>
      <w:proofErr w:type="spellStart"/>
      <w:r>
        <w:rPr>
          <w:rFonts w:cs="Arial"/>
          <w:spacing w:val="-3"/>
          <w:sz w:val="20"/>
        </w:rPr>
        <w:t>Spinraza</w:t>
      </w:r>
      <w:proofErr w:type="spellEnd"/>
      <w:r>
        <w:rPr>
          <w:rFonts w:cs="Arial"/>
          <w:spacing w:val="-3"/>
          <w:sz w:val="20"/>
        </w:rPr>
        <w:t xml:space="preserve">, </w:t>
      </w:r>
      <w:proofErr w:type="spellStart"/>
      <w:r>
        <w:rPr>
          <w:rFonts w:cs="Arial"/>
          <w:spacing w:val="-3"/>
          <w:sz w:val="20"/>
        </w:rPr>
        <w:t>Evrysdi</w:t>
      </w:r>
      <w:proofErr w:type="spellEnd"/>
      <w:r>
        <w:rPr>
          <w:rFonts w:cs="Arial"/>
          <w:spacing w:val="-3"/>
          <w:sz w:val="20"/>
        </w:rPr>
        <w:t xml:space="preserve"> is a maintenance medication; however, </w:t>
      </w:r>
      <w:proofErr w:type="spellStart"/>
      <w:r>
        <w:rPr>
          <w:rFonts w:cs="Arial"/>
          <w:spacing w:val="-3"/>
          <w:sz w:val="20"/>
        </w:rPr>
        <w:t>Evrysdi</w:t>
      </w:r>
      <w:proofErr w:type="spellEnd"/>
      <w:r>
        <w:rPr>
          <w:rFonts w:cs="Arial"/>
          <w:spacing w:val="-3"/>
          <w:sz w:val="20"/>
        </w:rPr>
        <w:t xml:space="preserve"> is the first medication which can be given at home for SMA patients, taken orally once a day.</w:t>
      </w:r>
    </w:p>
    <w:p w14:paraId="0755E626" w14:textId="77777777" w:rsidR="0009482C" w:rsidRDefault="0009482C" w:rsidP="0009482C">
      <w:pPr>
        <w:pStyle w:val="Header"/>
        <w:framePr w:hSpace="180" w:wrap="around" w:vAnchor="text" w:hAnchor="text" w:xAlign="right" w:y="1"/>
        <w:suppressOverlap/>
        <w:rPr>
          <w:rFonts w:cs="Arial"/>
          <w:spacing w:val="-3"/>
          <w:sz w:val="20"/>
        </w:rPr>
      </w:pPr>
    </w:p>
    <w:p w14:paraId="419BDD4D" w14:textId="7D74A3E9" w:rsidR="003276BF" w:rsidRDefault="0009482C" w:rsidP="0009482C">
      <w:pPr>
        <w:pStyle w:val="CommentText"/>
        <w:rPr>
          <w:rFonts w:cs="Arial"/>
        </w:rPr>
      </w:pPr>
      <w:r>
        <w:rPr>
          <w:rFonts w:cs="Arial"/>
        </w:rPr>
        <w:t>I</w:t>
      </w:r>
      <w:r w:rsidRPr="00CD3D92">
        <w:rPr>
          <w:rFonts w:cs="Arial"/>
        </w:rPr>
        <w:t xml:space="preserve">n May 2019, the FDA approved </w:t>
      </w:r>
      <w:proofErr w:type="spellStart"/>
      <w:r w:rsidRPr="00CD3D92">
        <w:rPr>
          <w:rFonts w:cs="Arial"/>
        </w:rPr>
        <w:t>Zolgensma</w:t>
      </w:r>
      <w:proofErr w:type="spellEnd"/>
      <w:r w:rsidRPr="00CD3D92">
        <w:rPr>
          <w:rFonts w:cs="Arial"/>
          <w:vertAlign w:val="superscript"/>
        </w:rPr>
        <w:t>®</w:t>
      </w:r>
      <w:r w:rsidRPr="00CD3D92">
        <w:rPr>
          <w:rFonts w:cs="Arial"/>
        </w:rPr>
        <w:t xml:space="preserve"> (</w:t>
      </w:r>
      <w:proofErr w:type="spellStart"/>
      <w:r w:rsidRPr="00CD3D92">
        <w:rPr>
          <w:rFonts w:cs="Arial"/>
        </w:rPr>
        <w:t>onasemnogene</w:t>
      </w:r>
      <w:proofErr w:type="spellEnd"/>
      <w:r w:rsidRPr="00CD3D92">
        <w:rPr>
          <w:rFonts w:cs="Arial"/>
        </w:rPr>
        <w:t xml:space="preserve"> </w:t>
      </w:r>
      <w:proofErr w:type="spellStart"/>
      <w:r w:rsidRPr="00CD3D92">
        <w:rPr>
          <w:rFonts w:cs="Arial"/>
        </w:rPr>
        <w:t>abeparvovec-xioi</w:t>
      </w:r>
      <w:proofErr w:type="spellEnd"/>
      <w:r w:rsidRPr="00CD3D92">
        <w:rPr>
          <w:rFonts w:cs="Arial"/>
        </w:rPr>
        <w:t xml:space="preserve">), an adeno-associated virus vector-based </w:t>
      </w:r>
      <w:r w:rsidR="00197659">
        <w:rPr>
          <w:rFonts w:cs="Arial"/>
        </w:rPr>
        <w:t xml:space="preserve">intravenous </w:t>
      </w:r>
      <w:r w:rsidRPr="00CD3D92">
        <w:rPr>
          <w:rFonts w:cs="Arial"/>
        </w:rPr>
        <w:t xml:space="preserve">gene therapy, for the treatment of pediatric patients less than 2 years of age with SMA with bi-allelic mutations in the </w:t>
      </w:r>
      <w:r w:rsidRPr="00481EA8">
        <w:rPr>
          <w:rFonts w:cs="Arial"/>
          <w:i/>
          <w:iCs/>
        </w:rPr>
        <w:t>SMN1</w:t>
      </w:r>
      <w:r w:rsidRPr="00CD3D92">
        <w:rPr>
          <w:rFonts w:cs="Arial"/>
        </w:rPr>
        <w:t xml:space="preserve"> gene</w:t>
      </w:r>
      <w:r w:rsidR="002651B3">
        <w:rPr>
          <w:rFonts w:cs="Arial"/>
        </w:rPr>
        <w:t xml:space="preserve">.  Later in November 2025, </w:t>
      </w:r>
      <w:r w:rsidR="00124DB2">
        <w:rPr>
          <w:rFonts w:cs="Arial"/>
        </w:rPr>
        <w:t xml:space="preserve">its </w:t>
      </w:r>
      <w:r w:rsidR="00B701C8">
        <w:rPr>
          <w:rFonts w:cs="Arial"/>
        </w:rPr>
        <w:t xml:space="preserve">intrathecal version </w:t>
      </w:r>
      <w:proofErr w:type="spellStart"/>
      <w:r w:rsidR="00B701C8">
        <w:rPr>
          <w:rFonts w:cs="Arial"/>
        </w:rPr>
        <w:t>Itvisma</w:t>
      </w:r>
      <w:proofErr w:type="spellEnd"/>
      <w:r w:rsidR="00B701C8" w:rsidRPr="00393EE5">
        <w:rPr>
          <w:rFonts w:cs="Arial"/>
          <w:vertAlign w:val="superscript"/>
        </w:rPr>
        <w:t>®</w:t>
      </w:r>
      <w:r w:rsidR="00B701C8">
        <w:rPr>
          <w:rFonts w:cs="Arial"/>
        </w:rPr>
        <w:t xml:space="preserve"> (</w:t>
      </w:r>
      <w:proofErr w:type="spellStart"/>
      <w:r w:rsidR="00B701C8">
        <w:rPr>
          <w:rFonts w:cs="Arial"/>
        </w:rPr>
        <w:t>onasemnogene</w:t>
      </w:r>
      <w:proofErr w:type="spellEnd"/>
      <w:r w:rsidR="00B701C8">
        <w:rPr>
          <w:rFonts w:cs="Arial"/>
        </w:rPr>
        <w:t xml:space="preserve"> </w:t>
      </w:r>
      <w:proofErr w:type="spellStart"/>
      <w:r w:rsidR="00B701C8">
        <w:rPr>
          <w:rFonts w:cs="Arial"/>
        </w:rPr>
        <w:t>abeparvovec-brve</w:t>
      </w:r>
      <w:proofErr w:type="spellEnd"/>
      <w:r w:rsidR="00B701C8">
        <w:rPr>
          <w:rFonts w:cs="Arial"/>
        </w:rPr>
        <w:t xml:space="preserve">) received FDA approval for patients age 2 and older with confirmed mutation in </w:t>
      </w:r>
      <w:r w:rsidR="00B701C8">
        <w:rPr>
          <w:rFonts w:cs="Arial"/>
          <w:i/>
          <w:iCs/>
        </w:rPr>
        <w:t>SMN1</w:t>
      </w:r>
      <w:r w:rsidR="00B701C8">
        <w:rPr>
          <w:rFonts w:cs="Arial"/>
        </w:rPr>
        <w:t xml:space="preserve"> gene</w:t>
      </w:r>
      <w:r w:rsidRPr="00CD3D92">
        <w:rPr>
          <w:rFonts w:cs="Arial"/>
        </w:rPr>
        <w:t xml:space="preserve">.  </w:t>
      </w:r>
      <w:r w:rsidRPr="005A15D1">
        <w:rPr>
          <w:rFonts w:cs="Arial"/>
        </w:rPr>
        <w:t xml:space="preserve">Unlike </w:t>
      </w:r>
      <w:proofErr w:type="spellStart"/>
      <w:r w:rsidRPr="005A15D1">
        <w:rPr>
          <w:rFonts w:cs="Arial"/>
        </w:rPr>
        <w:t>Spinraza</w:t>
      </w:r>
      <w:proofErr w:type="spellEnd"/>
      <w:r w:rsidR="00DF3C62">
        <w:rPr>
          <w:rFonts w:cs="Arial"/>
        </w:rPr>
        <w:t xml:space="preserve"> and </w:t>
      </w:r>
      <w:proofErr w:type="spellStart"/>
      <w:r w:rsidR="00DF3C62">
        <w:rPr>
          <w:rFonts w:cs="Arial"/>
        </w:rPr>
        <w:t>Evrysdi</w:t>
      </w:r>
      <w:proofErr w:type="spellEnd"/>
      <w:r w:rsidR="00DF3C62" w:rsidRPr="005A15D1">
        <w:rPr>
          <w:rFonts w:cs="Arial"/>
        </w:rPr>
        <w:t>, which provide</w:t>
      </w:r>
      <w:r w:rsidR="00DF3C62">
        <w:rPr>
          <w:rFonts w:cs="Arial"/>
        </w:rPr>
        <w:t xml:space="preserve"> </w:t>
      </w:r>
      <w:r w:rsidR="00DF3C62" w:rsidRPr="005A15D1">
        <w:rPr>
          <w:rFonts w:cs="Arial"/>
        </w:rPr>
        <w:t xml:space="preserve">maintenance therapy aimed at slowing the progression of the disease, </w:t>
      </w:r>
      <w:r w:rsidR="00DF3C62">
        <w:rPr>
          <w:rFonts w:cs="Arial"/>
        </w:rPr>
        <w:t xml:space="preserve">current evidence and guidance position </w:t>
      </w:r>
      <w:proofErr w:type="spellStart"/>
      <w:r w:rsidR="00DF3C62" w:rsidRPr="005A15D1">
        <w:rPr>
          <w:rFonts w:cs="Arial"/>
        </w:rPr>
        <w:t>Zolgensma</w:t>
      </w:r>
      <w:proofErr w:type="spellEnd"/>
      <w:r w:rsidR="00DF3C62" w:rsidRPr="005A15D1">
        <w:rPr>
          <w:rFonts w:cs="Arial"/>
        </w:rPr>
        <w:t xml:space="preserve"> </w:t>
      </w:r>
      <w:r w:rsidR="005357AA">
        <w:rPr>
          <w:rFonts w:cs="Arial"/>
        </w:rPr>
        <w:t xml:space="preserve">and </w:t>
      </w:r>
      <w:proofErr w:type="spellStart"/>
      <w:r w:rsidR="005357AA">
        <w:rPr>
          <w:rFonts w:cs="Arial"/>
        </w:rPr>
        <w:t>Itvisma</w:t>
      </w:r>
      <w:proofErr w:type="spellEnd"/>
      <w:r w:rsidR="005357AA">
        <w:rPr>
          <w:rFonts w:cs="Arial"/>
        </w:rPr>
        <w:t xml:space="preserve"> </w:t>
      </w:r>
      <w:r w:rsidR="00DF3C62">
        <w:rPr>
          <w:rFonts w:cs="Arial"/>
        </w:rPr>
        <w:t>as</w:t>
      </w:r>
      <w:r w:rsidR="00DF3C62" w:rsidRPr="005A15D1">
        <w:rPr>
          <w:rFonts w:cs="Arial"/>
        </w:rPr>
        <w:t xml:space="preserve"> one-time</w:t>
      </w:r>
      <w:r w:rsidR="00DF3C62">
        <w:rPr>
          <w:rFonts w:cs="Arial"/>
        </w:rPr>
        <w:t xml:space="preserve">, single-dose </w:t>
      </w:r>
      <w:r w:rsidR="00DF3C62" w:rsidRPr="005A15D1">
        <w:rPr>
          <w:rFonts w:cs="Arial"/>
        </w:rPr>
        <w:t>treatment</w:t>
      </w:r>
      <w:r w:rsidR="00CB0FC5">
        <w:rPr>
          <w:rFonts w:cs="Arial"/>
        </w:rPr>
        <w:t>s</w:t>
      </w:r>
      <w:r w:rsidR="00DF3C62" w:rsidRPr="005A15D1">
        <w:rPr>
          <w:rFonts w:cs="Arial"/>
        </w:rPr>
        <w:t xml:space="preserve"> intended to </w:t>
      </w:r>
      <w:r w:rsidR="00DF3C62">
        <w:rPr>
          <w:rFonts w:cs="Arial"/>
        </w:rPr>
        <w:t xml:space="preserve">provide a functional copy of the </w:t>
      </w:r>
      <w:r w:rsidR="00DF3C62" w:rsidRPr="00481EA8">
        <w:rPr>
          <w:rFonts w:cs="Arial"/>
          <w:i/>
          <w:iCs/>
        </w:rPr>
        <w:t>SMN1</w:t>
      </w:r>
      <w:r w:rsidR="00DF3C62">
        <w:rPr>
          <w:rFonts w:cs="Arial"/>
        </w:rPr>
        <w:t xml:space="preserve"> gene.</w:t>
      </w:r>
    </w:p>
    <w:p w14:paraId="1028BD7C" w14:textId="77777777" w:rsidR="00DF3C62" w:rsidRPr="00032266" w:rsidRDefault="00DF3C62" w:rsidP="0009482C">
      <w:pPr>
        <w:pStyle w:val="CommentText"/>
        <w:rPr>
          <w:rFonts w:cs="Arial"/>
          <w:bCs/>
          <w:spacing w:val="-3"/>
          <w:sz w:val="18"/>
          <w:szCs w:val="18"/>
        </w:rPr>
      </w:pPr>
    </w:p>
    <w:p w14:paraId="7ACECC9F" w14:textId="1E90556F" w:rsidR="00B56DCC" w:rsidRDefault="003276BF" w:rsidP="003276BF">
      <w:r w:rsidRPr="00032266">
        <w:rPr>
          <w:rFonts w:cs="Arial"/>
          <w:bCs/>
          <w:spacing w:val="-3"/>
        </w:rPr>
        <w:t xml:space="preserve">Due to the high cost and specific approved indication, MO HealthNet will impose clinical criteria to ensure appropriate utilization of </w:t>
      </w:r>
      <w:r w:rsidR="0040672C">
        <w:rPr>
          <w:rFonts w:cs="Arial"/>
          <w:szCs w:val="20"/>
        </w:rPr>
        <w:t>A</w:t>
      </w:r>
      <w:r w:rsidR="0040672C" w:rsidRPr="00DF4EAE">
        <w:rPr>
          <w:rFonts w:cs="Arial"/>
          <w:szCs w:val="20"/>
        </w:rPr>
        <w:t xml:space="preserve">gents for </w:t>
      </w:r>
      <w:r w:rsidR="0040672C">
        <w:rPr>
          <w:rFonts w:cs="Arial"/>
          <w:szCs w:val="20"/>
        </w:rPr>
        <w:t>S</w:t>
      </w:r>
      <w:r w:rsidR="0040672C" w:rsidRPr="00DF4EAE">
        <w:rPr>
          <w:rFonts w:cs="Arial"/>
          <w:szCs w:val="20"/>
        </w:rPr>
        <w:t xml:space="preserve">pinal </w:t>
      </w:r>
      <w:r w:rsidR="0040672C">
        <w:rPr>
          <w:rFonts w:cs="Arial"/>
          <w:szCs w:val="20"/>
        </w:rPr>
        <w:t>M</w:t>
      </w:r>
      <w:r w:rsidR="0040672C" w:rsidRPr="00DF4EAE">
        <w:rPr>
          <w:rFonts w:cs="Arial"/>
          <w:szCs w:val="20"/>
        </w:rPr>
        <w:t xml:space="preserve">uscular </w:t>
      </w:r>
      <w:r w:rsidR="0040672C">
        <w:rPr>
          <w:rFonts w:cs="Arial"/>
          <w:szCs w:val="20"/>
        </w:rPr>
        <w:t>A</w:t>
      </w:r>
      <w:r w:rsidR="0040672C" w:rsidRPr="00DF4EAE">
        <w:rPr>
          <w:rFonts w:cs="Arial"/>
          <w:szCs w:val="20"/>
        </w:rPr>
        <w:t>trophy (SMA</w:t>
      </w:r>
      <w:r w:rsidR="0040672C">
        <w:rPr>
          <w:rFonts w:cs="Arial"/>
          <w:szCs w:val="20"/>
        </w:rPr>
        <w:t>)</w:t>
      </w:r>
      <w:r w:rsidR="005641CA">
        <w:rPr>
          <w:rFonts w:cs="Arial"/>
          <w:szCs w:val="20"/>
        </w:rPr>
        <w:t>.</w:t>
      </w:r>
    </w:p>
    <w:p w14:paraId="6E51C725" w14:textId="77777777" w:rsidR="00351E4B" w:rsidRDefault="00351E4B" w:rsidP="00696E3A"/>
    <w:p w14:paraId="5B5260CF" w14:textId="673321DF" w:rsidR="003D4704" w:rsidRPr="00AD17B7" w:rsidRDefault="003D4704" w:rsidP="003D4704">
      <w:r>
        <w:rPr>
          <w:b/>
          <w:bCs/>
        </w:rPr>
        <w:t xml:space="preserve">Program-Specific Information: </w:t>
      </w:r>
      <w:r>
        <w:t>Dat</w:t>
      </w:r>
      <w:r w:rsidR="00ED760F">
        <w:t>e</w:t>
      </w:r>
      <w:r>
        <w:t xml:space="preserve"> Range FFS </w:t>
      </w:r>
      <w:r w:rsidR="004F7FEA">
        <w:t>7</w:t>
      </w:r>
      <w:r>
        <w:t xml:space="preserve">-1-2024 to </w:t>
      </w:r>
      <w:r w:rsidR="004F7FEA">
        <w:t>6</w:t>
      </w:r>
      <w:r>
        <w:t>-30-2025</w:t>
      </w:r>
    </w:p>
    <w:tbl>
      <w:tblPr>
        <w:tblW w:w="97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60"/>
        <w:gridCol w:w="1383"/>
        <w:gridCol w:w="1329"/>
        <w:gridCol w:w="2279"/>
        <w:gridCol w:w="1715"/>
      </w:tblGrid>
      <w:tr w:rsidR="00C064B9" w:rsidRPr="00902CF9" w14:paraId="7E639B47" w14:textId="11AFAB32" w:rsidTr="001E2EF3">
        <w:trPr>
          <w:trHeight w:val="232"/>
          <w:jc w:val="center"/>
        </w:trPr>
        <w:tc>
          <w:tcPr>
            <w:tcW w:w="3060" w:type="dxa"/>
            <w:shd w:val="clear" w:color="auto" w:fill="FABF8F" w:themeFill="accent6" w:themeFillTint="99"/>
            <w:vAlign w:val="center"/>
          </w:tcPr>
          <w:p w14:paraId="0258BA66" w14:textId="08D081F4" w:rsidR="00C064B9" w:rsidRPr="00902CF9" w:rsidRDefault="00C064B9" w:rsidP="00C064B9">
            <w:pPr>
              <w:jc w:val="center"/>
              <w:rPr>
                <w:rFonts w:cs="Arial"/>
                <w:b/>
                <w:bCs/>
                <w:spacing w:val="-3"/>
                <w:szCs w:val="20"/>
              </w:rPr>
            </w:pPr>
            <w:r w:rsidRPr="0068388E">
              <w:rPr>
                <w:rFonts w:cs="Arial"/>
                <w:b/>
                <w:bCs/>
                <w:spacing w:val="-3"/>
                <w:szCs w:val="20"/>
              </w:rPr>
              <w:t>Drug</w:t>
            </w:r>
          </w:p>
        </w:tc>
        <w:tc>
          <w:tcPr>
            <w:tcW w:w="1383" w:type="dxa"/>
            <w:shd w:val="clear" w:color="auto" w:fill="FABF8F" w:themeFill="accent6" w:themeFillTint="99"/>
            <w:vAlign w:val="center"/>
          </w:tcPr>
          <w:p w14:paraId="20F37C53" w14:textId="65BF308B" w:rsidR="00C064B9" w:rsidRPr="00902CF9" w:rsidRDefault="00C064B9" w:rsidP="00C064B9">
            <w:pPr>
              <w:jc w:val="center"/>
              <w:rPr>
                <w:rFonts w:cs="Arial"/>
                <w:b/>
                <w:bCs/>
                <w:spacing w:val="-3"/>
                <w:szCs w:val="20"/>
              </w:rPr>
            </w:pPr>
            <w:r w:rsidRPr="0068388E">
              <w:rPr>
                <w:rFonts w:cs="Arial"/>
                <w:b/>
                <w:spacing w:val="-3"/>
                <w:szCs w:val="20"/>
              </w:rPr>
              <w:t>Participants</w:t>
            </w:r>
          </w:p>
        </w:tc>
        <w:tc>
          <w:tcPr>
            <w:tcW w:w="1329" w:type="dxa"/>
            <w:shd w:val="clear" w:color="auto" w:fill="FABF8F" w:themeFill="accent6" w:themeFillTint="99"/>
            <w:vAlign w:val="center"/>
          </w:tcPr>
          <w:p w14:paraId="37F54882" w14:textId="525A1C86" w:rsidR="00C064B9" w:rsidRPr="00902CF9" w:rsidRDefault="00C064B9" w:rsidP="00C064B9">
            <w:pPr>
              <w:jc w:val="center"/>
              <w:rPr>
                <w:rFonts w:cs="Arial"/>
                <w:b/>
                <w:bCs/>
                <w:spacing w:val="-3"/>
                <w:szCs w:val="20"/>
              </w:rPr>
            </w:pPr>
            <w:r w:rsidRPr="0068388E">
              <w:rPr>
                <w:rFonts w:cs="Arial"/>
                <w:b/>
                <w:bCs/>
                <w:spacing w:val="-3"/>
                <w:szCs w:val="20"/>
              </w:rPr>
              <w:t>Claims</w:t>
            </w:r>
          </w:p>
        </w:tc>
        <w:tc>
          <w:tcPr>
            <w:tcW w:w="2279" w:type="dxa"/>
            <w:shd w:val="clear" w:color="auto" w:fill="FABF8F" w:themeFill="accent6" w:themeFillTint="99"/>
            <w:vAlign w:val="center"/>
          </w:tcPr>
          <w:p w14:paraId="57EB713A" w14:textId="6B6182CC" w:rsidR="00C064B9" w:rsidRPr="00902CF9" w:rsidRDefault="00C064B9" w:rsidP="00C064B9">
            <w:pPr>
              <w:jc w:val="center"/>
              <w:rPr>
                <w:rFonts w:cs="Arial"/>
                <w:b/>
                <w:bCs/>
                <w:spacing w:val="-3"/>
                <w:szCs w:val="20"/>
              </w:rPr>
            </w:pPr>
            <w:r w:rsidRPr="0068388E">
              <w:rPr>
                <w:rFonts w:cs="Arial"/>
                <w:b/>
                <w:spacing w:val="-3"/>
                <w:szCs w:val="20"/>
              </w:rPr>
              <w:t>Spend</w:t>
            </w:r>
          </w:p>
        </w:tc>
        <w:tc>
          <w:tcPr>
            <w:tcW w:w="1715" w:type="dxa"/>
            <w:shd w:val="clear" w:color="auto" w:fill="FABF8F" w:themeFill="accent6" w:themeFillTint="99"/>
            <w:vAlign w:val="center"/>
          </w:tcPr>
          <w:p w14:paraId="1B474AF3" w14:textId="16E3CA84" w:rsidR="00C064B9" w:rsidRPr="00902CF9" w:rsidRDefault="00C064B9" w:rsidP="001E2EF3">
            <w:pPr>
              <w:jc w:val="center"/>
            </w:pPr>
            <w:r w:rsidRPr="0068388E">
              <w:rPr>
                <w:rFonts w:cs="Arial"/>
                <w:b/>
                <w:spacing w:val="-3"/>
                <w:szCs w:val="20"/>
              </w:rPr>
              <w:t>Average Spend per Claim</w:t>
            </w:r>
          </w:p>
        </w:tc>
      </w:tr>
      <w:tr w:rsidR="003F22EF" w:rsidRPr="00902CF9" w14:paraId="29C2C6B5" w14:textId="3BDCEDEA" w:rsidTr="001E2EF3">
        <w:trPr>
          <w:trHeight w:val="232"/>
          <w:jc w:val="center"/>
        </w:trPr>
        <w:tc>
          <w:tcPr>
            <w:tcW w:w="3060" w:type="dxa"/>
            <w:vAlign w:val="center"/>
          </w:tcPr>
          <w:p w14:paraId="4E48F17F" w14:textId="2DB99EC4" w:rsidR="003F22EF" w:rsidRPr="00902CF9" w:rsidRDefault="003F22EF" w:rsidP="003F22EF">
            <w:pPr>
              <w:rPr>
                <w:rFonts w:cs="Arial"/>
                <w:szCs w:val="20"/>
              </w:rPr>
            </w:pPr>
            <w:r w:rsidRPr="001B78D7">
              <w:rPr>
                <w:rFonts w:cs="Arial"/>
                <w:bCs/>
                <w:szCs w:val="20"/>
              </w:rPr>
              <w:t>EVRYSDI 60 MG/80 ML</w:t>
            </w:r>
          </w:p>
        </w:tc>
        <w:tc>
          <w:tcPr>
            <w:tcW w:w="1383" w:type="dxa"/>
            <w:vAlign w:val="center"/>
          </w:tcPr>
          <w:p w14:paraId="5F6574F8" w14:textId="450C9AEC" w:rsidR="003F22EF" w:rsidRPr="00902CF9" w:rsidRDefault="003F22EF" w:rsidP="003F22EF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16</w:t>
            </w:r>
          </w:p>
        </w:tc>
        <w:tc>
          <w:tcPr>
            <w:tcW w:w="1329" w:type="dxa"/>
            <w:vAlign w:val="bottom"/>
          </w:tcPr>
          <w:p w14:paraId="52453425" w14:textId="0FA021C9" w:rsidR="003F22EF" w:rsidRPr="00902CF9" w:rsidRDefault="003F22EF" w:rsidP="003F22EF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135</w:t>
            </w:r>
          </w:p>
        </w:tc>
        <w:tc>
          <w:tcPr>
            <w:tcW w:w="2279" w:type="dxa"/>
            <w:vAlign w:val="bottom"/>
          </w:tcPr>
          <w:p w14:paraId="43EE586B" w14:textId="0D3CCB87" w:rsidR="003F22EF" w:rsidRPr="00902CF9" w:rsidRDefault="003F22EF" w:rsidP="003F22EF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$2,585,096.81</w:t>
            </w:r>
          </w:p>
        </w:tc>
        <w:tc>
          <w:tcPr>
            <w:tcW w:w="1715" w:type="dxa"/>
            <w:vAlign w:val="bottom"/>
          </w:tcPr>
          <w:p w14:paraId="259FFA2F" w14:textId="7058B3A9" w:rsidR="003F22EF" w:rsidRPr="00902CF9" w:rsidRDefault="003F22EF" w:rsidP="003F22EF">
            <w:pPr>
              <w:jc w:val="center"/>
            </w:pPr>
            <w:r>
              <w:rPr>
                <w:rFonts w:cs="Arial"/>
                <w:szCs w:val="20"/>
              </w:rPr>
              <w:t>$19,148.87</w:t>
            </w:r>
          </w:p>
        </w:tc>
      </w:tr>
      <w:tr w:rsidR="003F22EF" w:rsidRPr="00902CF9" w14:paraId="0A1EF85E" w14:textId="55E4001F" w:rsidTr="001E2EF3">
        <w:trPr>
          <w:trHeight w:val="232"/>
          <w:jc w:val="center"/>
        </w:trPr>
        <w:tc>
          <w:tcPr>
            <w:tcW w:w="3060" w:type="dxa"/>
            <w:vAlign w:val="center"/>
          </w:tcPr>
          <w:p w14:paraId="77B43C05" w14:textId="15F14E63" w:rsidR="003F22EF" w:rsidRPr="00902CF9" w:rsidRDefault="003F22EF" w:rsidP="003F22EF">
            <w:pPr>
              <w:rPr>
                <w:rFonts w:cs="Arial"/>
                <w:szCs w:val="20"/>
              </w:rPr>
            </w:pPr>
            <w:r w:rsidRPr="00C97A2D">
              <w:rPr>
                <w:rFonts w:cs="Arial"/>
                <w:bCs/>
                <w:szCs w:val="20"/>
              </w:rPr>
              <w:t>EVRYSDI 5 MG TABLET</w:t>
            </w:r>
          </w:p>
        </w:tc>
        <w:tc>
          <w:tcPr>
            <w:tcW w:w="1383" w:type="dxa"/>
            <w:vAlign w:val="center"/>
          </w:tcPr>
          <w:p w14:paraId="586F93BC" w14:textId="6558E655" w:rsidR="003F22EF" w:rsidRPr="00902CF9" w:rsidRDefault="003F22EF" w:rsidP="003F22EF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bCs/>
                <w:spacing w:val="-3"/>
                <w:szCs w:val="20"/>
              </w:rPr>
              <w:t>2</w:t>
            </w:r>
          </w:p>
        </w:tc>
        <w:tc>
          <w:tcPr>
            <w:tcW w:w="1329" w:type="dxa"/>
            <w:vAlign w:val="bottom"/>
          </w:tcPr>
          <w:p w14:paraId="4B838051" w14:textId="1E8937D4" w:rsidR="003F22EF" w:rsidRPr="00902CF9" w:rsidRDefault="003F22EF" w:rsidP="003F22EF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4</w:t>
            </w:r>
          </w:p>
        </w:tc>
        <w:tc>
          <w:tcPr>
            <w:tcW w:w="2279" w:type="dxa"/>
            <w:vAlign w:val="bottom"/>
          </w:tcPr>
          <w:p w14:paraId="0EDE8848" w14:textId="112F778A" w:rsidR="003F22EF" w:rsidRPr="00902CF9" w:rsidRDefault="003F22EF" w:rsidP="003F22EF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$133,974.56</w:t>
            </w:r>
          </w:p>
        </w:tc>
        <w:tc>
          <w:tcPr>
            <w:tcW w:w="1715" w:type="dxa"/>
            <w:vAlign w:val="bottom"/>
          </w:tcPr>
          <w:p w14:paraId="26E592A9" w14:textId="6509B376" w:rsidR="003F22EF" w:rsidRPr="00902CF9" w:rsidRDefault="003F22EF" w:rsidP="003F22EF">
            <w:pPr>
              <w:jc w:val="center"/>
            </w:pPr>
            <w:r>
              <w:rPr>
                <w:rFonts w:cs="Arial"/>
                <w:szCs w:val="20"/>
              </w:rPr>
              <w:t>$33,493.64</w:t>
            </w:r>
          </w:p>
        </w:tc>
      </w:tr>
      <w:tr w:rsidR="003F22EF" w:rsidRPr="00902CF9" w14:paraId="67294B88" w14:textId="77777777" w:rsidTr="001E2EF3">
        <w:trPr>
          <w:trHeight w:val="232"/>
          <w:jc w:val="center"/>
        </w:trPr>
        <w:tc>
          <w:tcPr>
            <w:tcW w:w="3060" w:type="dxa"/>
            <w:vAlign w:val="center"/>
          </w:tcPr>
          <w:p w14:paraId="29C70297" w14:textId="36439FDC" w:rsidR="003F22EF" w:rsidRPr="00C97A2D" w:rsidRDefault="003F22EF" w:rsidP="003F22EF">
            <w:pPr>
              <w:rPr>
                <w:rFonts w:cs="Arial"/>
                <w:bCs/>
                <w:szCs w:val="20"/>
              </w:rPr>
            </w:pPr>
            <w:r w:rsidRPr="001B78D7">
              <w:rPr>
                <w:rFonts w:cs="Arial"/>
                <w:bCs/>
                <w:szCs w:val="20"/>
              </w:rPr>
              <w:t>SPINRAZA 12 MG/5 ML</w:t>
            </w:r>
          </w:p>
        </w:tc>
        <w:tc>
          <w:tcPr>
            <w:tcW w:w="1383" w:type="dxa"/>
            <w:vAlign w:val="center"/>
          </w:tcPr>
          <w:p w14:paraId="52BB2FC0" w14:textId="5B5893A3" w:rsidR="003F22EF" w:rsidRDefault="003F22EF" w:rsidP="003F22EF">
            <w:pPr>
              <w:jc w:val="center"/>
              <w:rPr>
                <w:rFonts w:cs="Arial"/>
                <w:bCs/>
                <w:spacing w:val="-3"/>
                <w:szCs w:val="20"/>
              </w:rPr>
            </w:pPr>
            <w:r>
              <w:rPr>
                <w:rFonts w:cs="Arial"/>
                <w:bCs/>
                <w:spacing w:val="-3"/>
                <w:szCs w:val="20"/>
              </w:rPr>
              <w:t>6</w:t>
            </w:r>
          </w:p>
        </w:tc>
        <w:tc>
          <w:tcPr>
            <w:tcW w:w="1329" w:type="dxa"/>
            <w:vAlign w:val="bottom"/>
          </w:tcPr>
          <w:p w14:paraId="7223AADE" w14:textId="7024B073" w:rsidR="003F22EF" w:rsidRDefault="003F22EF" w:rsidP="003F22EF">
            <w:pPr>
              <w:jc w:val="center"/>
              <w:rPr>
                <w:rFonts w:cs="Arial"/>
                <w:szCs w:val="20"/>
              </w:rPr>
            </w:pPr>
            <w:r w:rsidRPr="001B78D7">
              <w:rPr>
                <w:rFonts w:cs="Arial"/>
                <w:szCs w:val="20"/>
              </w:rPr>
              <w:t>14</w:t>
            </w:r>
          </w:p>
        </w:tc>
        <w:tc>
          <w:tcPr>
            <w:tcW w:w="2279" w:type="dxa"/>
            <w:vAlign w:val="bottom"/>
          </w:tcPr>
          <w:p w14:paraId="5D5F09D9" w14:textId="4A921C9E" w:rsidR="003F22EF" w:rsidRDefault="003F22EF" w:rsidP="003F22EF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$1,229,377.90</w:t>
            </w:r>
          </w:p>
        </w:tc>
        <w:tc>
          <w:tcPr>
            <w:tcW w:w="1715" w:type="dxa"/>
            <w:vAlign w:val="bottom"/>
          </w:tcPr>
          <w:p w14:paraId="2209A5C5" w14:textId="6260C884" w:rsidR="003F22EF" w:rsidRDefault="003F22EF" w:rsidP="003F22EF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$87,812.71</w:t>
            </w:r>
          </w:p>
        </w:tc>
      </w:tr>
      <w:tr w:rsidR="003F22EF" w:rsidRPr="00902CF9" w14:paraId="4CDB77D8" w14:textId="77777777" w:rsidTr="001E2EF3">
        <w:trPr>
          <w:trHeight w:val="232"/>
          <w:jc w:val="center"/>
        </w:trPr>
        <w:tc>
          <w:tcPr>
            <w:tcW w:w="3060" w:type="dxa"/>
            <w:vAlign w:val="center"/>
          </w:tcPr>
          <w:p w14:paraId="1E9C4538" w14:textId="1A9184B2" w:rsidR="003F22EF" w:rsidRPr="001B78D7" w:rsidRDefault="003F22EF" w:rsidP="003F22EF">
            <w:pPr>
              <w:rPr>
                <w:rFonts w:cs="Arial"/>
                <w:bCs/>
                <w:szCs w:val="20"/>
              </w:rPr>
            </w:pPr>
            <w:r w:rsidRPr="001B78D7">
              <w:rPr>
                <w:rFonts w:cs="Arial"/>
                <w:bCs/>
                <w:szCs w:val="20"/>
              </w:rPr>
              <w:t>ZOLGENSMA KIT</w:t>
            </w:r>
          </w:p>
        </w:tc>
        <w:tc>
          <w:tcPr>
            <w:tcW w:w="1383" w:type="dxa"/>
            <w:vAlign w:val="center"/>
          </w:tcPr>
          <w:p w14:paraId="6C184A4F" w14:textId="5B9C515E" w:rsidR="003F22EF" w:rsidRDefault="003F22EF" w:rsidP="003F22EF">
            <w:pPr>
              <w:jc w:val="center"/>
              <w:rPr>
                <w:rFonts w:cs="Arial"/>
                <w:bCs/>
                <w:spacing w:val="-3"/>
                <w:szCs w:val="20"/>
              </w:rPr>
            </w:pPr>
            <w:r>
              <w:rPr>
                <w:rFonts w:cs="Arial"/>
                <w:bCs/>
                <w:spacing w:val="-3"/>
                <w:szCs w:val="20"/>
              </w:rPr>
              <w:t>1</w:t>
            </w:r>
          </w:p>
        </w:tc>
        <w:tc>
          <w:tcPr>
            <w:tcW w:w="1329" w:type="dxa"/>
            <w:vAlign w:val="center"/>
          </w:tcPr>
          <w:p w14:paraId="7AE7B826" w14:textId="16EA5F8A" w:rsidR="003F22EF" w:rsidRPr="001B78D7" w:rsidRDefault="003F22EF" w:rsidP="003F22EF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pacing w:val="-3"/>
                <w:szCs w:val="20"/>
              </w:rPr>
              <w:t>1</w:t>
            </w:r>
          </w:p>
        </w:tc>
        <w:tc>
          <w:tcPr>
            <w:tcW w:w="2279" w:type="dxa"/>
            <w:vAlign w:val="center"/>
          </w:tcPr>
          <w:p w14:paraId="269088F6" w14:textId="385FE330" w:rsidR="003F22EF" w:rsidRDefault="003F22EF" w:rsidP="003F22EF">
            <w:pPr>
              <w:jc w:val="center"/>
              <w:rPr>
                <w:rFonts w:cs="Arial"/>
                <w:szCs w:val="20"/>
              </w:rPr>
            </w:pPr>
            <w:r w:rsidRPr="003623C8">
              <w:rPr>
                <w:rFonts w:cs="Arial"/>
                <w:spacing w:val="-3"/>
                <w:szCs w:val="20"/>
              </w:rPr>
              <w:t>$2,511,290</w:t>
            </w:r>
            <w:r w:rsidRPr="00485690">
              <w:rPr>
                <w:rFonts w:cs="Arial"/>
                <w:spacing w:val="-3"/>
                <w:szCs w:val="20"/>
              </w:rPr>
              <w:t>*</w:t>
            </w:r>
          </w:p>
        </w:tc>
        <w:tc>
          <w:tcPr>
            <w:tcW w:w="1715" w:type="dxa"/>
            <w:vAlign w:val="center"/>
          </w:tcPr>
          <w:p w14:paraId="11E30249" w14:textId="519B68CD" w:rsidR="003F22EF" w:rsidRDefault="003F22EF" w:rsidP="003F22EF">
            <w:pPr>
              <w:jc w:val="center"/>
              <w:rPr>
                <w:rFonts w:cs="Arial"/>
                <w:szCs w:val="20"/>
              </w:rPr>
            </w:pPr>
            <w:r w:rsidRPr="003623C8">
              <w:rPr>
                <w:rFonts w:cs="Arial"/>
                <w:spacing w:val="-3"/>
                <w:szCs w:val="20"/>
              </w:rPr>
              <w:t>$2,511,290</w:t>
            </w:r>
            <w:r w:rsidRPr="00485690">
              <w:rPr>
                <w:rFonts w:cs="Arial"/>
                <w:spacing w:val="-3"/>
                <w:szCs w:val="20"/>
              </w:rPr>
              <w:t>*</w:t>
            </w:r>
          </w:p>
        </w:tc>
      </w:tr>
      <w:tr w:rsidR="00A14D7F" w:rsidRPr="00902CF9" w14:paraId="7E96B07D" w14:textId="77777777" w:rsidTr="001E2EF3">
        <w:trPr>
          <w:trHeight w:val="232"/>
          <w:jc w:val="center"/>
        </w:trPr>
        <w:tc>
          <w:tcPr>
            <w:tcW w:w="3060" w:type="dxa"/>
            <w:vAlign w:val="center"/>
          </w:tcPr>
          <w:p w14:paraId="5BE20CCF" w14:textId="117940F6" w:rsidR="00A14D7F" w:rsidRPr="001B78D7" w:rsidRDefault="00A14D7F" w:rsidP="00A14D7F">
            <w:pPr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ITVISMA KIT</w:t>
            </w:r>
          </w:p>
        </w:tc>
        <w:tc>
          <w:tcPr>
            <w:tcW w:w="1383" w:type="dxa"/>
            <w:vAlign w:val="center"/>
          </w:tcPr>
          <w:p w14:paraId="0A123AF8" w14:textId="67EB1711" w:rsidR="00A14D7F" w:rsidRDefault="00A14D7F" w:rsidP="00A14D7F">
            <w:pPr>
              <w:jc w:val="center"/>
              <w:rPr>
                <w:rFonts w:cs="Arial"/>
                <w:bCs/>
                <w:spacing w:val="-3"/>
                <w:szCs w:val="20"/>
              </w:rPr>
            </w:pPr>
            <w:r>
              <w:rPr>
                <w:rFonts w:cs="Arial"/>
                <w:bCs/>
                <w:spacing w:val="-3"/>
                <w:szCs w:val="20"/>
              </w:rPr>
              <w:t>0</w:t>
            </w:r>
          </w:p>
        </w:tc>
        <w:tc>
          <w:tcPr>
            <w:tcW w:w="1329" w:type="dxa"/>
            <w:vAlign w:val="center"/>
          </w:tcPr>
          <w:p w14:paraId="786CE06E" w14:textId="40E0D6E5" w:rsidR="00A14D7F" w:rsidRDefault="00A14D7F" w:rsidP="00A14D7F">
            <w:pPr>
              <w:jc w:val="center"/>
              <w:rPr>
                <w:rFonts w:cs="Arial"/>
                <w:spacing w:val="-3"/>
                <w:szCs w:val="20"/>
              </w:rPr>
            </w:pPr>
            <w:r>
              <w:rPr>
                <w:rFonts w:cs="Arial"/>
                <w:spacing w:val="-3"/>
                <w:szCs w:val="20"/>
              </w:rPr>
              <w:t>0</w:t>
            </w:r>
          </w:p>
        </w:tc>
        <w:tc>
          <w:tcPr>
            <w:tcW w:w="2279" w:type="dxa"/>
            <w:vAlign w:val="center"/>
          </w:tcPr>
          <w:p w14:paraId="03EADFD7" w14:textId="134190C9" w:rsidR="00A14D7F" w:rsidRPr="003623C8" w:rsidRDefault="00A14D7F" w:rsidP="00A14D7F">
            <w:pPr>
              <w:jc w:val="center"/>
              <w:rPr>
                <w:rFonts w:cs="Arial"/>
                <w:spacing w:val="-3"/>
                <w:szCs w:val="20"/>
              </w:rPr>
            </w:pPr>
            <w:r>
              <w:rPr>
                <w:rFonts w:cs="Arial"/>
                <w:spacing w:val="-3"/>
                <w:szCs w:val="20"/>
              </w:rPr>
              <w:t>n/a</w:t>
            </w:r>
          </w:p>
        </w:tc>
        <w:tc>
          <w:tcPr>
            <w:tcW w:w="1715" w:type="dxa"/>
            <w:vAlign w:val="center"/>
          </w:tcPr>
          <w:p w14:paraId="6499E297" w14:textId="107AA118" w:rsidR="00A14D7F" w:rsidRPr="003623C8" w:rsidRDefault="00A14D7F" w:rsidP="00A14D7F">
            <w:pPr>
              <w:jc w:val="center"/>
              <w:rPr>
                <w:rFonts w:cs="Arial"/>
                <w:spacing w:val="-3"/>
                <w:szCs w:val="20"/>
              </w:rPr>
            </w:pPr>
            <w:r w:rsidRPr="00A248CD">
              <w:rPr>
                <w:rFonts w:cs="Arial"/>
                <w:szCs w:val="20"/>
              </w:rPr>
              <w:t>$2,586,630</w:t>
            </w:r>
            <w:r>
              <w:rPr>
                <w:rFonts w:cs="Arial"/>
                <w:szCs w:val="20"/>
              </w:rPr>
              <w:t>*</w:t>
            </w:r>
          </w:p>
        </w:tc>
      </w:tr>
    </w:tbl>
    <w:p w14:paraId="4691DC98" w14:textId="5AEBD61B" w:rsidR="003D4704" w:rsidRDefault="00DC039E" w:rsidP="003D4704">
      <w:pPr>
        <w:rPr>
          <w:rFonts w:cs="Arial"/>
          <w:sz w:val="16"/>
          <w:szCs w:val="16"/>
        </w:rPr>
      </w:pPr>
      <w:r w:rsidRPr="00DC039E">
        <w:rPr>
          <w:rFonts w:cs="Arial"/>
          <w:sz w:val="16"/>
          <w:szCs w:val="16"/>
        </w:rPr>
        <w:t>*Pricing presented at WAC to protect 340B price</w:t>
      </w:r>
    </w:p>
    <w:p w14:paraId="5A56BD3C" w14:textId="77777777" w:rsidR="00DC039E" w:rsidRPr="00DC039E" w:rsidRDefault="00DC039E" w:rsidP="003D4704">
      <w:pPr>
        <w:rPr>
          <w:rFonts w:cs="Arial"/>
          <w:sz w:val="16"/>
          <w:szCs w:val="16"/>
        </w:rPr>
      </w:pPr>
    </w:p>
    <w:p w14:paraId="6413C027" w14:textId="18F824F6" w:rsidR="00AE77DB" w:rsidRPr="00C02553" w:rsidRDefault="00AE77DB" w:rsidP="00E354AA">
      <w:pPr>
        <w:pStyle w:val="Heading1"/>
        <w:rPr>
          <w:lang w:val="en-US"/>
        </w:rPr>
      </w:pPr>
      <w:r w:rsidRPr="00C02553">
        <w:rPr>
          <w:lang w:val="en-US"/>
        </w:rPr>
        <w:t xml:space="preserve">Setting &amp; Population </w:t>
      </w:r>
    </w:p>
    <w:p w14:paraId="04B7FBFB" w14:textId="7C107A1E" w:rsidR="0097028A" w:rsidRPr="0079438F" w:rsidRDefault="0097028A" w:rsidP="00696E3A">
      <w:pPr>
        <w:rPr>
          <w:b/>
        </w:rPr>
      </w:pPr>
      <w:r w:rsidRPr="00696E3A">
        <w:rPr>
          <w:b/>
          <w:bCs/>
        </w:rPr>
        <w:t>Drug class for review:</w:t>
      </w:r>
      <w:r w:rsidRPr="00C02553">
        <w:t xml:space="preserve"> </w:t>
      </w:r>
      <w:r w:rsidR="0040672C">
        <w:rPr>
          <w:rFonts w:cs="Arial"/>
          <w:szCs w:val="20"/>
        </w:rPr>
        <w:t>A</w:t>
      </w:r>
      <w:r w:rsidR="0040672C" w:rsidRPr="00DF4EAE">
        <w:rPr>
          <w:rFonts w:cs="Arial"/>
          <w:szCs w:val="20"/>
        </w:rPr>
        <w:t xml:space="preserve">gents for </w:t>
      </w:r>
      <w:r w:rsidR="0040672C">
        <w:rPr>
          <w:rFonts w:cs="Arial"/>
          <w:szCs w:val="20"/>
        </w:rPr>
        <w:t>S</w:t>
      </w:r>
      <w:r w:rsidR="0040672C" w:rsidRPr="00DF4EAE">
        <w:rPr>
          <w:rFonts w:cs="Arial"/>
          <w:szCs w:val="20"/>
        </w:rPr>
        <w:t xml:space="preserve">pinal </w:t>
      </w:r>
      <w:r w:rsidR="0040672C">
        <w:rPr>
          <w:rFonts w:cs="Arial"/>
          <w:szCs w:val="20"/>
        </w:rPr>
        <w:t>M</w:t>
      </w:r>
      <w:r w:rsidR="0040672C" w:rsidRPr="00DF4EAE">
        <w:rPr>
          <w:rFonts w:cs="Arial"/>
          <w:szCs w:val="20"/>
        </w:rPr>
        <w:t xml:space="preserve">uscular </w:t>
      </w:r>
      <w:r w:rsidR="0040672C">
        <w:rPr>
          <w:rFonts w:cs="Arial"/>
          <w:szCs w:val="20"/>
        </w:rPr>
        <w:t>A</w:t>
      </w:r>
      <w:r w:rsidR="0040672C" w:rsidRPr="00DF4EAE">
        <w:rPr>
          <w:rFonts w:cs="Arial"/>
          <w:szCs w:val="20"/>
        </w:rPr>
        <w:t>trophy (SMA</w:t>
      </w:r>
      <w:r w:rsidR="0040672C">
        <w:rPr>
          <w:rFonts w:cs="Arial"/>
          <w:szCs w:val="20"/>
        </w:rPr>
        <w:t>)</w:t>
      </w:r>
    </w:p>
    <w:p w14:paraId="26CFE8A0" w14:textId="0FA64B60" w:rsidR="008524BA" w:rsidRDefault="0097028A" w:rsidP="00696E3A">
      <w:pPr>
        <w:rPr>
          <w:rFonts w:cs="Arial"/>
          <w:b/>
        </w:rPr>
      </w:pPr>
      <w:r w:rsidRPr="00696E3A">
        <w:rPr>
          <w:b/>
          <w:bCs/>
        </w:rPr>
        <w:t>Age range:</w:t>
      </w:r>
      <w:r w:rsidRPr="00C02553">
        <w:t xml:space="preserve"> </w:t>
      </w:r>
      <w:r w:rsidR="00551668" w:rsidRPr="00551668">
        <w:rPr>
          <w:rFonts w:cs="Arial"/>
        </w:rPr>
        <w:t>All appropriate MO HealthNet participants</w:t>
      </w:r>
    </w:p>
    <w:p w14:paraId="7F2A9816" w14:textId="77777777" w:rsidR="005328B2" w:rsidRPr="002C2C41" w:rsidRDefault="005328B2" w:rsidP="005328B2">
      <w:pPr>
        <w:rPr>
          <w:rFonts w:cs="Arial"/>
          <w:szCs w:val="20"/>
        </w:rPr>
      </w:pPr>
    </w:p>
    <w:p w14:paraId="6413C035" w14:textId="4FE30429" w:rsidR="00AE77DB" w:rsidRPr="00C02553" w:rsidRDefault="00AE77DB" w:rsidP="0097028A">
      <w:pPr>
        <w:pStyle w:val="Heading1"/>
        <w:rPr>
          <w:lang w:val="en-US"/>
        </w:rPr>
      </w:pPr>
      <w:r w:rsidRPr="00C02553">
        <w:rPr>
          <w:lang w:val="en-US"/>
        </w:rPr>
        <w:t>Approval Criteria</w:t>
      </w:r>
    </w:p>
    <w:p w14:paraId="4BAA1D7A" w14:textId="77777777" w:rsidR="00635DDB" w:rsidRPr="00696E3A" w:rsidRDefault="00635DDB" w:rsidP="00635DDB">
      <w:pPr>
        <w:rPr>
          <w:b/>
          <w:bCs/>
        </w:rPr>
      </w:pPr>
      <w:r w:rsidRPr="00696E3A">
        <w:rPr>
          <w:b/>
          <w:bCs/>
        </w:rPr>
        <w:t>Initial Therapy:</w:t>
      </w:r>
    </w:p>
    <w:p w14:paraId="79406FCE" w14:textId="77777777" w:rsidR="00652E66" w:rsidRPr="000766F8" w:rsidRDefault="00652E66" w:rsidP="00652E66">
      <w:pPr>
        <w:pStyle w:val="ListParagraph"/>
        <w:numPr>
          <w:ilvl w:val="0"/>
          <w:numId w:val="22"/>
        </w:numPr>
        <w:rPr>
          <w:rFonts w:cs="Arial"/>
          <w:szCs w:val="20"/>
        </w:rPr>
      </w:pPr>
      <w:r w:rsidRPr="000766F8">
        <w:rPr>
          <w:rFonts w:cs="Arial"/>
          <w:szCs w:val="20"/>
        </w:rPr>
        <w:t xml:space="preserve">Approval criteria for </w:t>
      </w:r>
      <w:proofErr w:type="spellStart"/>
      <w:r w:rsidRPr="000766F8">
        <w:rPr>
          <w:rFonts w:cs="Arial"/>
          <w:szCs w:val="20"/>
        </w:rPr>
        <w:t>Evrysdi</w:t>
      </w:r>
      <w:proofErr w:type="spellEnd"/>
      <w:r w:rsidRPr="000766F8">
        <w:rPr>
          <w:rFonts w:cs="Arial"/>
          <w:szCs w:val="20"/>
        </w:rPr>
        <w:t xml:space="preserve"> or </w:t>
      </w:r>
      <w:proofErr w:type="spellStart"/>
      <w:r w:rsidRPr="000766F8">
        <w:rPr>
          <w:rFonts w:cs="Arial"/>
          <w:szCs w:val="20"/>
        </w:rPr>
        <w:t>Spinraza</w:t>
      </w:r>
      <w:proofErr w:type="spellEnd"/>
      <w:r w:rsidRPr="000766F8">
        <w:rPr>
          <w:rFonts w:cs="Arial"/>
          <w:szCs w:val="20"/>
        </w:rPr>
        <w:t>:</w:t>
      </w:r>
    </w:p>
    <w:p w14:paraId="380E3CE7" w14:textId="77777777" w:rsidR="00652E66" w:rsidRPr="000766F8" w:rsidRDefault="00652E66" w:rsidP="00652E66">
      <w:pPr>
        <w:pStyle w:val="ListParagraph"/>
        <w:numPr>
          <w:ilvl w:val="1"/>
          <w:numId w:val="22"/>
        </w:numPr>
        <w:ind w:left="720"/>
        <w:rPr>
          <w:rFonts w:cs="Arial"/>
          <w:szCs w:val="20"/>
        </w:rPr>
      </w:pPr>
      <w:r w:rsidRPr="000766F8">
        <w:rPr>
          <w:rFonts w:cs="Arial"/>
          <w:szCs w:val="20"/>
        </w:rPr>
        <w:t xml:space="preserve">Must meet </w:t>
      </w:r>
      <w:proofErr w:type="gramStart"/>
      <w:r w:rsidRPr="000766F8">
        <w:rPr>
          <w:rFonts w:cs="Arial"/>
          <w:szCs w:val="20"/>
        </w:rPr>
        <w:t>all of</w:t>
      </w:r>
      <w:proofErr w:type="gramEnd"/>
      <w:r w:rsidRPr="000766F8">
        <w:rPr>
          <w:rFonts w:cs="Arial"/>
          <w:szCs w:val="20"/>
        </w:rPr>
        <w:t xml:space="preserve"> the following:</w:t>
      </w:r>
    </w:p>
    <w:p w14:paraId="1543488E" w14:textId="77777777" w:rsidR="00652E66" w:rsidRPr="00DD3653" w:rsidRDefault="00652E66" w:rsidP="00652E66">
      <w:pPr>
        <w:pStyle w:val="ListParagraph"/>
        <w:numPr>
          <w:ilvl w:val="2"/>
          <w:numId w:val="22"/>
        </w:numPr>
        <w:ind w:left="1080"/>
        <w:rPr>
          <w:rFonts w:cs="Arial"/>
          <w:szCs w:val="20"/>
        </w:rPr>
      </w:pPr>
      <w:r w:rsidRPr="00DD3653">
        <w:rPr>
          <w:rFonts w:cs="Arial"/>
          <w:szCs w:val="20"/>
        </w:rPr>
        <w:t xml:space="preserve">Prescribed by or in consultation with a neurologist or other specialist in the treated disease </w:t>
      </w:r>
      <w:proofErr w:type="gramStart"/>
      <w:r w:rsidRPr="00DD3653">
        <w:rPr>
          <w:rFonts w:cs="Arial"/>
          <w:szCs w:val="20"/>
        </w:rPr>
        <w:t>state;</w:t>
      </w:r>
      <w:proofErr w:type="gramEnd"/>
    </w:p>
    <w:p w14:paraId="514332DF" w14:textId="77777777" w:rsidR="00652E66" w:rsidRPr="00DD3653" w:rsidRDefault="00652E66" w:rsidP="00652E66">
      <w:pPr>
        <w:pStyle w:val="ListParagraph"/>
        <w:numPr>
          <w:ilvl w:val="2"/>
          <w:numId w:val="22"/>
        </w:numPr>
        <w:ind w:left="1080"/>
        <w:rPr>
          <w:rFonts w:cs="Arial"/>
          <w:szCs w:val="20"/>
        </w:rPr>
      </w:pPr>
      <w:r w:rsidRPr="00DD3653">
        <w:rPr>
          <w:rFonts w:cs="Arial"/>
          <w:szCs w:val="20"/>
        </w:rPr>
        <w:t>Documentation of a confirmed diagnosis of SMA including genetic tests of 5q13 demonstrating one of the following:</w:t>
      </w:r>
    </w:p>
    <w:p w14:paraId="1A037333" w14:textId="77777777" w:rsidR="00652E66" w:rsidRPr="00DD3653" w:rsidRDefault="00652E66" w:rsidP="00652E66">
      <w:pPr>
        <w:pStyle w:val="ListParagraph"/>
        <w:numPr>
          <w:ilvl w:val="3"/>
          <w:numId w:val="22"/>
        </w:numPr>
        <w:ind w:left="1440"/>
        <w:rPr>
          <w:rFonts w:cs="Arial"/>
          <w:szCs w:val="20"/>
        </w:rPr>
      </w:pPr>
      <w:r w:rsidRPr="00DD3653">
        <w:rPr>
          <w:rFonts w:cs="Arial"/>
          <w:szCs w:val="20"/>
        </w:rPr>
        <w:t xml:space="preserve">Homozygous </w:t>
      </w:r>
      <w:r w:rsidRPr="00DD3653">
        <w:rPr>
          <w:rFonts w:cs="Arial"/>
          <w:i/>
          <w:iCs/>
          <w:szCs w:val="20"/>
        </w:rPr>
        <w:t>SMN1</w:t>
      </w:r>
      <w:r w:rsidRPr="00DD3653">
        <w:rPr>
          <w:rFonts w:cs="Arial"/>
          <w:szCs w:val="20"/>
        </w:rPr>
        <w:t xml:space="preserve"> gene deletion or mutation; </w:t>
      </w:r>
      <w:r w:rsidRPr="00DD3653">
        <w:rPr>
          <w:rFonts w:cs="Arial"/>
          <w:b/>
          <w:bCs/>
          <w:szCs w:val="20"/>
        </w:rPr>
        <w:t>OR</w:t>
      </w:r>
    </w:p>
    <w:p w14:paraId="11672B5F" w14:textId="77777777" w:rsidR="00652E66" w:rsidRPr="00DD3653" w:rsidRDefault="00652E66" w:rsidP="00652E66">
      <w:pPr>
        <w:pStyle w:val="ListParagraph"/>
        <w:numPr>
          <w:ilvl w:val="3"/>
          <w:numId w:val="22"/>
        </w:numPr>
        <w:ind w:left="1440"/>
        <w:rPr>
          <w:rFonts w:cs="Arial"/>
          <w:szCs w:val="20"/>
        </w:rPr>
      </w:pPr>
      <w:r w:rsidRPr="00DD3653">
        <w:rPr>
          <w:rFonts w:cs="Arial"/>
          <w:szCs w:val="20"/>
        </w:rPr>
        <w:t xml:space="preserve">Compound heterozygous </w:t>
      </w:r>
      <w:r w:rsidRPr="00DD3653">
        <w:rPr>
          <w:rFonts w:cs="Arial"/>
          <w:i/>
          <w:iCs/>
          <w:szCs w:val="20"/>
        </w:rPr>
        <w:t>SMN1</w:t>
      </w:r>
      <w:r w:rsidRPr="00DD3653">
        <w:rPr>
          <w:rFonts w:cs="Arial"/>
          <w:szCs w:val="20"/>
        </w:rPr>
        <w:t xml:space="preserve"> gene </w:t>
      </w:r>
      <w:proofErr w:type="gramStart"/>
      <w:r w:rsidRPr="00DD3653">
        <w:rPr>
          <w:rFonts w:cs="Arial"/>
          <w:szCs w:val="20"/>
        </w:rPr>
        <w:t>mutation;</w:t>
      </w:r>
      <w:proofErr w:type="gramEnd"/>
    </w:p>
    <w:p w14:paraId="3DF785B2" w14:textId="77777777" w:rsidR="00652E66" w:rsidRPr="00DD3653" w:rsidRDefault="00652E66" w:rsidP="00652E66">
      <w:pPr>
        <w:pStyle w:val="ListParagraph"/>
        <w:numPr>
          <w:ilvl w:val="2"/>
          <w:numId w:val="22"/>
        </w:numPr>
        <w:ind w:left="1080"/>
        <w:rPr>
          <w:rFonts w:cs="Arial"/>
          <w:szCs w:val="20"/>
        </w:rPr>
      </w:pPr>
      <w:proofErr w:type="gramStart"/>
      <w:r w:rsidRPr="00DD3653">
        <w:rPr>
          <w:rFonts w:cs="Arial"/>
          <w:szCs w:val="20"/>
        </w:rPr>
        <w:t>Sufficient number of</w:t>
      </w:r>
      <w:proofErr w:type="gramEnd"/>
      <w:r w:rsidRPr="00DD3653">
        <w:rPr>
          <w:rFonts w:cs="Arial"/>
          <w:szCs w:val="20"/>
        </w:rPr>
        <w:t xml:space="preserve"> copies of </w:t>
      </w:r>
      <w:r w:rsidRPr="00DD3653">
        <w:rPr>
          <w:rFonts w:cs="Arial"/>
          <w:i/>
          <w:iCs/>
          <w:szCs w:val="20"/>
        </w:rPr>
        <w:t>SMN2</w:t>
      </w:r>
      <w:r w:rsidRPr="00DD3653">
        <w:rPr>
          <w:rFonts w:cs="Arial"/>
          <w:szCs w:val="20"/>
        </w:rPr>
        <w:t xml:space="preserve"> gene defined as one of the following (either 2a or 2b) genetic tests demonstrating:</w:t>
      </w:r>
    </w:p>
    <w:p w14:paraId="5BD0E19E" w14:textId="77777777" w:rsidR="00652E66" w:rsidRPr="00DD3653" w:rsidRDefault="00652E66" w:rsidP="00652E66">
      <w:pPr>
        <w:pStyle w:val="ListParagraph"/>
        <w:numPr>
          <w:ilvl w:val="3"/>
          <w:numId w:val="22"/>
        </w:numPr>
        <w:ind w:left="1440"/>
        <w:rPr>
          <w:rFonts w:cs="Arial"/>
          <w:szCs w:val="20"/>
        </w:rPr>
      </w:pPr>
      <w:r w:rsidRPr="00DD3653">
        <w:rPr>
          <w:rFonts w:cs="Arial"/>
          <w:szCs w:val="20"/>
        </w:rPr>
        <w:t xml:space="preserve">If a pre-symptomatic infant: ≤ 3 copies of </w:t>
      </w:r>
      <w:r w:rsidRPr="00DD3653">
        <w:rPr>
          <w:rFonts w:cs="Arial"/>
          <w:i/>
          <w:iCs/>
          <w:szCs w:val="20"/>
        </w:rPr>
        <w:t>SMN2</w:t>
      </w:r>
      <w:r w:rsidRPr="00DD3653">
        <w:rPr>
          <w:rFonts w:cs="Arial"/>
          <w:szCs w:val="20"/>
        </w:rPr>
        <w:t xml:space="preserve"> gene; </w:t>
      </w:r>
      <w:r w:rsidRPr="00DD3653">
        <w:rPr>
          <w:rFonts w:cs="Arial"/>
          <w:b/>
          <w:bCs/>
          <w:szCs w:val="20"/>
        </w:rPr>
        <w:t>OR</w:t>
      </w:r>
    </w:p>
    <w:p w14:paraId="776C5013" w14:textId="77777777" w:rsidR="00652E66" w:rsidRPr="00DD3653" w:rsidRDefault="00652E66" w:rsidP="00652E66">
      <w:pPr>
        <w:pStyle w:val="ListParagraph"/>
        <w:numPr>
          <w:ilvl w:val="3"/>
          <w:numId w:val="22"/>
        </w:numPr>
        <w:ind w:left="1440"/>
        <w:rPr>
          <w:rFonts w:cs="Arial"/>
          <w:szCs w:val="20"/>
        </w:rPr>
      </w:pPr>
      <w:r w:rsidRPr="00DD3653">
        <w:rPr>
          <w:rFonts w:cs="Arial"/>
          <w:szCs w:val="20"/>
        </w:rPr>
        <w:t>If a symptomatic patient:</w:t>
      </w:r>
    </w:p>
    <w:p w14:paraId="1148D567" w14:textId="77777777" w:rsidR="00652E66" w:rsidRPr="00DD3653" w:rsidRDefault="00652E66" w:rsidP="00652E66">
      <w:pPr>
        <w:pStyle w:val="ListParagraph"/>
        <w:numPr>
          <w:ilvl w:val="4"/>
          <w:numId w:val="22"/>
        </w:numPr>
        <w:ind w:left="1800"/>
        <w:rPr>
          <w:rFonts w:cs="Arial"/>
          <w:szCs w:val="20"/>
        </w:rPr>
      </w:pPr>
      <w:r w:rsidRPr="00DD3653">
        <w:rPr>
          <w:rFonts w:cs="Arial"/>
          <w:szCs w:val="20"/>
        </w:rPr>
        <w:t xml:space="preserve">≥ 2 copies of </w:t>
      </w:r>
      <w:r w:rsidRPr="00DD3653">
        <w:rPr>
          <w:rFonts w:cs="Arial"/>
          <w:i/>
          <w:iCs/>
          <w:szCs w:val="20"/>
        </w:rPr>
        <w:t>SMN2</w:t>
      </w:r>
      <w:r w:rsidRPr="00DD3653">
        <w:rPr>
          <w:rFonts w:cs="Arial"/>
          <w:szCs w:val="20"/>
        </w:rPr>
        <w:t xml:space="preserve"> gene; </w:t>
      </w:r>
      <w:r w:rsidRPr="00DD3653">
        <w:rPr>
          <w:rFonts w:cs="Arial"/>
          <w:b/>
          <w:bCs/>
          <w:szCs w:val="20"/>
        </w:rPr>
        <w:t>AND</w:t>
      </w:r>
    </w:p>
    <w:p w14:paraId="322F847F" w14:textId="77777777" w:rsidR="00652E66" w:rsidRPr="00DD3653" w:rsidRDefault="00652E66" w:rsidP="00652E66">
      <w:pPr>
        <w:pStyle w:val="ListParagraph"/>
        <w:numPr>
          <w:ilvl w:val="4"/>
          <w:numId w:val="22"/>
        </w:numPr>
        <w:ind w:left="1800"/>
        <w:rPr>
          <w:rFonts w:cs="Arial"/>
          <w:szCs w:val="20"/>
        </w:rPr>
      </w:pPr>
      <w:r w:rsidRPr="00DD3653">
        <w:rPr>
          <w:rFonts w:cs="Arial"/>
          <w:szCs w:val="20"/>
        </w:rPr>
        <w:t xml:space="preserve">Documentation of age of onset of symptoms; </w:t>
      </w:r>
      <w:r w:rsidRPr="00DD3653">
        <w:rPr>
          <w:rFonts w:cs="Arial"/>
          <w:b/>
          <w:bCs/>
          <w:szCs w:val="20"/>
        </w:rPr>
        <w:t>AND</w:t>
      </w:r>
    </w:p>
    <w:p w14:paraId="63FAB8D4" w14:textId="77777777" w:rsidR="00652E66" w:rsidRPr="00DD3653" w:rsidRDefault="00652E66" w:rsidP="00652E66">
      <w:pPr>
        <w:pStyle w:val="ListParagraph"/>
        <w:numPr>
          <w:ilvl w:val="2"/>
          <w:numId w:val="22"/>
        </w:numPr>
        <w:ind w:left="1080"/>
        <w:rPr>
          <w:rFonts w:cs="Arial"/>
          <w:szCs w:val="20"/>
        </w:rPr>
      </w:pPr>
      <w:r w:rsidRPr="00DD3653">
        <w:rPr>
          <w:rFonts w:cs="Arial"/>
          <w:szCs w:val="20"/>
        </w:rPr>
        <w:t>Clinical baseline documentation required:</w:t>
      </w:r>
    </w:p>
    <w:p w14:paraId="24917BCD" w14:textId="77777777" w:rsidR="00652E66" w:rsidRPr="00DD3653" w:rsidRDefault="00652E66" w:rsidP="00652E66">
      <w:pPr>
        <w:pStyle w:val="ListParagraph"/>
        <w:numPr>
          <w:ilvl w:val="3"/>
          <w:numId w:val="22"/>
        </w:numPr>
        <w:ind w:left="1440"/>
        <w:rPr>
          <w:rFonts w:cs="Arial"/>
          <w:szCs w:val="20"/>
        </w:rPr>
      </w:pPr>
      <w:r w:rsidRPr="00DD3653">
        <w:rPr>
          <w:rFonts w:cs="Arial"/>
          <w:szCs w:val="20"/>
        </w:rPr>
        <w:t>For participants aged &lt; 3 years: Hammersmith Infant Neurological Exam-Part 2 (HINE-2</w:t>
      </w:r>
      <w:proofErr w:type="gramStart"/>
      <w:r w:rsidRPr="00DD3653">
        <w:rPr>
          <w:rFonts w:cs="Arial"/>
          <w:szCs w:val="20"/>
        </w:rPr>
        <w:t>);</w:t>
      </w:r>
      <w:proofErr w:type="gramEnd"/>
    </w:p>
    <w:p w14:paraId="7C4738B1" w14:textId="77777777" w:rsidR="00652E66" w:rsidRPr="00DD3653" w:rsidRDefault="00652E66" w:rsidP="00652E66">
      <w:pPr>
        <w:pStyle w:val="ListParagraph"/>
        <w:numPr>
          <w:ilvl w:val="3"/>
          <w:numId w:val="22"/>
        </w:numPr>
        <w:ind w:left="1440"/>
        <w:rPr>
          <w:rFonts w:cs="Arial"/>
          <w:szCs w:val="20"/>
        </w:rPr>
      </w:pPr>
      <w:r w:rsidRPr="00DD3653">
        <w:rPr>
          <w:rFonts w:cs="Arial"/>
          <w:szCs w:val="20"/>
        </w:rPr>
        <w:t>For participants aged ≥ 3 years: Hammersmith Functional Motor Scale Expanded (HFMSE</w:t>
      </w:r>
      <w:proofErr w:type="gramStart"/>
      <w:r w:rsidRPr="00DD3653">
        <w:rPr>
          <w:rFonts w:cs="Arial"/>
          <w:szCs w:val="20"/>
        </w:rPr>
        <w:t>);</w:t>
      </w:r>
      <w:proofErr w:type="gramEnd"/>
    </w:p>
    <w:p w14:paraId="5356DA9B" w14:textId="77777777" w:rsidR="00652E66" w:rsidRPr="00DD3653" w:rsidRDefault="00652E66" w:rsidP="00652E66">
      <w:pPr>
        <w:pStyle w:val="ListParagraph"/>
        <w:numPr>
          <w:ilvl w:val="3"/>
          <w:numId w:val="22"/>
        </w:numPr>
        <w:ind w:left="1440"/>
        <w:rPr>
          <w:rFonts w:cs="Arial"/>
          <w:szCs w:val="20"/>
        </w:rPr>
      </w:pPr>
      <w:r w:rsidRPr="00DD3653">
        <w:rPr>
          <w:rFonts w:cs="Arial"/>
          <w:szCs w:val="20"/>
        </w:rPr>
        <w:t xml:space="preserve">For all participants: </w:t>
      </w:r>
    </w:p>
    <w:p w14:paraId="460D5356" w14:textId="77777777" w:rsidR="00652E66" w:rsidRPr="00DD3653" w:rsidRDefault="00652E66" w:rsidP="00652E66">
      <w:pPr>
        <w:pStyle w:val="ListParagraph"/>
        <w:numPr>
          <w:ilvl w:val="4"/>
          <w:numId w:val="22"/>
        </w:numPr>
        <w:ind w:left="1800"/>
        <w:rPr>
          <w:rFonts w:cs="Arial"/>
          <w:szCs w:val="20"/>
        </w:rPr>
      </w:pPr>
      <w:r w:rsidRPr="00DD3653">
        <w:rPr>
          <w:rFonts w:cs="Arial"/>
          <w:szCs w:val="20"/>
        </w:rPr>
        <w:t xml:space="preserve">Pulmonary status (tracheostomy, </w:t>
      </w:r>
      <w:proofErr w:type="spellStart"/>
      <w:r w:rsidRPr="00DD3653">
        <w:rPr>
          <w:rFonts w:cs="Arial"/>
          <w:szCs w:val="20"/>
        </w:rPr>
        <w:t>hrs</w:t>
      </w:r>
      <w:proofErr w:type="spellEnd"/>
      <w:r w:rsidRPr="00DD3653">
        <w:rPr>
          <w:rFonts w:cs="Arial"/>
          <w:szCs w:val="20"/>
        </w:rPr>
        <w:t xml:space="preserve"> of ventilation, CPAP, etc.); </w:t>
      </w:r>
      <w:r w:rsidRPr="00DD3653">
        <w:rPr>
          <w:rFonts w:cs="Arial"/>
          <w:b/>
          <w:bCs/>
          <w:szCs w:val="20"/>
        </w:rPr>
        <w:t>AND</w:t>
      </w:r>
    </w:p>
    <w:p w14:paraId="0842DAB8" w14:textId="77777777" w:rsidR="00652E66" w:rsidRDefault="00652E66" w:rsidP="00652E66">
      <w:pPr>
        <w:pStyle w:val="ListParagraph"/>
        <w:numPr>
          <w:ilvl w:val="4"/>
          <w:numId w:val="22"/>
        </w:numPr>
        <w:ind w:left="1800"/>
        <w:rPr>
          <w:rFonts w:cs="Arial"/>
          <w:szCs w:val="20"/>
        </w:rPr>
      </w:pPr>
      <w:r>
        <w:rPr>
          <w:rFonts w:cs="Arial"/>
          <w:szCs w:val="20"/>
        </w:rPr>
        <w:t>One of the following:</w:t>
      </w:r>
    </w:p>
    <w:p w14:paraId="07CD7B78" w14:textId="77777777" w:rsidR="00652E66" w:rsidRPr="000766F8" w:rsidRDefault="00652E66" w:rsidP="00652E66">
      <w:pPr>
        <w:pStyle w:val="ListParagraph"/>
        <w:numPr>
          <w:ilvl w:val="5"/>
          <w:numId w:val="22"/>
        </w:numPr>
        <w:ind w:left="2160"/>
        <w:rPr>
          <w:rFonts w:cs="Arial"/>
          <w:szCs w:val="20"/>
        </w:rPr>
      </w:pPr>
      <w:r w:rsidRPr="000766F8">
        <w:rPr>
          <w:rFonts w:cs="Arial"/>
          <w:szCs w:val="20"/>
        </w:rPr>
        <w:t>Motor Function Measure 32 (MFM-32</w:t>
      </w:r>
      <w:proofErr w:type="gramStart"/>
      <w:r w:rsidRPr="000766F8">
        <w:rPr>
          <w:rFonts w:cs="Arial"/>
          <w:szCs w:val="20"/>
        </w:rPr>
        <w:t>);</w:t>
      </w:r>
      <w:proofErr w:type="gramEnd"/>
    </w:p>
    <w:p w14:paraId="71066E07" w14:textId="77777777" w:rsidR="00652E66" w:rsidRPr="000766F8" w:rsidRDefault="00652E66" w:rsidP="00652E66">
      <w:pPr>
        <w:pStyle w:val="ListParagraph"/>
        <w:numPr>
          <w:ilvl w:val="5"/>
          <w:numId w:val="22"/>
        </w:numPr>
        <w:ind w:left="2160"/>
        <w:rPr>
          <w:rFonts w:cs="Arial"/>
          <w:szCs w:val="20"/>
        </w:rPr>
      </w:pPr>
      <w:r w:rsidRPr="000766F8">
        <w:rPr>
          <w:rFonts w:cs="Arial"/>
          <w:szCs w:val="20"/>
        </w:rPr>
        <w:t>For ambulatory patients: 6 Minute Walk Test (6MWT);</w:t>
      </w:r>
      <w:r>
        <w:rPr>
          <w:rFonts w:cs="Arial"/>
          <w:szCs w:val="20"/>
        </w:rPr>
        <w:t xml:space="preserve"> </w:t>
      </w:r>
      <w:r>
        <w:rPr>
          <w:rFonts w:cs="Arial"/>
          <w:b/>
          <w:bCs/>
          <w:szCs w:val="20"/>
        </w:rPr>
        <w:t>OR</w:t>
      </w:r>
    </w:p>
    <w:p w14:paraId="1EB7EEAB" w14:textId="77777777" w:rsidR="00652E66" w:rsidRPr="000766F8" w:rsidRDefault="00652E66" w:rsidP="00652E66">
      <w:pPr>
        <w:pStyle w:val="ListParagraph"/>
        <w:numPr>
          <w:ilvl w:val="5"/>
          <w:numId w:val="22"/>
        </w:numPr>
        <w:ind w:left="2160"/>
        <w:rPr>
          <w:rFonts w:cs="Arial"/>
          <w:szCs w:val="20"/>
        </w:rPr>
      </w:pPr>
      <w:r w:rsidRPr="000766F8">
        <w:rPr>
          <w:rFonts w:cs="Arial"/>
          <w:szCs w:val="20"/>
        </w:rPr>
        <w:t>For non-ambulatory patients: Revised Upper Limb Module (RULM) Score</w:t>
      </w:r>
      <w:r>
        <w:rPr>
          <w:rFonts w:cs="Arial"/>
          <w:szCs w:val="20"/>
        </w:rPr>
        <w:t>.</w:t>
      </w:r>
    </w:p>
    <w:p w14:paraId="114BCDCC" w14:textId="77777777" w:rsidR="00652E66" w:rsidRPr="000766F8" w:rsidRDefault="00652E66" w:rsidP="00652E66">
      <w:pPr>
        <w:pStyle w:val="ListParagraph"/>
        <w:numPr>
          <w:ilvl w:val="1"/>
          <w:numId w:val="22"/>
        </w:numPr>
        <w:ind w:left="720"/>
        <w:rPr>
          <w:rFonts w:cs="Arial"/>
          <w:szCs w:val="20"/>
        </w:rPr>
      </w:pPr>
      <w:r w:rsidRPr="000766F8">
        <w:rPr>
          <w:rFonts w:cs="Arial"/>
          <w:szCs w:val="20"/>
        </w:rPr>
        <w:t xml:space="preserve">Additional approval criteria for </w:t>
      </w:r>
      <w:proofErr w:type="spellStart"/>
      <w:r w:rsidRPr="000766F8">
        <w:rPr>
          <w:rFonts w:cs="Arial"/>
          <w:szCs w:val="20"/>
        </w:rPr>
        <w:t>Spinraza</w:t>
      </w:r>
      <w:proofErr w:type="spellEnd"/>
      <w:r w:rsidRPr="000766F8">
        <w:rPr>
          <w:rFonts w:cs="Arial"/>
          <w:szCs w:val="20"/>
        </w:rPr>
        <w:t>:</w:t>
      </w:r>
    </w:p>
    <w:p w14:paraId="2422BD03" w14:textId="77777777" w:rsidR="00652E66" w:rsidRPr="000766F8" w:rsidRDefault="00652E66" w:rsidP="00652E66">
      <w:pPr>
        <w:pStyle w:val="ListParagraph"/>
        <w:numPr>
          <w:ilvl w:val="2"/>
          <w:numId w:val="22"/>
        </w:numPr>
        <w:ind w:left="1080"/>
        <w:rPr>
          <w:rFonts w:cs="Arial"/>
          <w:szCs w:val="20"/>
        </w:rPr>
      </w:pPr>
      <w:r>
        <w:rPr>
          <w:rFonts w:cs="Arial"/>
          <w:szCs w:val="20"/>
        </w:rPr>
        <w:t xml:space="preserve">Documented baseline of </w:t>
      </w:r>
      <w:proofErr w:type="gramStart"/>
      <w:r>
        <w:rPr>
          <w:rFonts w:cs="Arial"/>
          <w:szCs w:val="20"/>
        </w:rPr>
        <w:t>all of</w:t>
      </w:r>
      <w:proofErr w:type="gramEnd"/>
      <w:r>
        <w:rPr>
          <w:rFonts w:cs="Arial"/>
          <w:szCs w:val="20"/>
        </w:rPr>
        <w:t xml:space="preserve"> the following: </w:t>
      </w:r>
      <w:r w:rsidRPr="000766F8">
        <w:rPr>
          <w:rFonts w:cs="Arial"/>
          <w:szCs w:val="20"/>
        </w:rPr>
        <w:t>Complete blood count, coagulation status, urine protein, serum electrolytes including bicarbonate, liver and renal function tests.</w:t>
      </w:r>
    </w:p>
    <w:p w14:paraId="63B9F4E1" w14:textId="77777777" w:rsidR="00652E66" w:rsidRPr="000766F8" w:rsidRDefault="00652E66" w:rsidP="00652E66">
      <w:pPr>
        <w:pStyle w:val="ListParagraph"/>
        <w:numPr>
          <w:ilvl w:val="1"/>
          <w:numId w:val="22"/>
        </w:numPr>
        <w:ind w:left="720"/>
        <w:rPr>
          <w:rFonts w:cs="Arial"/>
          <w:szCs w:val="20"/>
        </w:rPr>
      </w:pPr>
      <w:r w:rsidRPr="000766F8">
        <w:rPr>
          <w:rFonts w:cs="Arial"/>
          <w:szCs w:val="20"/>
        </w:rPr>
        <w:t xml:space="preserve">Additional approval criteria for </w:t>
      </w:r>
      <w:proofErr w:type="spellStart"/>
      <w:r w:rsidRPr="000766F8">
        <w:rPr>
          <w:rFonts w:cs="Arial"/>
          <w:szCs w:val="20"/>
        </w:rPr>
        <w:t>Evrysdi</w:t>
      </w:r>
      <w:proofErr w:type="spellEnd"/>
      <w:r w:rsidRPr="000766F8">
        <w:rPr>
          <w:rFonts w:cs="Arial"/>
          <w:szCs w:val="20"/>
        </w:rPr>
        <w:t>:</w:t>
      </w:r>
    </w:p>
    <w:p w14:paraId="6FF43EF1" w14:textId="77777777" w:rsidR="00652E66" w:rsidRPr="000766F8" w:rsidRDefault="00652E66" w:rsidP="00652E66">
      <w:pPr>
        <w:pStyle w:val="ListParagraph"/>
        <w:numPr>
          <w:ilvl w:val="2"/>
          <w:numId w:val="22"/>
        </w:numPr>
        <w:ind w:left="1080"/>
        <w:rPr>
          <w:rFonts w:cs="Arial"/>
          <w:szCs w:val="20"/>
        </w:rPr>
      </w:pPr>
      <w:r w:rsidRPr="000766F8">
        <w:rPr>
          <w:rFonts w:cs="Arial"/>
          <w:szCs w:val="20"/>
        </w:rPr>
        <w:t>Participant (female of appropriate age) must utilize concurrent birth control methods during and for 1-month post-treatment.</w:t>
      </w:r>
    </w:p>
    <w:p w14:paraId="081F9047" w14:textId="77777777" w:rsidR="00652E66" w:rsidRPr="000766F8" w:rsidRDefault="00652E66" w:rsidP="00652E66">
      <w:pPr>
        <w:pStyle w:val="ListParagraph"/>
        <w:numPr>
          <w:ilvl w:val="1"/>
          <w:numId w:val="22"/>
        </w:numPr>
        <w:ind w:left="720"/>
        <w:rPr>
          <w:rFonts w:cs="Arial"/>
          <w:szCs w:val="20"/>
        </w:rPr>
      </w:pPr>
      <w:r w:rsidRPr="000766F8">
        <w:rPr>
          <w:rFonts w:cs="Arial"/>
          <w:szCs w:val="20"/>
        </w:rPr>
        <w:t xml:space="preserve">Initial approval period for </w:t>
      </w:r>
      <w:proofErr w:type="spellStart"/>
      <w:r w:rsidRPr="000766F8">
        <w:rPr>
          <w:rFonts w:cs="Arial"/>
          <w:szCs w:val="20"/>
        </w:rPr>
        <w:t>Evrysdi</w:t>
      </w:r>
      <w:proofErr w:type="spellEnd"/>
      <w:r w:rsidRPr="000766F8">
        <w:rPr>
          <w:rFonts w:cs="Arial"/>
          <w:szCs w:val="20"/>
        </w:rPr>
        <w:t xml:space="preserve"> and </w:t>
      </w:r>
      <w:proofErr w:type="spellStart"/>
      <w:r w:rsidRPr="000766F8">
        <w:rPr>
          <w:rFonts w:cs="Arial"/>
          <w:szCs w:val="20"/>
        </w:rPr>
        <w:t>Spinraza</w:t>
      </w:r>
      <w:proofErr w:type="spellEnd"/>
      <w:r w:rsidRPr="000766F8">
        <w:rPr>
          <w:rFonts w:cs="Arial"/>
          <w:szCs w:val="20"/>
        </w:rPr>
        <w:t>: 6 months</w:t>
      </w:r>
    </w:p>
    <w:p w14:paraId="3DEE967C" w14:textId="77777777" w:rsidR="00652E66" w:rsidRDefault="00652E66" w:rsidP="00652E66">
      <w:pPr>
        <w:pStyle w:val="ListParagraph"/>
        <w:numPr>
          <w:ilvl w:val="0"/>
          <w:numId w:val="0"/>
        </w:numPr>
        <w:ind w:left="360"/>
        <w:rPr>
          <w:rFonts w:cs="Arial"/>
          <w:szCs w:val="20"/>
        </w:rPr>
      </w:pPr>
    </w:p>
    <w:p w14:paraId="050FF0B6" w14:textId="77777777" w:rsidR="00652E66" w:rsidRPr="000766F8" w:rsidRDefault="00652E66" w:rsidP="00652E66">
      <w:pPr>
        <w:pStyle w:val="ListParagraph"/>
        <w:numPr>
          <w:ilvl w:val="0"/>
          <w:numId w:val="22"/>
        </w:numPr>
        <w:rPr>
          <w:rFonts w:cs="Arial"/>
          <w:szCs w:val="20"/>
        </w:rPr>
      </w:pPr>
      <w:r w:rsidRPr="000766F8">
        <w:rPr>
          <w:rFonts w:cs="Arial"/>
          <w:szCs w:val="20"/>
        </w:rPr>
        <w:t xml:space="preserve">Approval criteria for </w:t>
      </w:r>
      <w:proofErr w:type="spellStart"/>
      <w:r w:rsidRPr="000766F8">
        <w:rPr>
          <w:rFonts w:cs="Arial"/>
          <w:szCs w:val="20"/>
        </w:rPr>
        <w:t>Zolgensma</w:t>
      </w:r>
      <w:proofErr w:type="spellEnd"/>
      <w:r w:rsidRPr="000766F8">
        <w:rPr>
          <w:rFonts w:cs="Arial"/>
          <w:szCs w:val="20"/>
        </w:rPr>
        <w:t xml:space="preserve">: </w:t>
      </w:r>
    </w:p>
    <w:p w14:paraId="4F922B8A" w14:textId="77777777" w:rsidR="00652E66" w:rsidRPr="0000452C" w:rsidRDefault="00652E66" w:rsidP="00652E66">
      <w:pPr>
        <w:pStyle w:val="ListParagraph"/>
        <w:numPr>
          <w:ilvl w:val="1"/>
          <w:numId w:val="22"/>
        </w:numPr>
        <w:ind w:left="720"/>
        <w:rPr>
          <w:rFonts w:cs="Arial"/>
          <w:szCs w:val="20"/>
        </w:rPr>
      </w:pPr>
      <w:r w:rsidRPr="0000452C">
        <w:rPr>
          <w:rFonts w:cs="Arial"/>
          <w:szCs w:val="20"/>
        </w:rPr>
        <w:t xml:space="preserve">Prescribed by or in consultation with a neurologist or other specialist in the treated disease </w:t>
      </w:r>
      <w:proofErr w:type="gramStart"/>
      <w:r w:rsidRPr="0000452C">
        <w:rPr>
          <w:rFonts w:cs="Arial"/>
          <w:szCs w:val="20"/>
        </w:rPr>
        <w:t>state;</w:t>
      </w:r>
      <w:proofErr w:type="gramEnd"/>
    </w:p>
    <w:p w14:paraId="359D3A87" w14:textId="77777777" w:rsidR="00652E66" w:rsidRPr="000766F8" w:rsidRDefault="00652E66" w:rsidP="00652E66">
      <w:pPr>
        <w:pStyle w:val="ListParagraph"/>
        <w:numPr>
          <w:ilvl w:val="1"/>
          <w:numId w:val="22"/>
        </w:numPr>
        <w:ind w:left="720"/>
        <w:rPr>
          <w:rFonts w:cs="Arial"/>
          <w:szCs w:val="20"/>
        </w:rPr>
      </w:pPr>
      <w:r w:rsidRPr="000766F8">
        <w:rPr>
          <w:rFonts w:cs="Arial"/>
          <w:szCs w:val="20"/>
        </w:rPr>
        <w:t xml:space="preserve">Participant aged &lt; 2 </w:t>
      </w:r>
      <w:proofErr w:type="gramStart"/>
      <w:r w:rsidRPr="000766F8">
        <w:rPr>
          <w:rFonts w:cs="Arial"/>
          <w:szCs w:val="20"/>
        </w:rPr>
        <w:t>years;</w:t>
      </w:r>
      <w:proofErr w:type="gramEnd"/>
    </w:p>
    <w:p w14:paraId="6BDB2E5F" w14:textId="77777777" w:rsidR="00652E66" w:rsidRPr="000766F8" w:rsidRDefault="00652E66" w:rsidP="00652E66">
      <w:pPr>
        <w:pStyle w:val="ListParagraph"/>
        <w:numPr>
          <w:ilvl w:val="1"/>
          <w:numId w:val="22"/>
        </w:numPr>
        <w:ind w:left="720"/>
        <w:rPr>
          <w:rFonts w:cs="Arial"/>
          <w:szCs w:val="20"/>
        </w:rPr>
      </w:pPr>
      <w:r w:rsidRPr="000766F8">
        <w:rPr>
          <w:rFonts w:cs="Arial"/>
          <w:szCs w:val="20"/>
        </w:rPr>
        <w:lastRenderedPageBreak/>
        <w:t xml:space="preserve">Documented diagnosis of SMA with bi-allelic mutations in the </w:t>
      </w:r>
      <w:r w:rsidRPr="00782F60">
        <w:rPr>
          <w:rFonts w:cs="Arial"/>
          <w:i/>
          <w:iCs/>
          <w:szCs w:val="20"/>
        </w:rPr>
        <w:t>SMN1</w:t>
      </w:r>
      <w:r w:rsidRPr="000766F8">
        <w:rPr>
          <w:rFonts w:cs="Arial"/>
          <w:szCs w:val="20"/>
        </w:rPr>
        <w:t xml:space="preserve"> </w:t>
      </w:r>
      <w:proofErr w:type="gramStart"/>
      <w:r w:rsidRPr="000766F8">
        <w:rPr>
          <w:rFonts w:cs="Arial"/>
          <w:szCs w:val="20"/>
        </w:rPr>
        <w:t>gene;</w:t>
      </w:r>
      <w:proofErr w:type="gramEnd"/>
    </w:p>
    <w:p w14:paraId="528EF0D7" w14:textId="77777777" w:rsidR="00652E66" w:rsidRPr="000766F8" w:rsidRDefault="00652E66" w:rsidP="00652E66">
      <w:pPr>
        <w:pStyle w:val="ListParagraph"/>
        <w:numPr>
          <w:ilvl w:val="1"/>
          <w:numId w:val="22"/>
        </w:numPr>
        <w:ind w:left="720"/>
        <w:rPr>
          <w:rFonts w:cs="Arial"/>
          <w:szCs w:val="20"/>
        </w:rPr>
      </w:pPr>
      <w:r w:rsidRPr="000766F8">
        <w:rPr>
          <w:rFonts w:cs="Arial"/>
          <w:szCs w:val="20"/>
        </w:rPr>
        <w:t>Documented anti-AAV9 antibody titers of ≤ 1:50 measured by ELISA at time of treatment;</w:t>
      </w:r>
      <w:r>
        <w:rPr>
          <w:rFonts w:cs="Arial"/>
          <w:szCs w:val="20"/>
        </w:rPr>
        <w:t xml:space="preserve"> </w:t>
      </w:r>
      <w:r w:rsidRPr="00782F60">
        <w:rPr>
          <w:rFonts w:cs="Arial"/>
          <w:b/>
          <w:bCs/>
          <w:szCs w:val="20"/>
        </w:rPr>
        <w:t>AND</w:t>
      </w:r>
    </w:p>
    <w:p w14:paraId="50BA4B89" w14:textId="77777777" w:rsidR="00652E66" w:rsidRPr="000766F8" w:rsidRDefault="00652E66" w:rsidP="00652E66">
      <w:pPr>
        <w:pStyle w:val="ListParagraph"/>
        <w:numPr>
          <w:ilvl w:val="1"/>
          <w:numId w:val="22"/>
        </w:numPr>
        <w:ind w:left="720"/>
        <w:rPr>
          <w:rFonts w:cs="Arial"/>
          <w:szCs w:val="20"/>
        </w:rPr>
      </w:pPr>
      <w:r w:rsidRPr="000766F8">
        <w:rPr>
          <w:rFonts w:cs="Arial"/>
          <w:szCs w:val="20"/>
        </w:rPr>
        <w:t xml:space="preserve">Documented completion of all </w:t>
      </w:r>
      <w:r>
        <w:rPr>
          <w:rFonts w:cs="Arial"/>
          <w:szCs w:val="20"/>
        </w:rPr>
        <w:t xml:space="preserve">the following </w:t>
      </w:r>
      <w:r w:rsidRPr="000766F8">
        <w:rPr>
          <w:rFonts w:cs="Arial"/>
          <w:szCs w:val="20"/>
        </w:rPr>
        <w:t>baseline assessments:</w:t>
      </w:r>
    </w:p>
    <w:p w14:paraId="15F0A209" w14:textId="77777777" w:rsidR="00652E66" w:rsidRPr="000766F8" w:rsidRDefault="00652E66" w:rsidP="00652E66">
      <w:pPr>
        <w:pStyle w:val="ListParagraph"/>
        <w:numPr>
          <w:ilvl w:val="2"/>
          <w:numId w:val="22"/>
        </w:numPr>
        <w:ind w:left="1080"/>
        <w:rPr>
          <w:rFonts w:cs="Arial"/>
          <w:szCs w:val="20"/>
        </w:rPr>
      </w:pPr>
      <w:r w:rsidRPr="000766F8">
        <w:rPr>
          <w:rFonts w:cs="Arial"/>
          <w:szCs w:val="20"/>
        </w:rPr>
        <w:t>Liver function tests (AST, ALT, total bilirubin, and prothrombin time</w:t>
      </w:r>
      <w:proofErr w:type="gramStart"/>
      <w:r w:rsidRPr="000766F8">
        <w:rPr>
          <w:rFonts w:cs="Arial"/>
          <w:szCs w:val="20"/>
        </w:rPr>
        <w:t>);</w:t>
      </w:r>
      <w:proofErr w:type="gramEnd"/>
    </w:p>
    <w:p w14:paraId="4B84EFE3" w14:textId="77777777" w:rsidR="00652E66" w:rsidRPr="000766F8" w:rsidRDefault="00652E66" w:rsidP="00652E66">
      <w:pPr>
        <w:pStyle w:val="ListParagraph"/>
        <w:numPr>
          <w:ilvl w:val="2"/>
          <w:numId w:val="22"/>
        </w:numPr>
        <w:ind w:left="1080"/>
        <w:rPr>
          <w:rFonts w:cs="Arial"/>
          <w:szCs w:val="20"/>
        </w:rPr>
      </w:pPr>
      <w:r w:rsidRPr="000766F8">
        <w:rPr>
          <w:rFonts w:cs="Arial"/>
          <w:szCs w:val="20"/>
        </w:rPr>
        <w:t xml:space="preserve">Serum </w:t>
      </w:r>
      <w:proofErr w:type="gramStart"/>
      <w:r w:rsidRPr="000766F8">
        <w:rPr>
          <w:rFonts w:cs="Arial"/>
          <w:szCs w:val="20"/>
        </w:rPr>
        <w:t>creatinine;</w:t>
      </w:r>
      <w:proofErr w:type="gramEnd"/>
    </w:p>
    <w:p w14:paraId="45F3AF48" w14:textId="77777777" w:rsidR="00652E66" w:rsidRPr="000766F8" w:rsidRDefault="00652E66" w:rsidP="00652E66">
      <w:pPr>
        <w:pStyle w:val="ListParagraph"/>
        <w:numPr>
          <w:ilvl w:val="2"/>
          <w:numId w:val="22"/>
        </w:numPr>
        <w:ind w:left="1080"/>
        <w:rPr>
          <w:rFonts w:cs="Arial"/>
          <w:szCs w:val="20"/>
        </w:rPr>
      </w:pPr>
      <w:r w:rsidRPr="000766F8">
        <w:rPr>
          <w:rFonts w:cs="Arial"/>
          <w:szCs w:val="20"/>
        </w:rPr>
        <w:t xml:space="preserve">Complete blood count (CBC) including hemoglobin and platelets; </w:t>
      </w:r>
      <w:r w:rsidRPr="00782F60">
        <w:rPr>
          <w:rFonts w:cs="Arial"/>
          <w:b/>
          <w:bCs/>
          <w:szCs w:val="20"/>
        </w:rPr>
        <w:t>AND</w:t>
      </w:r>
    </w:p>
    <w:p w14:paraId="30983280" w14:textId="77777777" w:rsidR="00652E66" w:rsidRPr="000766F8" w:rsidRDefault="00652E66" w:rsidP="00652E66">
      <w:pPr>
        <w:pStyle w:val="ListParagraph"/>
        <w:numPr>
          <w:ilvl w:val="2"/>
          <w:numId w:val="22"/>
        </w:numPr>
        <w:ind w:left="1080"/>
        <w:rPr>
          <w:rFonts w:cs="Arial"/>
          <w:szCs w:val="20"/>
        </w:rPr>
      </w:pPr>
      <w:r w:rsidRPr="000766F8">
        <w:rPr>
          <w:rFonts w:cs="Arial"/>
          <w:szCs w:val="20"/>
        </w:rPr>
        <w:t>Troponin-I levels.</w:t>
      </w:r>
    </w:p>
    <w:p w14:paraId="59D62E11" w14:textId="77777777" w:rsidR="00652E66" w:rsidRDefault="00652E66" w:rsidP="00652E66">
      <w:pPr>
        <w:pStyle w:val="ListParagraph"/>
        <w:numPr>
          <w:ilvl w:val="1"/>
          <w:numId w:val="22"/>
        </w:numPr>
        <w:ind w:left="720"/>
        <w:rPr>
          <w:rFonts w:cs="Arial"/>
          <w:szCs w:val="20"/>
        </w:rPr>
      </w:pPr>
      <w:proofErr w:type="spellStart"/>
      <w:r w:rsidRPr="000766F8">
        <w:rPr>
          <w:rFonts w:cs="Arial"/>
          <w:szCs w:val="20"/>
        </w:rPr>
        <w:t>Zolgensma</w:t>
      </w:r>
      <w:proofErr w:type="spellEnd"/>
      <w:r w:rsidRPr="000766F8">
        <w:rPr>
          <w:rFonts w:cs="Arial"/>
          <w:szCs w:val="20"/>
        </w:rPr>
        <w:t xml:space="preserve"> approval is for </w:t>
      </w:r>
      <w:r>
        <w:rPr>
          <w:rFonts w:cs="Arial"/>
          <w:szCs w:val="20"/>
        </w:rPr>
        <w:t xml:space="preserve">one time administration of </w:t>
      </w:r>
      <w:r w:rsidRPr="000766F8">
        <w:rPr>
          <w:rFonts w:cs="Arial"/>
          <w:szCs w:val="20"/>
        </w:rPr>
        <w:t>one kit.</w:t>
      </w:r>
    </w:p>
    <w:p w14:paraId="42E2B574" w14:textId="77777777" w:rsidR="003312DA" w:rsidRDefault="003312DA" w:rsidP="003312DA">
      <w:pPr>
        <w:pStyle w:val="ListParagraph"/>
        <w:numPr>
          <w:ilvl w:val="0"/>
          <w:numId w:val="0"/>
        </w:numPr>
        <w:ind w:left="720"/>
        <w:rPr>
          <w:rFonts w:cs="Arial"/>
          <w:szCs w:val="20"/>
        </w:rPr>
      </w:pPr>
    </w:p>
    <w:p w14:paraId="313B4F73" w14:textId="31A7CCD3" w:rsidR="00350B96" w:rsidRPr="00350B96" w:rsidRDefault="003312DA" w:rsidP="00350B96">
      <w:pPr>
        <w:pStyle w:val="ListParagraph"/>
        <w:numPr>
          <w:ilvl w:val="0"/>
          <w:numId w:val="22"/>
        </w:numPr>
        <w:rPr>
          <w:rFonts w:cs="Arial"/>
          <w:b/>
          <w:bCs/>
          <w:color w:val="1F497D" w:themeColor="text2"/>
          <w:szCs w:val="20"/>
        </w:rPr>
      </w:pPr>
      <w:r w:rsidRPr="003312DA">
        <w:rPr>
          <w:rFonts w:cs="Arial"/>
          <w:b/>
          <w:bCs/>
          <w:color w:val="1F497D" w:themeColor="text2"/>
          <w:szCs w:val="20"/>
        </w:rPr>
        <w:t xml:space="preserve">Approval criteria for </w:t>
      </w:r>
      <w:proofErr w:type="spellStart"/>
      <w:r w:rsidRPr="003312DA">
        <w:rPr>
          <w:rFonts w:cs="Arial"/>
          <w:b/>
          <w:bCs/>
          <w:color w:val="1F497D" w:themeColor="text2"/>
          <w:szCs w:val="20"/>
        </w:rPr>
        <w:t>Itvisma</w:t>
      </w:r>
      <w:proofErr w:type="spellEnd"/>
      <w:r w:rsidRPr="003312DA">
        <w:rPr>
          <w:rFonts w:cs="Arial"/>
          <w:b/>
          <w:bCs/>
          <w:color w:val="1F497D" w:themeColor="text2"/>
          <w:szCs w:val="20"/>
        </w:rPr>
        <w:t>:</w:t>
      </w:r>
      <w:r w:rsidR="00350B96" w:rsidRPr="00350B96">
        <w:t xml:space="preserve"> </w:t>
      </w:r>
      <w:r w:rsidR="00350B96" w:rsidRPr="00350B96">
        <w:rPr>
          <w:rFonts w:cs="Arial"/>
          <w:b/>
          <w:bCs/>
          <w:color w:val="1F497D" w:themeColor="text2"/>
          <w:szCs w:val="20"/>
        </w:rPr>
        <w:t xml:space="preserve">Must meet </w:t>
      </w:r>
      <w:proofErr w:type="gramStart"/>
      <w:r w:rsidR="00350B96" w:rsidRPr="00350B96">
        <w:rPr>
          <w:rFonts w:cs="Arial"/>
          <w:b/>
          <w:bCs/>
          <w:color w:val="1F497D" w:themeColor="text2"/>
          <w:szCs w:val="20"/>
        </w:rPr>
        <w:t>all of</w:t>
      </w:r>
      <w:proofErr w:type="gramEnd"/>
      <w:r w:rsidR="00350B96" w:rsidRPr="00350B96">
        <w:rPr>
          <w:rFonts w:cs="Arial"/>
          <w:b/>
          <w:bCs/>
          <w:color w:val="1F497D" w:themeColor="text2"/>
          <w:szCs w:val="20"/>
        </w:rPr>
        <w:t xml:space="preserve"> the following:</w:t>
      </w:r>
    </w:p>
    <w:p w14:paraId="4B63B5A9" w14:textId="77777777" w:rsidR="00350B96" w:rsidRPr="00350B96" w:rsidRDefault="00350B96" w:rsidP="00350B96">
      <w:pPr>
        <w:pStyle w:val="ListParagraph"/>
        <w:numPr>
          <w:ilvl w:val="1"/>
          <w:numId w:val="22"/>
        </w:numPr>
        <w:ind w:left="720"/>
        <w:rPr>
          <w:rFonts w:cs="Arial"/>
          <w:b/>
          <w:bCs/>
          <w:color w:val="1F497D" w:themeColor="text2"/>
          <w:szCs w:val="20"/>
        </w:rPr>
      </w:pPr>
      <w:r w:rsidRPr="00350B96">
        <w:rPr>
          <w:rFonts w:cs="Arial"/>
          <w:b/>
          <w:bCs/>
          <w:color w:val="1F497D" w:themeColor="text2"/>
          <w:szCs w:val="20"/>
        </w:rPr>
        <w:t xml:space="preserve">Prescribed by or in consultation with a neurologist or other specialist in the treated disease </w:t>
      </w:r>
      <w:proofErr w:type="gramStart"/>
      <w:r w:rsidRPr="00350B96">
        <w:rPr>
          <w:rFonts w:cs="Arial"/>
          <w:b/>
          <w:bCs/>
          <w:color w:val="1F497D" w:themeColor="text2"/>
          <w:szCs w:val="20"/>
        </w:rPr>
        <w:t>state;</w:t>
      </w:r>
      <w:proofErr w:type="gramEnd"/>
    </w:p>
    <w:p w14:paraId="4B3CF34A" w14:textId="77777777" w:rsidR="00350B96" w:rsidRPr="00350B96" w:rsidRDefault="00350B96" w:rsidP="00350B96">
      <w:pPr>
        <w:pStyle w:val="ListParagraph"/>
        <w:numPr>
          <w:ilvl w:val="1"/>
          <w:numId w:val="22"/>
        </w:numPr>
        <w:ind w:left="720"/>
        <w:rPr>
          <w:rFonts w:cs="Arial"/>
          <w:b/>
          <w:bCs/>
          <w:color w:val="1F497D" w:themeColor="text2"/>
          <w:szCs w:val="20"/>
        </w:rPr>
      </w:pPr>
      <w:r w:rsidRPr="00350B96">
        <w:rPr>
          <w:rFonts w:cs="Arial"/>
          <w:b/>
          <w:bCs/>
          <w:color w:val="1F497D" w:themeColor="text2"/>
          <w:szCs w:val="20"/>
        </w:rPr>
        <w:t xml:space="preserve">Participant aged ≥ 2 years and &lt; 18 </w:t>
      </w:r>
      <w:proofErr w:type="gramStart"/>
      <w:r w:rsidRPr="00350B96">
        <w:rPr>
          <w:rFonts w:cs="Arial"/>
          <w:b/>
          <w:bCs/>
          <w:color w:val="1F497D" w:themeColor="text2"/>
          <w:szCs w:val="20"/>
        </w:rPr>
        <w:t>years;</w:t>
      </w:r>
      <w:proofErr w:type="gramEnd"/>
    </w:p>
    <w:p w14:paraId="7C4E4CC6" w14:textId="77777777" w:rsidR="00350B96" w:rsidRPr="00350B96" w:rsidRDefault="00350B96" w:rsidP="00350B96">
      <w:pPr>
        <w:pStyle w:val="ListParagraph"/>
        <w:numPr>
          <w:ilvl w:val="1"/>
          <w:numId w:val="22"/>
        </w:numPr>
        <w:ind w:left="720"/>
        <w:rPr>
          <w:rFonts w:cs="Arial"/>
          <w:b/>
          <w:bCs/>
          <w:color w:val="1F497D" w:themeColor="text2"/>
          <w:szCs w:val="20"/>
        </w:rPr>
      </w:pPr>
      <w:r w:rsidRPr="00350B96">
        <w:rPr>
          <w:rFonts w:cs="Arial"/>
          <w:b/>
          <w:bCs/>
          <w:color w:val="1F497D" w:themeColor="text2"/>
          <w:szCs w:val="20"/>
        </w:rPr>
        <w:t>Documented diagnosis of SMA including genetic tests of 5q13 demonstrating one of the following:</w:t>
      </w:r>
    </w:p>
    <w:p w14:paraId="62E44189" w14:textId="77777777" w:rsidR="00350B96" w:rsidRPr="00350B96" w:rsidRDefault="00350B96" w:rsidP="00350B96">
      <w:pPr>
        <w:pStyle w:val="ListParagraph"/>
        <w:numPr>
          <w:ilvl w:val="2"/>
          <w:numId w:val="22"/>
        </w:numPr>
        <w:ind w:left="1080"/>
        <w:rPr>
          <w:rFonts w:cs="Arial"/>
          <w:b/>
          <w:bCs/>
          <w:color w:val="1F497D" w:themeColor="text2"/>
          <w:szCs w:val="20"/>
        </w:rPr>
      </w:pPr>
      <w:r w:rsidRPr="00350B96">
        <w:rPr>
          <w:rFonts w:cs="Arial"/>
          <w:b/>
          <w:bCs/>
          <w:color w:val="1F497D" w:themeColor="text2"/>
          <w:szCs w:val="20"/>
        </w:rPr>
        <w:t>Homozygous SMN1 gene deletion or mutation; OR</w:t>
      </w:r>
    </w:p>
    <w:p w14:paraId="69B31D7A" w14:textId="77777777" w:rsidR="00350B96" w:rsidRPr="00350B96" w:rsidRDefault="00350B96" w:rsidP="00350B96">
      <w:pPr>
        <w:pStyle w:val="ListParagraph"/>
        <w:numPr>
          <w:ilvl w:val="2"/>
          <w:numId w:val="22"/>
        </w:numPr>
        <w:ind w:left="1080"/>
        <w:rPr>
          <w:rFonts w:cs="Arial"/>
          <w:b/>
          <w:bCs/>
          <w:color w:val="1F497D" w:themeColor="text2"/>
          <w:szCs w:val="20"/>
        </w:rPr>
      </w:pPr>
      <w:r w:rsidRPr="00350B96">
        <w:rPr>
          <w:rFonts w:cs="Arial"/>
          <w:b/>
          <w:bCs/>
          <w:color w:val="1F497D" w:themeColor="text2"/>
          <w:szCs w:val="20"/>
        </w:rPr>
        <w:t>Compound heterozygous SMN1 gene mutation; AND</w:t>
      </w:r>
    </w:p>
    <w:p w14:paraId="177EC310" w14:textId="77777777" w:rsidR="00350B96" w:rsidRPr="00350B96" w:rsidRDefault="00350B96" w:rsidP="00350B96">
      <w:pPr>
        <w:pStyle w:val="ListParagraph"/>
        <w:numPr>
          <w:ilvl w:val="1"/>
          <w:numId w:val="22"/>
        </w:numPr>
        <w:ind w:left="720"/>
        <w:rPr>
          <w:rFonts w:cs="Arial"/>
          <w:b/>
          <w:bCs/>
          <w:color w:val="1F497D" w:themeColor="text2"/>
          <w:szCs w:val="20"/>
        </w:rPr>
      </w:pPr>
      <w:r w:rsidRPr="00350B96">
        <w:rPr>
          <w:rFonts w:cs="Arial"/>
          <w:b/>
          <w:bCs/>
          <w:color w:val="1F497D" w:themeColor="text2"/>
          <w:szCs w:val="20"/>
        </w:rPr>
        <w:t xml:space="preserve">Documentation that participant is able to sit </w:t>
      </w:r>
      <w:proofErr w:type="gramStart"/>
      <w:r w:rsidRPr="00350B96">
        <w:rPr>
          <w:rFonts w:cs="Arial"/>
          <w:b/>
          <w:bCs/>
          <w:color w:val="1F497D" w:themeColor="text2"/>
          <w:szCs w:val="20"/>
        </w:rPr>
        <w:t>independently;</w:t>
      </w:r>
      <w:proofErr w:type="gramEnd"/>
      <w:r w:rsidRPr="00350B96">
        <w:rPr>
          <w:rFonts w:cs="Arial"/>
          <w:b/>
          <w:bCs/>
          <w:color w:val="1F497D" w:themeColor="text2"/>
          <w:szCs w:val="20"/>
        </w:rPr>
        <w:t xml:space="preserve"> </w:t>
      </w:r>
    </w:p>
    <w:p w14:paraId="750E0C4F" w14:textId="77777777" w:rsidR="00350B96" w:rsidRPr="00350B96" w:rsidRDefault="00350B96" w:rsidP="00350B96">
      <w:pPr>
        <w:pStyle w:val="ListParagraph"/>
        <w:numPr>
          <w:ilvl w:val="1"/>
          <w:numId w:val="22"/>
        </w:numPr>
        <w:ind w:left="720"/>
        <w:rPr>
          <w:rFonts w:cs="Arial"/>
          <w:b/>
          <w:bCs/>
          <w:color w:val="1F497D" w:themeColor="text2"/>
          <w:szCs w:val="20"/>
        </w:rPr>
      </w:pPr>
      <w:r w:rsidRPr="00350B96">
        <w:rPr>
          <w:rFonts w:cs="Arial"/>
          <w:b/>
          <w:bCs/>
          <w:color w:val="1F497D" w:themeColor="text2"/>
          <w:szCs w:val="20"/>
        </w:rPr>
        <w:t xml:space="preserve">Documentation that participant never had the ability to walk </w:t>
      </w:r>
      <w:proofErr w:type="gramStart"/>
      <w:r w:rsidRPr="00350B96">
        <w:rPr>
          <w:rFonts w:cs="Arial"/>
          <w:b/>
          <w:bCs/>
          <w:color w:val="1F497D" w:themeColor="text2"/>
          <w:szCs w:val="20"/>
        </w:rPr>
        <w:t>independently;</w:t>
      </w:r>
      <w:proofErr w:type="gramEnd"/>
    </w:p>
    <w:p w14:paraId="36FB2830" w14:textId="77777777" w:rsidR="00350B96" w:rsidRPr="00350B96" w:rsidRDefault="00350B96" w:rsidP="00350B96">
      <w:pPr>
        <w:pStyle w:val="ListParagraph"/>
        <w:numPr>
          <w:ilvl w:val="1"/>
          <w:numId w:val="22"/>
        </w:numPr>
        <w:ind w:left="720"/>
        <w:rPr>
          <w:rFonts w:cs="Arial"/>
          <w:b/>
          <w:bCs/>
          <w:color w:val="1F497D" w:themeColor="text2"/>
          <w:szCs w:val="20"/>
        </w:rPr>
      </w:pPr>
      <w:r w:rsidRPr="00350B96">
        <w:rPr>
          <w:rFonts w:cs="Arial"/>
          <w:b/>
          <w:bCs/>
          <w:color w:val="1F497D" w:themeColor="text2"/>
          <w:szCs w:val="20"/>
        </w:rPr>
        <w:t xml:space="preserve">Documented anti-AAV9 antibody titers of ≤ 1:50 measured by ELISA at time of </w:t>
      </w:r>
      <w:proofErr w:type="gramStart"/>
      <w:r w:rsidRPr="00350B96">
        <w:rPr>
          <w:rFonts w:cs="Arial"/>
          <w:b/>
          <w:bCs/>
          <w:color w:val="1F497D" w:themeColor="text2"/>
          <w:szCs w:val="20"/>
        </w:rPr>
        <w:t>treatment;</w:t>
      </w:r>
      <w:proofErr w:type="gramEnd"/>
      <w:r w:rsidRPr="00350B96">
        <w:rPr>
          <w:rFonts w:cs="Arial"/>
          <w:b/>
          <w:bCs/>
          <w:color w:val="1F497D" w:themeColor="text2"/>
          <w:szCs w:val="20"/>
        </w:rPr>
        <w:t xml:space="preserve"> </w:t>
      </w:r>
    </w:p>
    <w:p w14:paraId="5C418C15" w14:textId="77777777" w:rsidR="00350B96" w:rsidRPr="00350B96" w:rsidRDefault="00350B96" w:rsidP="00350B96">
      <w:pPr>
        <w:pStyle w:val="ListParagraph"/>
        <w:numPr>
          <w:ilvl w:val="1"/>
          <w:numId w:val="22"/>
        </w:numPr>
        <w:ind w:left="720"/>
        <w:rPr>
          <w:rFonts w:cs="Arial"/>
          <w:b/>
          <w:bCs/>
          <w:color w:val="1F497D" w:themeColor="text2"/>
          <w:szCs w:val="20"/>
        </w:rPr>
      </w:pPr>
      <w:r w:rsidRPr="00350B96">
        <w:rPr>
          <w:rFonts w:cs="Arial"/>
          <w:b/>
          <w:bCs/>
          <w:color w:val="1F497D" w:themeColor="text2"/>
          <w:szCs w:val="20"/>
        </w:rPr>
        <w:t>Documented completion of all the following baseline assessments:</w:t>
      </w:r>
    </w:p>
    <w:p w14:paraId="59A7E8E1" w14:textId="77777777" w:rsidR="00350B96" w:rsidRPr="00350B96" w:rsidRDefault="00350B96" w:rsidP="00350B96">
      <w:pPr>
        <w:pStyle w:val="ListParagraph"/>
        <w:numPr>
          <w:ilvl w:val="2"/>
          <w:numId w:val="22"/>
        </w:numPr>
        <w:ind w:left="1080"/>
        <w:rPr>
          <w:rFonts w:cs="Arial"/>
          <w:b/>
          <w:bCs/>
          <w:color w:val="1F497D" w:themeColor="text2"/>
          <w:szCs w:val="20"/>
        </w:rPr>
      </w:pPr>
      <w:r w:rsidRPr="00350B96">
        <w:rPr>
          <w:rFonts w:cs="Arial"/>
          <w:b/>
          <w:bCs/>
          <w:color w:val="1F497D" w:themeColor="text2"/>
          <w:szCs w:val="20"/>
        </w:rPr>
        <w:t>Liver function tests (AST, ALT, total bilirubin, and prothrombin time</w:t>
      </w:r>
      <w:proofErr w:type="gramStart"/>
      <w:r w:rsidRPr="00350B96">
        <w:rPr>
          <w:rFonts w:cs="Arial"/>
          <w:b/>
          <w:bCs/>
          <w:color w:val="1F497D" w:themeColor="text2"/>
          <w:szCs w:val="20"/>
        </w:rPr>
        <w:t>);</w:t>
      </w:r>
      <w:proofErr w:type="gramEnd"/>
    </w:p>
    <w:p w14:paraId="199DE51E" w14:textId="77777777" w:rsidR="00350B96" w:rsidRPr="00350B96" w:rsidRDefault="00350B96" w:rsidP="00350B96">
      <w:pPr>
        <w:pStyle w:val="ListParagraph"/>
        <w:numPr>
          <w:ilvl w:val="2"/>
          <w:numId w:val="22"/>
        </w:numPr>
        <w:ind w:left="1080"/>
        <w:rPr>
          <w:rFonts w:cs="Arial"/>
          <w:b/>
          <w:bCs/>
          <w:color w:val="1F497D" w:themeColor="text2"/>
          <w:szCs w:val="20"/>
        </w:rPr>
      </w:pPr>
      <w:r w:rsidRPr="00350B96">
        <w:rPr>
          <w:rFonts w:cs="Arial"/>
          <w:b/>
          <w:bCs/>
          <w:color w:val="1F497D" w:themeColor="text2"/>
          <w:szCs w:val="20"/>
        </w:rPr>
        <w:t xml:space="preserve">Serum </w:t>
      </w:r>
      <w:proofErr w:type="gramStart"/>
      <w:r w:rsidRPr="00350B96">
        <w:rPr>
          <w:rFonts w:cs="Arial"/>
          <w:b/>
          <w:bCs/>
          <w:color w:val="1F497D" w:themeColor="text2"/>
          <w:szCs w:val="20"/>
        </w:rPr>
        <w:t>creatinine;</w:t>
      </w:r>
      <w:proofErr w:type="gramEnd"/>
    </w:p>
    <w:p w14:paraId="596B8085" w14:textId="77777777" w:rsidR="00350B96" w:rsidRPr="00350B96" w:rsidRDefault="00350B96" w:rsidP="00350B96">
      <w:pPr>
        <w:pStyle w:val="ListParagraph"/>
        <w:numPr>
          <w:ilvl w:val="2"/>
          <w:numId w:val="22"/>
        </w:numPr>
        <w:ind w:left="1080"/>
        <w:rPr>
          <w:rFonts w:cs="Arial"/>
          <w:b/>
          <w:bCs/>
          <w:color w:val="1F497D" w:themeColor="text2"/>
          <w:szCs w:val="20"/>
        </w:rPr>
      </w:pPr>
      <w:r w:rsidRPr="00350B96">
        <w:rPr>
          <w:rFonts w:cs="Arial"/>
          <w:b/>
          <w:bCs/>
          <w:color w:val="1F497D" w:themeColor="text2"/>
          <w:szCs w:val="20"/>
        </w:rPr>
        <w:t xml:space="preserve">Complete blood count (CBC) including hemoglobin and </w:t>
      </w:r>
      <w:proofErr w:type="gramStart"/>
      <w:r w:rsidRPr="00350B96">
        <w:rPr>
          <w:rFonts w:cs="Arial"/>
          <w:b/>
          <w:bCs/>
          <w:color w:val="1F497D" w:themeColor="text2"/>
          <w:szCs w:val="20"/>
        </w:rPr>
        <w:t>platelets;</w:t>
      </w:r>
      <w:proofErr w:type="gramEnd"/>
      <w:r w:rsidRPr="00350B96">
        <w:rPr>
          <w:rFonts w:cs="Arial"/>
          <w:b/>
          <w:bCs/>
          <w:color w:val="1F497D" w:themeColor="text2"/>
          <w:szCs w:val="20"/>
        </w:rPr>
        <w:t xml:space="preserve"> </w:t>
      </w:r>
    </w:p>
    <w:p w14:paraId="0C2E593E" w14:textId="77777777" w:rsidR="00350B96" w:rsidRPr="00350B96" w:rsidRDefault="00350B96" w:rsidP="00350B96">
      <w:pPr>
        <w:pStyle w:val="ListParagraph"/>
        <w:numPr>
          <w:ilvl w:val="2"/>
          <w:numId w:val="22"/>
        </w:numPr>
        <w:ind w:left="1080"/>
        <w:rPr>
          <w:rFonts w:cs="Arial"/>
          <w:b/>
          <w:bCs/>
          <w:color w:val="1F497D" w:themeColor="text2"/>
          <w:szCs w:val="20"/>
        </w:rPr>
      </w:pPr>
      <w:r w:rsidRPr="00350B96">
        <w:rPr>
          <w:rFonts w:cs="Arial"/>
          <w:b/>
          <w:bCs/>
          <w:color w:val="1F497D" w:themeColor="text2"/>
          <w:szCs w:val="20"/>
        </w:rPr>
        <w:t xml:space="preserve">Troponin-I </w:t>
      </w:r>
      <w:proofErr w:type="gramStart"/>
      <w:r w:rsidRPr="00350B96">
        <w:rPr>
          <w:rFonts w:cs="Arial"/>
          <w:b/>
          <w:bCs/>
          <w:color w:val="1F497D" w:themeColor="text2"/>
          <w:szCs w:val="20"/>
        </w:rPr>
        <w:t>levels;</w:t>
      </w:r>
      <w:proofErr w:type="gramEnd"/>
    </w:p>
    <w:p w14:paraId="69225AB7" w14:textId="6AB4A2B4" w:rsidR="00350B96" w:rsidRPr="00350B96" w:rsidRDefault="00350B96" w:rsidP="00350B96">
      <w:pPr>
        <w:pStyle w:val="ListParagraph"/>
        <w:numPr>
          <w:ilvl w:val="2"/>
          <w:numId w:val="22"/>
        </w:numPr>
        <w:ind w:left="1080"/>
        <w:rPr>
          <w:rFonts w:cs="Arial"/>
          <w:b/>
          <w:bCs/>
          <w:color w:val="1F497D" w:themeColor="text2"/>
          <w:szCs w:val="20"/>
        </w:rPr>
      </w:pPr>
      <w:r w:rsidRPr="00350B96">
        <w:rPr>
          <w:rFonts w:cs="Arial"/>
          <w:b/>
          <w:bCs/>
          <w:color w:val="1F497D" w:themeColor="text2"/>
          <w:szCs w:val="20"/>
        </w:rPr>
        <w:t>Pulmonary Function Assessment</w:t>
      </w:r>
      <w:r w:rsidR="00DA7307">
        <w:rPr>
          <w:rFonts w:cs="Arial"/>
          <w:b/>
          <w:bCs/>
          <w:color w:val="1F497D" w:themeColor="text2"/>
          <w:szCs w:val="20"/>
        </w:rPr>
        <w:t xml:space="preserve"> (for participants age</w:t>
      </w:r>
      <w:r w:rsidR="002C27ED">
        <w:rPr>
          <w:rFonts w:cs="Arial"/>
          <w:b/>
          <w:bCs/>
          <w:color w:val="1F497D" w:themeColor="text2"/>
          <w:szCs w:val="20"/>
        </w:rPr>
        <w:t xml:space="preserve"> 5 and older)</w:t>
      </w:r>
      <w:r w:rsidRPr="00350B96">
        <w:rPr>
          <w:rFonts w:cs="Arial"/>
          <w:b/>
          <w:bCs/>
          <w:color w:val="1F497D" w:themeColor="text2"/>
          <w:szCs w:val="20"/>
        </w:rPr>
        <w:t>; AND</w:t>
      </w:r>
    </w:p>
    <w:p w14:paraId="65FF0B59" w14:textId="77777777" w:rsidR="00350B96" w:rsidRPr="00350B96" w:rsidRDefault="00350B96" w:rsidP="00350B96">
      <w:pPr>
        <w:pStyle w:val="ListParagraph"/>
        <w:numPr>
          <w:ilvl w:val="1"/>
          <w:numId w:val="22"/>
        </w:numPr>
        <w:ind w:left="720"/>
        <w:rPr>
          <w:rFonts w:cs="Arial"/>
          <w:b/>
          <w:bCs/>
          <w:color w:val="1F497D" w:themeColor="text2"/>
          <w:szCs w:val="20"/>
        </w:rPr>
      </w:pPr>
      <w:r w:rsidRPr="00350B96">
        <w:rPr>
          <w:rFonts w:cs="Arial"/>
          <w:b/>
          <w:bCs/>
          <w:color w:val="1F497D" w:themeColor="text2"/>
          <w:szCs w:val="20"/>
        </w:rPr>
        <w:t xml:space="preserve">If treatment-naïve (no history of paid claim for </w:t>
      </w:r>
      <w:proofErr w:type="spellStart"/>
      <w:r w:rsidRPr="00350B96">
        <w:rPr>
          <w:rFonts w:cs="Arial"/>
          <w:b/>
          <w:bCs/>
          <w:color w:val="1F497D" w:themeColor="text2"/>
          <w:szCs w:val="20"/>
        </w:rPr>
        <w:t>Spinraza</w:t>
      </w:r>
      <w:proofErr w:type="spellEnd"/>
      <w:r w:rsidRPr="00350B96">
        <w:rPr>
          <w:rFonts w:cs="Arial"/>
          <w:b/>
          <w:bCs/>
          <w:color w:val="1F497D" w:themeColor="text2"/>
          <w:szCs w:val="20"/>
        </w:rPr>
        <w:t xml:space="preserve"> or </w:t>
      </w:r>
      <w:proofErr w:type="spellStart"/>
      <w:r w:rsidRPr="00350B96">
        <w:rPr>
          <w:rFonts w:cs="Arial"/>
          <w:b/>
          <w:bCs/>
          <w:color w:val="1F497D" w:themeColor="text2"/>
          <w:szCs w:val="20"/>
        </w:rPr>
        <w:t>Evrysdi</w:t>
      </w:r>
      <w:proofErr w:type="spellEnd"/>
      <w:r w:rsidRPr="00350B96">
        <w:rPr>
          <w:rFonts w:cs="Arial"/>
          <w:b/>
          <w:bCs/>
          <w:color w:val="1F497D" w:themeColor="text2"/>
          <w:szCs w:val="20"/>
        </w:rPr>
        <w:t xml:space="preserve">): documentation of symptom onset began between 6 months and 18 months of </w:t>
      </w:r>
      <w:proofErr w:type="gramStart"/>
      <w:r w:rsidRPr="00350B96">
        <w:rPr>
          <w:rFonts w:cs="Arial"/>
          <w:b/>
          <w:bCs/>
          <w:color w:val="1F497D" w:themeColor="text2"/>
          <w:szCs w:val="20"/>
        </w:rPr>
        <w:t>age;</w:t>
      </w:r>
      <w:proofErr w:type="gramEnd"/>
    </w:p>
    <w:p w14:paraId="0463529E" w14:textId="114455D1" w:rsidR="00350B96" w:rsidRPr="00350B96" w:rsidRDefault="00350B96" w:rsidP="00350B96">
      <w:pPr>
        <w:pStyle w:val="ListParagraph"/>
        <w:numPr>
          <w:ilvl w:val="1"/>
          <w:numId w:val="22"/>
        </w:numPr>
        <w:ind w:left="720"/>
        <w:rPr>
          <w:rFonts w:cs="Arial"/>
          <w:b/>
          <w:bCs/>
          <w:color w:val="1F497D" w:themeColor="text2"/>
          <w:szCs w:val="20"/>
        </w:rPr>
      </w:pPr>
      <w:r w:rsidRPr="00350B96">
        <w:rPr>
          <w:rFonts w:cs="Arial"/>
          <w:b/>
          <w:bCs/>
          <w:color w:val="1F497D" w:themeColor="text2"/>
          <w:szCs w:val="20"/>
        </w:rPr>
        <w:t>Must provide one of the</w:t>
      </w:r>
      <w:r w:rsidR="002C27ED">
        <w:rPr>
          <w:rFonts w:cs="Arial"/>
          <w:b/>
          <w:bCs/>
          <w:color w:val="1F497D" w:themeColor="text2"/>
          <w:szCs w:val="20"/>
        </w:rPr>
        <w:t xml:space="preserve"> following</w:t>
      </w:r>
      <w:r w:rsidR="002262E8">
        <w:rPr>
          <w:rFonts w:cs="Arial"/>
          <w:b/>
          <w:bCs/>
          <w:color w:val="1F497D" w:themeColor="text2"/>
          <w:szCs w:val="20"/>
        </w:rPr>
        <w:t xml:space="preserve"> </w:t>
      </w:r>
      <w:r w:rsidR="00AF77AF">
        <w:rPr>
          <w:rFonts w:cs="Arial"/>
          <w:b/>
          <w:bCs/>
          <w:color w:val="1F497D" w:themeColor="text2"/>
          <w:szCs w:val="20"/>
        </w:rPr>
        <w:t>(must be</w:t>
      </w:r>
      <w:r w:rsidR="002262E8">
        <w:rPr>
          <w:rFonts w:cs="Arial"/>
          <w:b/>
          <w:bCs/>
          <w:color w:val="1F497D" w:themeColor="text2"/>
          <w:szCs w:val="20"/>
        </w:rPr>
        <w:t xml:space="preserve"> appropriate for the participant’s</w:t>
      </w:r>
      <w:r w:rsidR="002C27ED">
        <w:rPr>
          <w:rFonts w:cs="Arial"/>
          <w:b/>
          <w:bCs/>
          <w:color w:val="1F497D" w:themeColor="text2"/>
          <w:szCs w:val="20"/>
        </w:rPr>
        <w:t xml:space="preserve"> age</w:t>
      </w:r>
      <w:r w:rsidR="00AF77AF">
        <w:rPr>
          <w:rFonts w:cs="Arial"/>
          <w:b/>
          <w:bCs/>
          <w:color w:val="1F497D" w:themeColor="text2"/>
          <w:szCs w:val="20"/>
        </w:rPr>
        <w:t>)</w:t>
      </w:r>
      <w:r w:rsidRPr="00350B96">
        <w:rPr>
          <w:rFonts w:cs="Arial"/>
          <w:b/>
          <w:bCs/>
          <w:color w:val="1F497D" w:themeColor="text2"/>
          <w:szCs w:val="20"/>
        </w:rPr>
        <w:t>:</w:t>
      </w:r>
    </w:p>
    <w:p w14:paraId="71651F7B" w14:textId="77777777" w:rsidR="00350B96" w:rsidRPr="00350B96" w:rsidRDefault="00350B96" w:rsidP="00350B96">
      <w:pPr>
        <w:pStyle w:val="ListParagraph"/>
        <w:numPr>
          <w:ilvl w:val="2"/>
          <w:numId w:val="22"/>
        </w:numPr>
        <w:ind w:left="1080"/>
        <w:rPr>
          <w:rFonts w:cs="Arial"/>
          <w:b/>
          <w:bCs/>
          <w:color w:val="1F497D" w:themeColor="text2"/>
          <w:szCs w:val="20"/>
        </w:rPr>
      </w:pPr>
      <w:r w:rsidRPr="00350B96">
        <w:rPr>
          <w:rFonts w:cs="Arial"/>
          <w:b/>
          <w:bCs/>
          <w:color w:val="1F497D" w:themeColor="text2"/>
          <w:szCs w:val="20"/>
        </w:rPr>
        <w:t>Children's Hospital of Philadelphia Infant Test of Neuromuscular Disorders (CHOP-INTEND</w:t>
      </w:r>
      <w:proofErr w:type="gramStart"/>
      <w:r w:rsidRPr="00350B96">
        <w:rPr>
          <w:rFonts w:cs="Arial"/>
          <w:b/>
          <w:bCs/>
          <w:color w:val="1F497D" w:themeColor="text2"/>
          <w:szCs w:val="20"/>
        </w:rPr>
        <w:t>);</w:t>
      </w:r>
      <w:proofErr w:type="gramEnd"/>
    </w:p>
    <w:p w14:paraId="4F75B8B4" w14:textId="77777777" w:rsidR="00350B96" w:rsidRPr="00350B96" w:rsidRDefault="00350B96" w:rsidP="00350B96">
      <w:pPr>
        <w:pStyle w:val="ListParagraph"/>
        <w:numPr>
          <w:ilvl w:val="2"/>
          <w:numId w:val="22"/>
        </w:numPr>
        <w:ind w:left="1080"/>
        <w:rPr>
          <w:rFonts w:cs="Arial"/>
          <w:b/>
          <w:bCs/>
          <w:color w:val="1F497D" w:themeColor="text2"/>
          <w:szCs w:val="20"/>
        </w:rPr>
      </w:pPr>
      <w:r w:rsidRPr="00350B96">
        <w:rPr>
          <w:rFonts w:cs="Arial"/>
          <w:b/>
          <w:bCs/>
          <w:color w:val="1F497D" w:themeColor="text2"/>
          <w:szCs w:val="20"/>
        </w:rPr>
        <w:t>Hammersmith Functional Motor Scale – Expanded (HFMSE</w:t>
      </w:r>
      <w:proofErr w:type="gramStart"/>
      <w:r w:rsidRPr="00350B96">
        <w:rPr>
          <w:rFonts w:cs="Arial"/>
          <w:b/>
          <w:bCs/>
          <w:color w:val="1F497D" w:themeColor="text2"/>
          <w:szCs w:val="20"/>
        </w:rPr>
        <w:t>);</w:t>
      </w:r>
      <w:proofErr w:type="gramEnd"/>
    </w:p>
    <w:p w14:paraId="723BB784" w14:textId="77777777" w:rsidR="00350B96" w:rsidRPr="00350B96" w:rsidRDefault="00350B96" w:rsidP="00350B96">
      <w:pPr>
        <w:pStyle w:val="ListParagraph"/>
        <w:numPr>
          <w:ilvl w:val="2"/>
          <w:numId w:val="22"/>
        </w:numPr>
        <w:ind w:left="1080"/>
        <w:rPr>
          <w:rFonts w:cs="Arial"/>
          <w:b/>
          <w:bCs/>
          <w:color w:val="1F497D" w:themeColor="text2"/>
          <w:szCs w:val="20"/>
        </w:rPr>
      </w:pPr>
      <w:r w:rsidRPr="00350B96">
        <w:rPr>
          <w:rFonts w:cs="Arial"/>
          <w:b/>
          <w:bCs/>
          <w:color w:val="1F497D" w:themeColor="text2"/>
          <w:szCs w:val="20"/>
        </w:rPr>
        <w:t>Revised Upper Limb Module (RULM) or Upper Limb Module (ULM).</w:t>
      </w:r>
    </w:p>
    <w:p w14:paraId="77FC32E5" w14:textId="77777777" w:rsidR="00350B96" w:rsidRPr="00350B96" w:rsidRDefault="00350B96" w:rsidP="00350B96">
      <w:pPr>
        <w:pStyle w:val="ListParagraph"/>
        <w:numPr>
          <w:ilvl w:val="1"/>
          <w:numId w:val="22"/>
        </w:numPr>
        <w:ind w:left="720"/>
        <w:rPr>
          <w:rFonts w:cs="Arial"/>
          <w:b/>
          <w:bCs/>
          <w:color w:val="1F497D" w:themeColor="text2"/>
          <w:szCs w:val="20"/>
        </w:rPr>
      </w:pPr>
      <w:proofErr w:type="spellStart"/>
      <w:r w:rsidRPr="00350B96">
        <w:rPr>
          <w:rFonts w:cs="Arial"/>
          <w:b/>
          <w:bCs/>
          <w:color w:val="1F497D" w:themeColor="text2"/>
          <w:szCs w:val="20"/>
        </w:rPr>
        <w:t>Itvisma</w:t>
      </w:r>
      <w:proofErr w:type="spellEnd"/>
      <w:r w:rsidRPr="00350B96">
        <w:rPr>
          <w:rFonts w:cs="Arial"/>
          <w:b/>
          <w:bCs/>
          <w:color w:val="1F497D" w:themeColor="text2"/>
          <w:szCs w:val="20"/>
        </w:rPr>
        <w:t xml:space="preserve"> approval is for one time administration of one kit.</w:t>
      </w:r>
    </w:p>
    <w:p w14:paraId="1B509DCA" w14:textId="77777777" w:rsidR="00635DDB" w:rsidRPr="002C2C41" w:rsidRDefault="00635DDB" w:rsidP="00635DDB">
      <w:pPr>
        <w:rPr>
          <w:rFonts w:cs="Arial"/>
          <w:szCs w:val="20"/>
        </w:rPr>
      </w:pPr>
    </w:p>
    <w:p w14:paraId="103CBBB2" w14:textId="77B0E45A" w:rsidR="00BE0CA5" w:rsidRPr="001E2EF3" w:rsidRDefault="00BE0CA5" w:rsidP="00BE0CA5">
      <w:pPr>
        <w:tabs>
          <w:tab w:val="left" w:pos="720"/>
        </w:tabs>
        <w:rPr>
          <w:rFonts w:cs="Arial"/>
          <w:b/>
          <w:bCs/>
          <w:szCs w:val="20"/>
        </w:rPr>
      </w:pPr>
      <w:r w:rsidRPr="001E2EF3">
        <w:rPr>
          <w:rFonts w:cs="Arial"/>
          <w:b/>
          <w:bCs/>
          <w:szCs w:val="20"/>
        </w:rPr>
        <w:t xml:space="preserve">Continuation of Therapy for </w:t>
      </w:r>
      <w:proofErr w:type="spellStart"/>
      <w:r w:rsidRPr="001E2EF3">
        <w:rPr>
          <w:rFonts w:cs="Arial"/>
          <w:b/>
          <w:bCs/>
          <w:szCs w:val="20"/>
        </w:rPr>
        <w:t>Evrysdi</w:t>
      </w:r>
      <w:proofErr w:type="spellEnd"/>
      <w:r w:rsidRPr="001E2EF3">
        <w:rPr>
          <w:rFonts w:cs="Arial"/>
          <w:b/>
          <w:bCs/>
          <w:szCs w:val="20"/>
        </w:rPr>
        <w:t xml:space="preserve"> or </w:t>
      </w:r>
      <w:proofErr w:type="spellStart"/>
      <w:r w:rsidRPr="001E2EF3">
        <w:rPr>
          <w:rFonts w:cs="Arial"/>
          <w:b/>
          <w:bCs/>
          <w:szCs w:val="20"/>
        </w:rPr>
        <w:t>Spinraza</w:t>
      </w:r>
      <w:proofErr w:type="spellEnd"/>
      <w:r w:rsidR="001710F2" w:rsidRPr="001E2EF3">
        <w:rPr>
          <w:rFonts w:cs="Arial"/>
          <w:b/>
          <w:bCs/>
          <w:szCs w:val="20"/>
        </w:rPr>
        <w:t>:</w:t>
      </w:r>
    </w:p>
    <w:p w14:paraId="04F957FC" w14:textId="77777777" w:rsidR="00BE0CA5" w:rsidRDefault="00BE0CA5" w:rsidP="00BE0CA5">
      <w:pPr>
        <w:pStyle w:val="ListParagraph"/>
        <w:numPr>
          <w:ilvl w:val="0"/>
          <w:numId w:val="24"/>
        </w:numPr>
        <w:tabs>
          <w:tab w:val="left" w:pos="720"/>
        </w:tabs>
        <w:rPr>
          <w:rFonts w:cs="Arial"/>
          <w:szCs w:val="20"/>
        </w:rPr>
      </w:pPr>
      <w:r>
        <w:rPr>
          <w:rFonts w:cs="Arial"/>
          <w:szCs w:val="20"/>
        </w:rPr>
        <w:t xml:space="preserve">Must meet </w:t>
      </w:r>
      <w:proofErr w:type="gramStart"/>
      <w:r>
        <w:rPr>
          <w:rFonts w:cs="Arial"/>
          <w:szCs w:val="20"/>
        </w:rPr>
        <w:t>all of</w:t>
      </w:r>
      <w:proofErr w:type="gramEnd"/>
      <w:r>
        <w:rPr>
          <w:rFonts w:cs="Arial"/>
          <w:szCs w:val="20"/>
        </w:rPr>
        <w:t xml:space="preserve"> the following:</w:t>
      </w:r>
    </w:p>
    <w:p w14:paraId="6CB11A7D" w14:textId="77777777" w:rsidR="00BE0CA5" w:rsidRPr="00BE0A72" w:rsidRDefault="00BE0CA5" w:rsidP="00BE0CA5">
      <w:pPr>
        <w:pStyle w:val="ListParagraph"/>
        <w:numPr>
          <w:ilvl w:val="1"/>
          <w:numId w:val="24"/>
        </w:numPr>
        <w:tabs>
          <w:tab w:val="left" w:pos="720"/>
        </w:tabs>
        <w:rPr>
          <w:rFonts w:cs="Arial"/>
          <w:szCs w:val="20"/>
        </w:rPr>
      </w:pPr>
      <w:r w:rsidRPr="00BE0A72">
        <w:rPr>
          <w:rFonts w:cs="Arial"/>
          <w:bCs/>
          <w:szCs w:val="20"/>
        </w:rPr>
        <w:t>Documented compliance on current therapy regimen</w:t>
      </w:r>
      <w:r>
        <w:rPr>
          <w:rFonts w:cs="Arial"/>
          <w:bCs/>
          <w:szCs w:val="20"/>
        </w:rPr>
        <w:t>;</w:t>
      </w:r>
      <w:r w:rsidRPr="00BE0A72">
        <w:rPr>
          <w:rFonts w:cs="Arial"/>
          <w:bCs/>
          <w:szCs w:val="20"/>
        </w:rPr>
        <w:t xml:space="preserve"> </w:t>
      </w:r>
      <w:r w:rsidRPr="00BE0A72">
        <w:rPr>
          <w:rFonts w:cs="Arial"/>
          <w:b/>
          <w:bCs/>
          <w:szCs w:val="20"/>
        </w:rPr>
        <w:t>AND</w:t>
      </w:r>
    </w:p>
    <w:p w14:paraId="6152133C" w14:textId="77777777" w:rsidR="00BE0CA5" w:rsidRPr="00531EA4" w:rsidRDefault="00BE0CA5" w:rsidP="00BE0CA5">
      <w:pPr>
        <w:pStyle w:val="ListParagraph"/>
        <w:numPr>
          <w:ilvl w:val="1"/>
          <w:numId w:val="24"/>
        </w:numPr>
        <w:tabs>
          <w:tab w:val="left" w:pos="720"/>
        </w:tabs>
        <w:rPr>
          <w:rFonts w:cs="Arial"/>
          <w:szCs w:val="20"/>
        </w:rPr>
      </w:pPr>
      <w:r w:rsidRPr="00BE0A72">
        <w:rPr>
          <w:rFonts w:cs="Arial"/>
          <w:bCs/>
          <w:szCs w:val="20"/>
        </w:rPr>
        <w:t>Documentation of benefit from therapy</w:t>
      </w:r>
      <w:r>
        <w:rPr>
          <w:rFonts w:cs="Arial"/>
          <w:bCs/>
          <w:szCs w:val="20"/>
        </w:rPr>
        <w:t>, defined as</w:t>
      </w:r>
      <w:r w:rsidRPr="00BE0A72">
        <w:rPr>
          <w:rFonts w:cs="Arial"/>
          <w:bCs/>
          <w:szCs w:val="20"/>
        </w:rPr>
        <w:t>:</w:t>
      </w:r>
    </w:p>
    <w:p w14:paraId="24B8DF4E" w14:textId="77777777" w:rsidR="00BE0CA5" w:rsidRPr="00531EA4" w:rsidRDefault="00BE0CA5" w:rsidP="00BE0CA5">
      <w:pPr>
        <w:pStyle w:val="ListParagraph"/>
        <w:numPr>
          <w:ilvl w:val="2"/>
          <w:numId w:val="24"/>
        </w:numPr>
        <w:tabs>
          <w:tab w:val="left" w:pos="720"/>
        </w:tabs>
        <w:rPr>
          <w:rFonts w:cs="Arial"/>
          <w:szCs w:val="20"/>
        </w:rPr>
      </w:pPr>
      <w:r w:rsidRPr="00531EA4">
        <w:rPr>
          <w:rFonts w:cs="Arial"/>
          <w:bCs/>
          <w:szCs w:val="20"/>
        </w:rPr>
        <w:t>Improvement or maintenance of functional status from baseline functional tests (HFMSE or HINE-2, Pulmonary status, and MFM-32, 6MWT, or RULM</w:t>
      </w:r>
      <w:proofErr w:type="gramStart"/>
      <w:r w:rsidRPr="00531EA4">
        <w:rPr>
          <w:rFonts w:cs="Arial"/>
          <w:bCs/>
          <w:szCs w:val="20"/>
        </w:rPr>
        <w:t>)</w:t>
      </w:r>
      <w:r>
        <w:rPr>
          <w:rFonts w:cs="Arial"/>
          <w:bCs/>
          <w:szCs w:val="20"/>
        </w:rPr>
        <w:t>;</w:t>
      </w:r>
      <w:proofErr w:type="gramEnd"/>
      <w:r w:rsidRPr="00531EA4">
        <w:rPr>
          <w:rFonts w:cs="Arial"/>
          <w:bCs/>
          <w:szCs w:val="20"/>
        </w:rPr>
        <w:t xml:space="preserve"> </w:t>
      </w:r>
    </w:p>
    <w:p w14:paraId="635B8C80" w14:textId="77777777" w:rsidR="00BE0CA5" w:rsidRPr="00531EA4" w:rsidRDefault="00BE0CA5" w:rsidP="00BE0CA5">
      <w:pPr>
        <w:pStyle w:val="ListParagraph"/>
        <w:numPr>
          <w:ilvl w:val="2"/>
          <w:numId w:val="24"/>
        </w:numPr>
        <w:tabs>
          <w:tab w:val="left" w:pos="720"/>
        </w:tabs>
        <w:rPr>
          <w:rFonts w:cs="Arial"/>
          <w:szCs w:val="20"/>
        </w:rPr>
      </w:pPr>
      <w:r w:rsidRPr="00531EA4">
        <w:rPr>
          <w:rFonts w:cs="Arial"/>
          <w:bCs/>
          <w:szCs w:val="20"/>
        </w:rPr>
        <w:t>Achievement and maintenance of new motor milestones from pretreatment baseline functional tests (HFMSE or HINE-2 and Pulmonary status)</w:t>
      </w:r>
      <w:r>
        <w:rPr>
          <w:rFonts w:cs="Arial"/>
          <w:bCs/>
          <w:szCs w:val="20"/>
        </w:rPr>
        <w:t>;</w:t>
      </w:r>
      <w:r w:rsidRPr="00531EA4">
        <w:rPr>
          <w:rFonts w:cs="Arial"/>
          <w:bCs/>
          <w:szCs w:val="20"/>
        </w:rPr>
        <w:t xml:space="preserve"> </w:t>
      </w:r>
      <w:r w:rsidRPr="00531EA4">
        <w:rPr>
          <w:rFonts w:cs="Arial"/>
          <w:b/>
          <w:bCs/>
          <w:szCs w:val="20"/>
        </w:rPr>
        <w:t>OR</w:t>
      </w:r>
    </w:p>
    <w:p w14:paraId="4A29EA2F" w14:textId="77777777" w:rsidR="00BE0CA5" w:rsidRPr="00531EA4" w:rsidRDefault="00BE0CA5" w:rsidP="00BE0CA5">
      <w:pPr>
        <w:pStyle w:val="ListParagraph"/>
        <w:numPr>
          <w:ilvl w:val="2"/>
          <w:numId w:val="24"/>
        </w:numPr>
        <w:tabs>
          <w:tab w:val="left" w:pos="720"/>
        </w:tabs>
        <w:rPr>
          <w:rFonts w:cs="Arial"/>
          <w:szCs w:val="20"/>
        </w:rPr>
      </w:pPr>
      <w:r w:rsidRPr="00531EA4">
        <w:rPr>
          <w:rFonts w:cs="Arial"/>
          <w:bCs/>
          <w:szCs w:val="20"/>
        </w:rPr>
        <w:t>Less than expected decline in functional ability or symptoms of disease as described by at least 1 of the following:</w:t>
      </w:r>
    </w:p>
    <w:p w14:paraId="4509E531" w14:textId="77777777" w:rsidR="00BE0CA5" w:rsidRPr="00531EA4" w:rsidRDefault="00BE0CA5" w:rsidP="00BE0CA5">
      <w:pPr>
        <w:pStyle w:val="ListParagraph"/>
        <w:numPr>
          <w:ilvl w:val="3"/>
          <w:numId w:val="24"/>
        </w:numPr>
        <w:tabs>
          <w:tab w:val="left" w:pos="720"/>
        </w:tabs>
        <w:rPr>
          <w:rFonts w:cs="Arial"/>
          <w:szCs w:val="20"/>
        </w:rPr>
      </w:pPr>
      <w:r w:rsidRPr="00531EA4">
        <w:rPr>
          <w:rFonts w:cs="Arial"/>
          <w:bCs/>
          <w:szCs w:val="20"/>
        </w:rPr>
        <w:t xml:space="preserve">HFMSE: at least 3 points increase in score from pretreatment </w:t>
      </w:r>
      <w:proofErr w:type="gramStart"/>
      <w:r w:rsidRPr="00531EA4">
        <w:rPr>
          <w:rFonts w:cs="Arial"/>
          <w:bCs/>
          <w:szCs w:val="20"/>
        </w:rPr>
        <w:t>baseline</w:t>
      </w:r>
      <w:r>
        <w:rPr>
          <w:rFonts w:cs="Arial"/>
          <w:bCs/>
          <w:szCs w:val="20"/>
        </w:rPr>
        <w:t>;</w:t>
      </w:r>
      <w:proofErr w:type="gramEnd"/>
    </w:p>
    <w:p w14:paraId="27AA53A8" w14:textId="77777777" w:rsidR="00BE0CA5" w:rsidRPr="00531EA4" w:rsidRDefault="00BE0CA5" w:rsidP="00BE0CA5">
      <w:pPr>
        <w:pStyle w:val="ListParagraph"/>
        <w:numPr>
          <w:ilvl w:val="3"/>
          <w:numId w:val="24"/>
        </w:numPr>
        <w:tabs>
          <w:tab w:val="left" w:pos="720"/>
        </w:tabs>
        <w:rPr>
          <w:rFonts w:cs="Arial"/>
          <w:szCs w:val="20"/>
        </w:rPr>
      </w:pPr>
      <w:r w:rsidRPr="00531EA4">
        <w:rPr>
          <w:rFonts w:cs="Arial"/>
          <w:bCs/>
          <w:szCs w:val="20"/>
        </w:rPr>
        <w:t xml:space="preserve">HINE-2 demonstrates:  </w:t>
      </w:r>
    </w:p>
    <w:p w14:paraId="4C58191D" w14:textId="77777777" w:rsidR="00BE0CA5" w:rsidRPr="003E690F" w:rsidRDefault="00BE0CA5" w:rsidP="00BE0CA5">
      <w:pPr>
        <w:pStyle w:val="ListParagraph"/>
        <w:numPr>
          <w:ilvl w:val="4"/>
          <w:numId w:val="24"/>
        </w:numPr>
        <w:tabs>
          <w:tab w:val="left" w:pos="720"/>
        </w:tabs>
        <w:rPr>
          <w:rFonts w:cs="Arial"/>
          <w:szCs w:val="20"/>
        </w:rPr>
      </w:pPr>
      <w:r w:rsidRPr="00531EA4">
        <w:rPr>
          <w:rFonts w:cs="Arial"/>
          <w:bCs/>
          <w:szCs w:val="20"/>
        </w:rPr>
        <w:t>Patient has demonstrated improvement in more categories than decline</w:t>
      </w:r>
      <w:r>
        <w:rPr>
          <w:rFonts w:cs="Arial"/>
          <w:bCs/>
          <w:szCs w:val="20"/>
        </w:rPr>
        <w:t>;</w:t>
      </w:r>
      <w:r w:rsidRPr="00531EA4">
        <w:rPr>
          <w:rFonts w:cs="Arial"/>
          <w:bCs/>
          <w:szCs w:val="20"/>
        </w:rPr>
        <w:t xml:space="preserve"> </w:t>
      </w:r>
      <w:r w:rsidRPr="00531EA4">
        <w:rPr>
          <w:rFonts w:cs="Arial"/>
          <w:b/>
          <w:szCs w:val="20"/>
        </w:rPr>
        <w:t>AND</w:t>
      </w:r>
    </w:p>
    <w:p w14:paraId="6AC85981" w14:textId="77777777" w:rsidR="00BE0CA5" w:rsidRPr="00C97A3C" w:rsidRDefault="00BE0CA5" w:rsidP="00BE0CA5">
      <w:pPr>
        <w:pStyle w:val="ListParagraph"/>
        <w:numPr>
          <w:ilvl w:val="4"/>
          <w:numId w:val="24"/>
        </w:numPr>
        <w:tabs>
          <w:tab w:val="left" w:pos="720"/>
        </w:tabs>
        <w:rPr>
          <w:rFonts w:cs="Arial"/>
          <w:szCs w:val="20"/>
        </w:rPr>
      </w:pPr>
      <w:r>
        <w:rPr>
          <w:rFonts w:cs="Arial"/>
          <w:szCs w:val="20"/>
        </w:rPr>
        <w:t>One of the following:</w:t>
      </w:r>
    </w:p>
    <w:p w14:paraId="231EA041" w14:textId="77777777" w:rsidR="00BE0CA5" w:rsidRPr="003E690F" w:rsidRDefault="00BE0CA5" w:rsidP="00BE0CA5">
      <w:pPr>
        <w:pStyle w:val="ListParagraph"/>
        <w:numPr>
          <w:ilvl w:val="5"/>
          <w:numId w:val="24"/>
        </w:numPr>
        <w:tabs>
          <w:tab w:val="left" w:pos="720"/>
        </w:tabs>
        <w:rPr>
          <w:rFonts w:cs="Arial"/>
          <w:szCs w:val="20"/>
        </w:rPr>
      </w:pPr>
      <w:r w:rsidRPr="003E690F">
        <w:rPr>
          <w:rFonts w:cs="Arial"/>
          <w:bCs/>
          <w:szCs w:val="20"/>
        </w:rPr>
        <w:t>At least 2 points (or maximum score) in ability to kick</w:t>
      </w:r>
      <w:r>
        <w:rPr>
          <w:rFonts w:cs="Arial"/>
          <w:bCs/>
          <w:szCs w:val="20"/>
        </w:rPr>
        <w:t>;</w:t>
      </w:r>
      <w:r w:rsidRPr="003E690F">
        <w:rPr>
          <w:rFonts w:cs="Arial"/>
          <w:bCs/>
          <w:szCs w:val="20"/>
        </w:rPr>
        <w:t xml:space="preserve"> </w:t>
      </w:r>
      <w:r w:rsidRPr="003E690F">
        <w:rPr>
          <w:rFonts w:cs="Arial"/>
          <w:b/>
          <w:szCs w:val="20"/>
        </w:rPr>
        <w:t>OR</w:t>
      </w:r>
    </w:p>
    <w:p w14:paraId="68F690CA" w14:textId="77777777" w:rsidR="00BE0CA5" w:rsidRPr="001707E3" w:rsidRDefault="00BE0CA5" w:rsidP="00BE0CA5">
      <w:pPr>
        <w:pStyle w:val="ListParagraph"/>
        <w:numPr>
          <w:ilvl w:val="5"/>
          <w:numId w:val="24"/>
        </w:numPr>
        <w:tabs>
          <w:tab w:val="left" w:pos="720"/>
        </w:tabs>
        <w:rPr>
          <w:rFonts w:cs="Arial"/>
          <w:szCs w:val="20"/>
        </w:rPr>
      </w:pPr>
      <w:r w:rsidRPr="003E690F">
        <w:rPr>
          <w:rFonts w:cs="Arial"/>
          <w:bCs/>
          <w:szCs w:val="20"/>
        </w:rPr>
        <w:t>At least 1 point in any other HINE milestone (head control, rolling, sitting, crawling, etc.</w:t>
      </w:r>
      <w:proofErr w:type="gramStart"/>
      <w:r w:rsidRPr="003E690F">
        <w:rPr>
          <w:rFonts w:cs="Arial"/>
          <w:bCs/>
          <w:szCs w:val="20"/>
        </w:rPr>
        <w:t>)</w:t>
      </w:r>
      <w:r>
        <w:rPr>
          <w:rFonts w:cs="Arial"/>
          <w:bCs/>
          <w:szCs w:val="20"/>
        </w:rPr>
        <w:t>;</w:t>
      </w:r>
      <w:proofErr w:type="gramEnd"/>
    </w:p>
    <w:p w14:paraId="561D718B" w14:textId="77777777" w:rsidR="00BE0CA5" w:rsidRPr="001707E3" w:rsidRDefault="00BE0CA5" w:rsidP="00BE0CA5">
      <w:pPr>
        <w:pStyle w:val="ListParagraph"/>
        <w:numPr>
          <w:ilvl w:val="3"/>
          <w:numId w:val="24"/>
        </w:numPr>
        <w:tabs>
          <w:tab w:val="left" w:pos="720"/>
        </w:tabs>
        <w:rPr>
          <w:rFonts w:cs="Arial"/>
          <w:szCs w:val="20"/>
        </w:rPr>
      </w:pPr>
      <w:r w:rsidRPr="001707E3">
        <w:rPr>
          <w:rFonts w:cs="Arial"/>
          <w:bCs/>
          <w:szCs w:val="20"/>
        </w:rPr>
        <w:t xml:space="preserve">MFM-32: at least 1 point increase in score from pretreatment </w:t>
      </w:r>
      <w:proofErr w:type="gramStart"/>
      <w:r w:rsidRPr="001707E3">
        <w:rPr>
          <w:rFonts w:cs="Arial"/>
          <w:bCs/>
          <w:szCs w:val="20"/>
        </w:rPr>
        <w:t>baseline</w:t>
      </w:r>
      <w:r>
        <w:rPr>
          <w:rFonts w:cs="Arial"/>
          <w:bCs/>
          <w:szCs w:val="20"/>
        </w:rPr>
        <w:t>;</w:t>
      </w:r>
      <w:proofErr w:type="gramEnd"/>
    </w:p>
    <w:p w14:paraId="4299CB5F" w14:textId="77777777" w:rsidR="00BE0CA5" w:rsidRPr="001707E3" w:rsidRDefault="00BE0CA5" w:rsidP="00BE0CA5">
      <w:pPr>
        <w:pStyle w:val="ListParagraph"/>
        <w:numPr>
          <w:ilvl w:val="3"/>
          <w:numId w:val="24"/>
        </w:numPr>
        <w:tabs>
          <w:tab w:val="left" w:pos="720"/>
        </w:tabs>
        <w:rPr>
          <w:rFonts w:cs="Arial"/>
          <w:szCs w:val="20"/>
        </w:rPr>
      </w:pPr>
      <w:r w:rsidRPr="001707E3">
        <w:rPr>
          <w:rFonts w:cs="Arial"/>
          <w:bCs/>
          <w:szCs w:val="20"/>
        </w:rPr>
        <w:t xml:space="preserve">For ambulatory patients 6MWT demonstrates at least a </w:t>
      </w:r>
      <w:proofErr w:type="gramStart"/>
      <w:r w:rsidRPr="001707E3">
        <w:rPr>
          <w:rFonts w:cs="Arial"/>
          <w:bCs/>
          <w:szCs w:val="20"/>
        </w:rPr>
        <w:t>30 meter</w:t>
      </w:r>
      <w:proofErr w:type="gramEnd"/>
      <w:r w:rsidRPr="001707E3">
        <w:rPr>
          <w:rFonts w:cs="Arial"/>
          <w:bCs/>
          <w:szCs w:val="20"/>
        </w:rPr>
        <w:t xml:space="preserve"> increase from pretreatment baseline</w:t>
      </w:r>
      <w:r>
        <w:rPr>
          <w:rFonts w:cs="Arial"/>
          <w:bCs/>
          <w:szCs w:val="20"/>
        </w:rPr>
        <w:t xml:space="preserve">; </w:t>
      </w:r>
      <w:r w:rsidRPr="00C97A3C">
        <w:rPr>
          <w:rFonts w:cs="Arial"/>
          <w:b/>
          <w:szCs w:val="20"/>
        </w:rPr>
        <w:t>OR</w:t>
      </w:r>
    </w:p>
    <w:p w14:paraId="211BC83E" w14:textId="77777777" w:rsidR="00BE0CA5" w:rsidRPr="001707E3" w:rsidRDefault="00BE0CA5" w:rsidP="00BE0CA5">
      <w:pPr>
        <w:pStyle w:val="ListParagraph"/>
        <w:numPr>
          <w:ilvl w:val="3"/>
          <w:numId w:val="24"/>
        </w:numPr>
        <w:tabs>
          <w:tab w:val="left" w:pos="720"/>
        </w:tabs>
        <w:rPr>
          <w:rFonts w:cs="Arial"/>
          <w:szCs w:val="20"/>
        </w:rPr>
      </w:pPr>
      <w:r w:rsidRPr="001707E3">
        <w:rPr>
          <w:rFonts w:cs="Arial"/>
          <w:bCs/>
          <w:szCs w:val="20"/>
        </w:rPr>
        <w:lastRenderedPageBreak/>
        <w:t xml:space="preserve">For non-ambulatory patients RULM demonstrates at least a </w:t>
      </w:r>
      <w:proofErr w:type="gramStart"/>
      <w:r w:rsidRPr="001707E3">
        <w:rPr>
          <w:rFonts w:cs="Arial"/>
          <w:bCs/>
          <w:szCs w:val="20"/>
        </w:rPr>
        <w:t>2 point</w:t>
      </w:r>
      <w:proofErr w:type="gramEnd"/>
      <w:r w:rsidRPr="001707E3">
        <w:rPr>
          <w:rFonts w:cs="Arial"/>
          <w:bCs/>
          <w:szCs w:val="20"/>
        </w:rPr>
        <w:t xml:space="preserve"> increase in score from the pretreatment baseline</w:t>
      </w:r>
      <w:r>
        <w:rPr>
          <w:rFonts w:cs="Arial"/>
          <w:bCs/>
          <w:szCs w:val="20"/>
        </w:rPr>
        <w:t>.</w:t>
      </w:r>
    </w:p>
    <w:p w14:paraId="41DDA600" w14:textId="77777777" w:rsidR="00BE0CA5" w:rsidRDefault="00BE0CA5" w:rsidP="00BE0CA5">
      <w:pPr>
        <w:numPr>
          <w:ilvl w:val="0"/>
          <w:numId w:val="23"/>
        </w:numPr>
        <w:tabs>
          <w:tab w:val="left" w:pos="720"/>
        </w:tabs>
        <w:contextualSpacing/>
        <w:rPr>
          <w:rFonts w:cs="Arial"/>
          <w:bCs/>
          <w:szCs w:val="20"/>
        </w:rPr>
      </w:pPr>
      <w:r>
        <w:rPr>
          <w:rFonts w:cs="Arial"/>
          <w:bCs/>
          <w:szCs w:val="20"/>
        </w:rPr>
        <w:t xml:space="preserve">Additional continuation criteria for </w:t>
      </w:r>
      <w:proofErr w:type="spellStart"/>
      <w:r>
        <w:rPr>
          <w:rFonts w:cs="Arial"/>
          <w:bCs/>
          <w:szCs w:val="20"/>
        </w:rPr>
        <w:t>Spinraza</w:t>
      </w:r>
      <w:proofErr w:type="spellEnd"/>
      <w:r>
        <w:rPr>
          <w:rFonts w:cs="Arial"/>
          <w:bCs/>
          <w:szCs w:val="20"/>
        </w:rPr>
        <w:t>:</w:t>
      </w:r>
    </w:p>
    <w:p w14:paraId="6F361FAB" w14:textId="77777777" w:rsidR="00BE0CA5" w:rsidRDefault="00BE0CA5" w:rsidP="00BE0CA5">
      <w:pPr>
        <w:numPr>
          <w:ilvl w:val="1"/>
          <w:numId w:val="23"/>
        </w:numPr>
        <w:tabs>
          <w:tab w:val="clear" w:pos="1080"/>
          <w:tab w:val="num" w:pos="720"/>
        </w:tabs>
        <w:ind w:left="720"/>
        <w:contextualSpacing/>
        <w:rPr>
          <w:rFonts w:cs="Arial"/>
          <w:bCs/>
          <w:szCs w:val="20"/>
        </w:rPr>
      </w:pPr>
      <w:r w:rsidRPr="001707E3">
        <w:rPr>
          <w:rFonts w:cs="Arial"/>
          <w:bCs/>
          <w:szCs w:val="20"/>
        </w:rPr>
        <w:t>Absence of unacceptable toxicity from the drug (examples of unacceptable toxicity include serious infections, fatal glomerulonephritis, thrombocytopenia, etc.)</w:t>
      </w:r>
      <w:r>
        <w:rPr>
          <w:rFonts w:cs="Arial"/>
          <w:bCs/>
          <w:szCs w:val="20"/>
        </w:rPr>
        <w:t>;</w:t>
      </w:r>
      <w:r w:rsidRPr="001707E3">
        <w:rPr>
          <w:rFonts w:cs="Arial"/>
          <w:bCs/>
          <w:szCs w:val="20"/>
        </w:rPr>
        <w:t xml:space="preserve"> </w:t>
      </w:r>
      <w:r w:rsidRPr="001707E3">
        <w:rPr>
          <w:rFonts w:cs="Arial"/>
          <w:b/>
          <w:szCs w:val="20"/>
        </w:rPr>
        <w:t>AND</w:t>
      </w:r>
    </w:p>
    <w:p w14:paraId="0A69E2E1" w14:textId="77777777" w:rsidR="00BE0CA5" w:rsidRDefault="00BE0CA5" w:rsidP="00BE0CA5">
      <w:pPr>
        <w:numPr>
          <w:ilvl w:val="1"/>
          <w:numId w:val="23"/>
        </w:numPr>
        <w:tabs>
          <w:tab w:val="clear" w:pos="1080"/>
          <w:tab w:val="num" w:pos="720"/>
        </w:tabs>
        <w:ind w:left="720"/>
        <w:contextualSpacing/>
        <w:rPr>
          <w:rFonts w:cs="Arial"/>
          <w:bCs/>
          <w:szCs w:val="20"/>
        </w:rPr>
      </w:pPr>
      <w:r w:rsidRPr="001707E3">
        <w:rPr>
          <w:rFonts w:cs="Arial"/>
          <w:bCs/>
          <w:szCs w:val="20"/>
        </w:rPr>
        <w:t>Maintenance dosing is every 4 months</w:t>
      </w:r>
      <w:r>
        <w:rPr>
          <w:rFonts w:cs="Arial"/>
          <w:bCs/>
          <w:szCs w:val="20"/>
        </w:rPr>
        <w:t>.</w:t>
      </w:r>
    </w:p>
    <w:p w14:paraId="1B3179AD" w14:textId="77777777" w:rsidR="00BE0CA5" w:rsidRPr="00D7389E" w:rsidRDefault="00BE0CA5" w:rsidP="00BE0CA5">
      <w:pPr>
        <w:numPr>
          <w:ilvl w:val="0"/>
          <w:numId w:val="23"/>
        </w:numPr>
        <w:tabs>
          <w:tab w:val="left" w:pos="720"/>
        </w:tabs>
        <w:contextualSpacing/>
        <w:rPr>
          <w:rFonts w:cs="Arial"/>
          <w:bCs/>
          <w:szCs w:val="20"/>
        </w:rPr>
      </w:pPr>
      <w:r>
        <w:rPr>
          <w:rFonts w:cs="Arial"/>
          <w:bCs/>
          <w:szCs w:val="20"/>
        </w:rPr>
        <w:t>Continuation approval period: 12 months.</w:t>
      </w:r>
    </w:p>
    <w:p w14:paraId="67B24D45" w14:textId="77777777" w:rsidR="00677732" w:rsidRPr="00A4145C" w:rsidRDefault="00677732" w:rsidP="00677732">
      <w:pPr>
        <w:pStyle w:val="ListParagraph"/>
        <w:numPr>
          <w:ilvl w:val="0"/>
          <w:numId w:val="0"/>
        </w:numPr>
        <w:ind w:left="360"/>
        <w:rPr>
          <w:rFonts w:eastAsia="Arial" w:cs="Arial"/>
          <w:szCs w:val="20"/>
        </w:rPr>
      </w:pPr>
    </w:p>
    <w:p w14:paraId="6413C03A" w14:textId="77777777" w:rsidR="00AE77DB" w:rsidRPr="00C02553" w:rsidRDefault="00AE77DB" w:rsidP="005A2F1E">
      <w:pPr>
        <w:pStyle w:val="Heading1"/>
        <w:rPr>
          <w:lang w:val="en-US"/>
        </w:rPr>
      </w:pPr>
      <w:r w:rsidRPr="00C02553">
        <w:rPr>
          <w:lang w:val="en-US"/>
        </w:rPr>
        <w:t>Denial Criteria</w:t>
      </w:r>
    </w:p>
    <w:p w14:paraId="0C5D5083" w14:textId="77777777" w:rsidR="002C505C" w:rsidRDefault="002C505C" w:rsidP="002C505C">
      <w:pPr>
        <w:pStyle w:val="ListParagraph"/>
        <w:numPr>
          <w:ilvl w:val="0"/>
          <w:numId w:val="19"/>
        </w:numPr>
        <w:rPr>
          <w:rFonts w:cs="Arial"/>
          <w:noProof/>
          <w:szCs w:val="20"/>
        </w:rPr>
      </w:pPr>
      <w:bookmarkStart w:id="1" w:name="_Hlk47597237"/>
      <w:r>
        <w:rPr>
          <w:rFonts w:cs="Arial"/>
          <w:noProof/>
          <w:szCs w:val="20"/>
        </w:rPr>
        <w:t>Therapy will deny with presence of one of the following:</w:t>
      </w:r>
    </w:p>
    <w:p w14:paraId="72E65E78" w14:textId="77777777" w:rsidR="002C505C" w:rsidRPr="006970B3" w:rsidRDefault="002C505C" w:rsidP="002C505C">
      <w:pPr>
        <w:pStyle w:val="ListParagraph"/>
        <w:numPr>
          <w:ilvl w:val="1"/>
          <w:numId w:val="19"/>
        </w:numPr>
        <w:rPr>
          <w:rFonts w:cs="Arial"/>
          <w:noProof/>
          <w:szCs w:val="20"/>
        </w:rPr>
      </w:pPr>
      <w:r>
        <w:rPr>
          <w:rFonts w:cs="Arial"/>
          <w:noProof/>
          <w:szCs w:val="20"/>
        </w:rPr>
        <w:t xml:space="preserve">Any approval criteria are not met; </w:t>
      </w:r>
    </w:p>
    <w:p w14:paraId="0AC31A3B" w14:textId="77777777" w:rsidR="002C505C" w:rsidRDefault="002C505C" w:rsidP="002C505C">
      <w:pPr>
        <w:pStyle w:val="ListParagraph"/>
        <w:numPr>
          <w:ilvl w:val="1"/>
          <w:numId w:val="19"/>
        </w:numPr>
        <w:rPr>
          <w:rFonts w:cs="Arial"/>
          <w:noProof/>
          <w:szCs w:val="20"/>
        </w:rPr>
      </w:pPr>
      <w:r>
        <w:rPr>
          <w:rFonts w:cs="Arial"/>
          <w:noProof/>
          <w:szCs w:val="20"/>
        </w:rPr>
        <w:t>Claim is for Evrysdi and presence of any of the following:</w:t>
      </w:r>
    </w:p>
    <w:p w14:paraId="79D20DFD" w14:textId="77777777" w:rsidR="002C505C" w:rsidRDefault="002C505C" w:rsidP="002C505C">
      <w:pPr>
        <w:pStyle w:val="ListParagraph"/>
        <w:numPr>
          <w:ilvl w:val="2"/>
          <w:numId w:val="19"/>
        </w:numPr>
        <w:tabs>
          <w:tab w:val="left" w:pos="1080"/>
        </w:tabs>
        <w:ind w:left="1080"/>
        <w:rPr>
          <w:rFonts w:cs="Arial"/>
          <w:noProof/>
          <w:szCs w:val="20"/>
        </w:rPr>
      </w:pPr>
      <w:r>
        <w:rPr>
          <w:rFonts w:cs="Arial"/>
          <w:noProof/>
          <w:szCs w:val="20"/>
        </w:rPr>
        <w:t>Participant is currently pregnant;</w:t>
      </w:r>
    </w:p>
    <w:p w14:paraId="0A6FAAD5" w14:textId="77777777" w:rsidR="002C505C" w:rsidRDefault="002C505C" w:rsidP="002C505C">
      <w:pPr>
        <w:pStyle w:val="ListParagraph"/>
        <w:numPr>
          <w:ilvl w:val="2"/>
          <w:numId w:val="19"/>
        </w:numPr>
        <w:tabs>
          <w:tab w:val="left" w:pos="1080"/>
        </w:tabs>
        <w:ind w:left="1080"/>
        <w:rPr>
          <w:rFonts w:cs="Arial"/>
          <w:noProof/>
          <w:szCs w:val="20"/>
        </w:rPr>
      </w:pPr>
      <w:r>
        <w:rPr>
          <w:rFonts w:cs="Arial"/>
          <w:noProof/>
          <w:szCs w:val="20"/>
        </w:rPr>
        <w:t>Documented diagnosis of hepatic impairment;</w:t>
      </w:r>
    </w:p>
    <w:p w14:paraId="78F97408" w14:textId="77777777" w:rsidR="002C505C" w:rsidRDefault="002C505C" w:rsidP="002C505C">
      <w:pPr>
        <w:pStyle w:val="ListParagraph"/>
        <w:numPr>
          <w:ilvl w:val="2"/>
          <w:numId w:val="19"/>
        </w:numPr>
        <w:tabs>
          <w:tab w:val="left" w:pos="1080"/>
        </w:tabs>
        <w:ind w:left="1080"/>
        <w:rPr>
          <w:rFonts w:cs="Arial"/>
          <w:noProof/>
          <w:szCs w:val="20"/>
        </w:rPr>
      </w:pPr>
      <w:r>
        <w:rPr>
          <w:rFonts w:cs="Arial"/>
          <w:noProof/>
          <w:szCs w:val="20"/>
        </w:rPr>
        <w:t xml:space="preserve">Concurrent utilization with MATE transporters </w:t>
      </w:r>
      <w:r w:rsidRPr="000D5666">
        <w:rPr>
          <w:rFonts w:cs="Arial"/>
          <w:noProof/>
          <w:szCs w:val="20"/>
        </w:rPr>
        <w:t>(i.e., metformin, cimetidine, acyclovir)</w:t>
      </w:r>
      <w:r>
        <w:rPr>
          <w:rFonts w:cs="Arial"/>
          <w:noProof/>
          <w:szCs w:val="20"/>
        </w:rPr>
        <w:t xml:space="preserve"> or Spinraza; </w:t>
      </w:r>
      <w:r w:rsidRPr="00D7389E">
        <w:rPr>
          <w:rFonts w:cs="Arial"/>
          <w:b/>
          <w:bCs/>
          <w:noProof/>
          <w:szCs w:val="20"/>
        </w:rPr>
        <w:t>OR</w:t>
      </w:r>
    </w:p>
    <w:p w14:paraId="14E56220" w14:textId="77777777" w:rsidR="002C505C" w:rsidRDefault="002C505C" w:rsidP="002C505C">
      <w:pPr>
        <w:pStyle w:val="ListParagraph"/>
        <w:numPr>
          <w:ilvl w:val="2"/>
          <w:numId w:val="19"/>
        </w:numPr>
        <w:tabs>
          <w:tab w:val="left" w:pos="1080"/>
        </w:tabs>
        <w:ind w:left="1080"/>
        <w:rPr>
          <w:rFonts w:cs="Arial"/>
          <w:noProof/>
          <w:szCs w:val="20"/>
        </w:rPr>
      </w:pPr>
      <w:r>
        <w:rPr>
          <w:rFonts w:cs="Arial"/>
          <w:noProof/>
          <w:szCs w:val="20"/>
        </w:rPr>
        <w:t>Previous therapy with Zolgensma.</w:t>
      </w:r>
    </w:p>
    <w:p w14:paraId="3EF22BFC" w14:textId="77777777" w:rsidR="002C505C" w:rsidRDefault="002C505C" w:rsidP="002C505C">
      <w:pPr>
        <w:pStyle w:val="ListParagraph"/>
        <w:numPr>
          <w:ilvl w:val="1"/>
          <w:numId w:val="19"/>
        </w:numPr>
        <w:rPr>
          <w:rFonts w:cs="Arial"/>
          <w:noProof/>
          <w:szCs w:val="20"/>
        </w:rPr>
      </w:pPr>
      <w:r>
        <w:rPr>
          <w:rFonts w:cs="Arial"/>
          <w:noProof/>
          <w:szCs w:val="20"/>
        </w:rPr>
        <w:t>Claim is for Spinraza and presence of any of the following:</w:t>
      </w:r>
    </w:p>
    <w:p w14:paraId="6B8E2B86" w14:textId="77777777" w:rsidR="002C505C" w:rsidRDefault="002C505C" w:rsidP="002C505C">
      <w:pPr>
        <w:pStyle w:val="ListParagraph"/>
        <w:numPr>
          <w:ilvl w:val="2"/>
          <w:numId w:val="19"/>
        </w:numPr>
        <w:ind w:left="1080"/>
        <w:rPr>
          <w:rFonts w:cs="Arial"/>
          <w:noProof/>
          <w:szCs w:val="20"/>
        </w:rPr>
      </w:pPr>
      <w:r>
        <w:rPr>
          <w:rFonts w:cs="Arial"/>
          <w:noProof/>
          <w:szCs w:val="20"/>
        </w:rPr>
        <w:t xml:space="preserve">Concurrent utilization with Evrysdi; </w:t>
      </w:r>
      <w:r w:rsidRPr="00D7389E">
        <w:rPr>
          <w:rFonts w:cs="Arial"/>
          <w:b/>
          <w:bCs/>
          <w:noProof/>
          <w:szCs w:val="20"/>
        </w:rPr>
        <w:t>OR</w:t>
      </w:r>
    </w:p>
    <w:p w14:paraId="4828B0BC" w14:textId="77777777" w:rsidR="002C505C" w:rsidRDefault="002C505C" w:rsidP="002C505C">
      <w:pPr>
        <w:pStyle w:val="ListParagraph"/>
        <w:numPr>
          <w:ilvl w:val="2"/>
          <w:numId w:val="19"/>
        </w:numPr>
        <w:ind w:left="1080"/>
        <w:rPr>
          <w:rFonts w:cs="Arial"/>
          <w:noProof/>
          <w:szCs w:val="20"/>
        </w:rPr>
      </w:pPr>
      <w:r>
        <w:rPr>
          <w:rFonts w:cs="Arial"/>
          <w:noProof/>
          <w:szCs w:val="20"/>
        </w:rPr>
        <w:t>Prevous therapy with Zolgensma.</w:t>
      </w:r>
    </w:p>
    <w:p w14:paraId="5C10FC47" w14:textId="306A82C9" w:rsidR="002C505C" w:rsidRPr="003716FC" w:rsidRDefault="002C505C" w:rsidP="002C505C">
      <w:pPr>
        <w:pStyle w:val="ListParagraph"/>
        <w:numPr>
          <w:ilvl w:val="1"/>
          <w:numId w:val="19"/>
        </w:numPr>
        <w:rPr>
          <w:rFonts w:cs="Arial"/>
          <w:noProof/>
          <w:szCs w:val="20"/>
        </w:rPr>
      </w:pPr>
      <w:r w:rsidRPr="003716FC">
        <w:rPr>
          <w:rFonts w:cs="Arial"/>
          <w:noProof/>
          <w:szCs w:val="20"/>
        </w:rPr>
        <w:t xml:space="preserve">Claim is for Zolgensma </w:t>
      </w:r>
      <w:r w:rsidR="001F74B6" w:rsidRPr="001F74B6">
        <w:rPr>
          <w:rFonts w:cs="Arial"/>
          <w:b/>
          <w:bCs/>
          <w:noProof/>
          <w:color w:val="1F497D" w:themeColor="text2"/>
          <w:szCs w:val="20"/>
        </w:rPr>
        <w:t>or Itvisma</w:t>
      </w:r>
      <w:r w:rsidR="001F74B6" w:rsidRPr="001F74B6">
        <w:rPr>
          <w:rFonts w:cs="Arial"/>
          <w:noProof/>
          <w:color w:val="1F497D" w:themeColor="text2"/>
          <w:szCs w:val="20"/>
        </w:rPr>
        <w:t xml:space="preserve"> </w:t>
      </w:r>
      <w:r w:rsidRPr="003716FC">
        <w:rPr>
          <w:rFonts w:cs="Arial"/>
          <w:noProof/>
          <w:szCs w:val="20"/>
        </w:rPr>
        <w:t>and presence of any of the following:</w:t>
      </w:r>
    </w:p>
    <w:p w14:paraId="12AB23C9" w14:textId="77777777" w:rsidR="002C505C" w:rsidRPr="003716FC" w:rsidRDefault="002C505C" w:rsidP="002C505C">
      <w:pPr>
        <w:pStyle w:val="ListParagraph"/>
        <w:numPr>
          <w:ilvl w:val="2"/>
          <w:numId w:val="19"/>
        </w:numPr>
        <w:ind w:left="1080"/>
        <w:rPr>
          <w:rFonts w:cs="Arial"/>
          <w:noProof/>
          <w:szCs w:val="20"/>
        </w:rPr>
      </w:pPr>
      <w:r w:rsidRPr="003716FC">
        <w:rPr>
          <w:rFonts w:cs="Arial"/>
          <w:noProof/>
          <w:szCs w:val="20"/>
        </w:rPr>
        <w:t>Previous claim for Zolgensma at any time;</w:t>
      </w:r>
    </w:p>
    <w:p w14:paraId="4A889063" w14:textId="77777777" w:rsidR="002C505C" w:rsidRPr="003716FC" w:rsidRDefault="002C505C" w:rsidP="002C505C">
      <w:pPr>
        <w:pStyle w:val="ListParagraph"/>
        <w:numPr>
          <w:ilvl w:val="2"/>
          <w:numId w:val="19"/>
        </w:numPr>
        <w:ind w:left="1080"/>
        <w:rPr>
          <w:rFonts w:cs="Arial"/>
          <w:noProof/>
          <w:szCs w:val="20"/>
        </w:rPr>
      </w:pPr>
      <w:r w:rsidRPr="003716FC">
        <w:rPr>
          <w:rFonts w:cs="Arial"/>
          <w:noProof/>
          <w:szCs w:val="20"/>
        </w:rPr>
        <w:t>Concurrent utilization with Spinraza or Evrysdi;</w:t>
      </w:r>
    </w:p>
    <w:p w14:paraId="741812E8" w14:textId="77777777" w:rsidR="002C505C" w:rsidRPr="003716FC" w:rsidRDefault="002C505C" w:rsidP="002C505C">
      <w:pPr>
        <w:pStyle w:val="ListParagraph"/>
        <w:numPr>
          <w:ilvl w:val="2"/>
          <w:numId w:val="19"/>
        </w:numPr>
        <w:ind w:left="1080"/>
        <w:rPr>
          <w:rFonts w:cs="Arial"/>
          <w:noProof/>
          <w:szCs w:val="20"/>
        </w:rPr>
      </w:pPr>
      <w:r w:rsidRPr="003716FC">
        <w:rPr>
          <w:rFonts w:cs="Arial"/>
          <w:noProof/>
          <w:szCs w:val="20"/>
        </w:rPr>
        <w:t xml:space="preserve">Active viral or bacterial infection (including Hepatitis B, Hepatitis C, HIV, Zika virus, gastroenteritis, otitis media, bronchiolitis, etc.); </w:t>
      </w:r>
      <w:r w:rsidRPr="003716FC">
        <w:rPr>
          <w:rFonts w:cs="Arial"/>
          <w:b/>
          <w:bCs/>
          <w:noProof/>
          <w:szCs w:val="20"/>
        </w:rPr>
        <w:t>OR</w:t>
      </w:r>
    </w:p>
    <w:p w14:paraId="5A9A5287" w14:textId="77777777" w:rsidR="002C505C" w:rsidRPr="003716FC" w:rsidRDefault="002C505C" w:rsidP="002C505C">
      <w:pPr>
        <w:pStyle w:val="ListParagraph"/>
        <w:numPr>
          <w:ilvl w:val="2"/>
          <w:numId w:val="19"/>
        </w:numPr>
        <w:ind w:left="1080"/>
        <w:rPr>
          <w:rFonts w:cs="Arial"/>
          <w:noProof/>
          <w:szCs w:val="20"/>
        </w:rPr>
      </w:pPr>
      <w:r w:rsidRPr="003716FC">
        <w:rPr>
          <w:rFonts w:cs="Arial"/>
          <w:noProof/>
          <w:szCs w:val="20"/>
        </w:rPr>
        <w:t>Concomitant illness that may create unnecessary risks for gene replacement therapy such as:</w:t>
      </w:r>
    </w:p>
    <w:p w14:paraId="6D5CF5CF" w14:textId="77777777" w:rsidR="002C505C" w:rsidRPr="003716FC" w:rsidRDefault="002C505C" w:rsidP="002C505C">
      <w:pPr>
        <w:pStyle w:val="ListParagraph"/>
        <w:numPr>
          <w:ilvl w:val="3"/>
          <w:numId w:val="19"/>
        </w:numPr>
        <w:ind w:left="1440"/>
        <w:rPr>
          <w:rFonts w:cs="Arial"/>
          <w:noProof/>
          <w:szCs w:val="20"/>
        </w:rPr>
      </w:pPr>
      <w:r w:rsidRPr="003716FC">
        <w:rPr>
          <w:rFonts w:cs="Arial"/>
          <w:noProof/>
          <w:szCs w:val="20"/>
        </w:rPr>
        <w:t>Major renal or hepatic impairment</w:t>
      </w:r>
      <w:r>
        <w:rPr>
          <w:rFonts w:cs="Arial"/>
          <w:noProof/>
          <w:szCs w:val="20"/>
        </w:rPr>
        <w:t>;</w:t>
      </w:r>
    </w:p>
    <w:p w14:paraId="224EEE34" w14:textId="77777777" w:rsidR="002C505C" w:rsidRPr="003716FC" w:rsidRDefault="002C505C" w:rsidP="002C505C">
      <w:pPr>
        <w:pStyle w:val="ListParagraph"/>
        <w:numPr>
          <w:ilvl w:val="3"/>
          <w:numId w:val="19"/>
        </w:numPr>
        <w:ind w:left="1440"/>
        <w:rPr>
          <w:rFonts w:cs="Arial"/>
          <w:noProof/>
          <w:szCs w:val="20"/>
        </w:rPr>
      </w:pPr>
      <w:r w:rsidRPr="003716FC">
        <w:rPr>
          <w:rFonts w:cs="Arial"/>
          <w:noProof/>
          <w:szCs w:val="20"/>
        </w:rPr>
        <w:t>Known seizure disorder</w:t>
      </w:r>
      <w:r>
        <w:rPr>
          <w:rFonts w:cs="Arial"/>
          <w:noProof/>
          <w:szCs w:val="20"/>
        </w:rPr>
        <w:t>;</w:t>
      </w:r>
    </w:p>
    <w:p w14:paraId="4914F8DD" w14:textId="77777777" w:rsidR="002C505C" w:rsidRPr="003716FC" w:rsidRDefault="002C505C" w:rsidP="002C505C">
      <w:pPr>
        <w:pStyle w:val="ListParagraph"/>
        <w:numPr>
          <w:ilvl w:val="3"/>
          <w:numId w:val="19"/>
        </w:numPr>
        <w:ind w:left="1440"/>
        <w:rPr>
          <w:rFonts w:cs="Arial"/>
          <w:noProof/>
          <w:szCs w:val="20"/>
        </w:rPr>
      </w:pPr>
      <w:r w:rsidRPr="003716FC">
        <w:rPr>
          <w:rFonts w:cs="Arial"/>
          <w:noProof/>
          <w:szCs w:val="20"/>
        </w:rPr>
        <w:t>Diabetes mellitus</w:t>
      </w:r>
      <w:r>
        <w:rPr>
          <w:rFonts w:cs="Arial"/>
          <w:noProof/>
          <w:szCs w:val="20"/>
        </w:rPr>
        <w:t>;</w:t>
      </w:r>
    </w:p>
    <w:p w14:paraId="449C0410" w14:textId="77777777" w:rsidR="002C505C" w:rsidRPr="003716FC" w:rsidRDefault="002C505C" w:rsidP="002C505C">
      <w:pPr>
        <w:pStyle w:val="ListParagraph"/>
        <w:numPr>
          <w:ilvl w:val="3"/>
          <w:numId w:val="19"/>
        </w:numPr>
        <w:ind w:left="1440"/>
        <w:rPr>
          <w:rFonts w:cs="Arial"/>
          <w:noProof/>
          <w:szCs w:val="20"/>
        </w:rPr>
      </w:pPr>
      <w:r w:rsidRPr="003716FC">
        <w:rPr>
          <w:rFonts w:cs="Arial"/>
          <w:noProof/>
          <w:szCs w:val="20"/>
        </w:rPr>
        <w:t>Idiopathic hypocalcuria</w:t>
      </w:r>
      <w:r>
        <w:rPr>
          <w:rFonts w:cs="Arial"/>
          <w:noProof/>
          <w:szCs w:val="20"/>
        </w:rPr>
        <w:t xml:space="preserve">; </w:t>
      </w:r>
      <w:r w:rsidRPr="003716FC">
        <w:rPr>
          <w:rFonts w:cs="Arial"/>
          <w:b/>
          <w:bCs/>
          <w:noProof/>
          <w:szCs w:val="20"/>
        </w:rPr>
        <w:t>OR</w:t>
      </w:r>
    </w:p>
    <w:p w14:paraId="3054A21F" w14:textId="77777777" w:rsidR="002C505C" w:rsidRDefault="002C505C" w:rsidP="002C505C">
      <w:pPr>
        <w:pStyle w:val="ListParagraph"/>
        <w:numPr>
          <w:ilvl w:val="3"/>
          <w:numId w:val="19"/>
        </w:numPr>
        <w:ind w:left="1440"/>
        <w:rPr>
          <w:rFonts w:cs="Arial"/>
          <w:noProof/>
          <w:szCs w:val="20"/>
        </w:rPr>
      </w:pPr>
      <w:r w:rsidRPr="003716FC">
        <w:rPr>
          <w:rFonts w:cs="Arial"/>
          <w:noProof/>
          <w:szCs w:val="20"/>
        </w:rPr>
        <w:t>Symptomatic cardiomyopathy</w:t>
      </w:r>
      <w:r>
        <w:rPr>
          <w:rFonts w:cs="Arial"/>
          <w:noProof/>
          <w:szCs w:val="20"/>
        </w:rPr>
        <w:t>.</w:t>
      </w:r>
    </w:p>
    <w:p w14:paraId="6B620B12" w14:textId="2C41CB04" w:rsidR="00B909DD" w:rsidRPr="00CA2178" w:rsidRDefault="00B909DD" w:rsidP="007A20E3">
      <w:pPr>
        <w:pStyle w:val="ListParagraph"/>
        <w:numPr>
          <w:ilvl w:val="2"/>
          <w:numId w:val="19"/>
        </w:numPr>
        <w:ind w:left="1080"/>
        <w:rPr>
          <w:rFonts w:cs="Arial"/>
          <w:b/>
          <w:bCs/>
          <w:noProof/>
          <w:color w:val="1F497D" w:themeColor="text2"/>
          <w:szCs w:val="20"/>
        </w:rPr>
      </w:pPr>
      <w:r w:rsidRPr="00CA2178">
        <w:rPr>
          <w:rFonts w:cs="Arial"/>
          <w:b/>
          <w:bCs/>
          <w:noProof/>
          <w:color w:val="1F497D" w:themeColor="text2"/>
          <w:szCs w:val="20"/>
        </w:rPr>
        <w:t xml:space="preserve">Claim is for Itvisma and </w:t>
      </w:r>
      <w:r w:rsidR="00CA2178" w:rsidRPr="00CA2178">
        <w:rPr>
          <w:b/>
          <w:bCs/>
          <w:color w:val="1F497D" w:themeColor="text2"/>
        </w:rPr>
        <w:t>participant is ventilator dependent</w:t>
      </w:r>
      <w:r w:rsidR="0076311E">
        <w:rPr>
          <w:b/>
          <w:bCs/>
          <w:color w:val="1F497D" w:themeColor="text2"/>
        </w:rPr>
        <w:t>, excluding night CPAP</w:t>
      </w:r>
      <w:r w:rsidR="0012130C">
        <w:rPr>
          <w:b/>
          <w:bCs/>
          <w:color w:val="1F497D" w:themeColor="text2"/>
        </w:rPr>
        <w:t xml:space="preserve"> or </w:t>
      </w:r>
      <w:r w:rsidR="0076311E">
        <w:rPr>
          <w:b/>
          <w:bCs/>
          <w:color w:val="1F497D" w:themeColor="text2"/>
        </w:rPr>
        <w:t>BiPAP</w:t>
      </w:r>
      <w:r w:rsidR="00CA2178" w:rsidRPr="00CA2178">
        <w:rPr>
          <w:b/>
          <w:bCs/>
          <w:color w:val="1F497D" w:themeColor="text2"/>
        </w:rPr>
        <w:t>.</w:t>
      </w:r>
    </w:p>
    <w:bookmarkEnd w:id="1"/>
    <w:p w14:paraId="4D21EAF1" w14:textId="77777777" w:rsidR="001E4CBA" w:rsidRDefault="001E4CBA" w:rsidP="001C73B1">
      <w:pPr>
        <w:pStyle w:val="ListParagraph"/>
        <w:numPr>
          <w:ilvl w:val="0"/>
          <w:numId w:val="0"/>
        </w:numPr>
        <w:ind w:left="360"/>
        <w:rPr>
          <w:rFonts w:cs="Arial"/>
          <w:szCs w:val="22"/>
        </w:rPr>
      </w:pPr>
    </w:p>
    <w:p w14:paraId="0BD95161" w14:textId="77777777" w:rsidR="005F6104" w:rsidRPr="00C02553" w:rsidRDefault="005F6104" w:rsidP="005F6104">
      <w:pPr>
        <w:pStyle w:val="Heading1"/>
        <w:rPr>
          <w:lang w:val="en-US"/>
        </w:rPr>
      </w:pPr>
      <w:bookmarkStart w:id="2" w:name="_Hlk34120952"/>
      <w:r w:rsidRPr="00C02553">
        <w:rPr>
          <w:lang w:val="en-US"/>
        </w:rPr>
        <w:t>Disposition of Edit</w:t>
      </w:r>
    </w:p>
    <w:p w14:paraId="2B4EAF92" w14:textId="77777777" w:rsidR="005F6104" w:rsidRPr="00C02553" w:rsidRDefault="005F6104" w:rsidP="005F6104">
      <w:r w:rsidRPr="00696E3A">
        <w:rPr>
          <w:b/>
          <w:bCs/>
        </w:rPr>
        <w:t>Denial:</w:t>
      </w:r>
      <w:r w:rsidRPr="00C02553">
        <w:t xml:space="preserve"> </w:t>
      </w:r>
      <w:r w:rsidRPr="00CC6BDE">
        <w:t>Exception code “0682” (Clinical Edit)</w:t>
      </w:r>
    </w:p>
    <w:p w14:paraId="04B2330F" w14:textId="77777777" w:rsidR="005F6104" w:rsidRPr="00C02553" w:rsidRDefault="005F6104" w:rsidP="005F6104">
      <w:r w:rsidRPr="00696E3A">
        <w:rPr>
          <w:b/>
          <w:bCs/>
        </w:rPr>
        <w:t>Rule Type:</w:t>
      </w:r>
      <w:r w:rsidRPr="00C02553">
        <w:t xml:space="preserve"> </w:t>
      </w:r>
      <w:r>
        <w:t>CE</w:t>
      </w:r>
    </w:p>
    <w:p w14:paraId="4B6F67AF" w14:textId="77777777" w:rsidR="008A0BC2" w:rsidRPr="004E3570" w:rsidRDefault="00343D6B" w:rsidP="008A0BC2">
      <w:pPr>
        <w:rPr>
          <w:rFonts w:cs="Arial"/>
          <w:szCs w:val="20"/>
        </w:rPr>
      </w:pPr>
      <w:r w:rsidRPr="00696E3A">
        <w:rPr>
          <w:b/>
          <w:bCs/>
        </w:rPr>
        <w:t>Default Approval Period:</w:t>
      </w:r>
      <w:r w:rsidR="00973BD6">
        <w:t xml:space="preserve"> </w:t>
      </w:r>
      <w:r w:rsidR="008A0BC2">
        <w:rPr>
          <w:rFonts w:cs="Arial"/>
          <w:szCs w:val="20"/>
        </w:rPr>
        <w:t>6 months</w:t>
      </w:r>
    </w:p>
    <w:p w14:paraId="6649BF8C" w14:textId="77777777" w:rsidR="00343D6B" w:rsidRPr="002C2C41" w:rsidRDefault="00343D6B" w:rsidP="00343D6B">
      <w:pPr>
        <w:rPr>
          <w:rFonts w:cs="Arial"/>
          <w:szCs w:val="20"/>
        </w:rPr>
      </w:pPr>
    </w:p>
    <w:bookmarkEnd w:id="2"/>
    <w:p w14:paraId="6413C0CF" w14:textId="530C1EC9" w:rsidR="00AE77DB" w:rsidRPr="00C02553" w:rsidRDefault="00AE77DB" w:rsidP="00343D6B">
      <w:pPr>
        <w:pStyle w:val="Heading1"/>
        <w:rPr>
          <w:lang w:val="en-US"/>
        </w:rPr>
      </w:pPr>
      <w:r w:rsidRPr="00C02553">
        <w:rPr>
          <w:lang w:val="en-US"/>
        </w:rPr>
        <w:t>References</w:t>
      </w:r>
    </w:p>
    <w:p w14:paraId="2F77F44D" w14:textId="77777777" w:rsidR="00867019" w:rsidRPr="00A664F5" w:rsidRDefault="00867019" w:rsidP="00867019">
      <w:pPr>
        <w:pStyle w:val="Header"/>
        <w:numPr>
          <w:ilvl w:val="0"/>
          <w:numId w:val="25"/>
        </w:numPr>
        <w:rPr>
          <w:rFonts w:cs="Arial"/>
          <w:sz w:val="20"/>
        </w:rPr>
      </w:pPr>
      <w:proofErr w:type="spellStart"/>
      <w:r w:rsidRPr="00A664F5">
        <w:rPr>
          <w:rFonts w:cs="Arial"/>
          <w:sz w:val="20"/>
        </w:rPr>
        <w:t>Evrysdi</w:t>
      </w:r>
      <w:proofErr w:type="spellEnd"/>
      <w:r w:rsidRPr="00A664F5">
        <w:rPr>
          <w:rFonts w:cs="Arial"/>
          <w:sz w:val="20"/>
          <w:vertAlign w:val="superscript"/>
        </w:rPr>
        <w:t>®</w:t>
      </w:r>
      <w:r w:rsidRPr="00A664F5">
        <w:rPr>
          <w:rFonts w:cs="Arial"/>
          <w:sz w:val="20"/>
        </w:rPr>
        <w:t xml:space="preserve"> (</w:t>
      </w:r>
      <w:proofErr w:type="spellStart"/>
      <w:r w:rsidRPr="00A664F5">
        <w:rPr>
          <w:rFonts w:cs="Arial"/>
          <w:sz w:val="20"/>
        </w:rPr>
        <w:t>risdiplam</w:t>
      </w:r>
      <w:proofErr w:type="spellEnd"/>
      <w:r w:rsidRPr="00A664F5">
        <w:rPr>
          <w:rFonts w:cs="Arial"/>
          <w:sz w:val="20"/>
        </w:rPr>
        <w:t>) [package insert]. South San Francisco, CA: Genentech Inc: February 2025.</w:t>
      </w:r>
    </w:p>
    <w:p w14:paraId="4432164B" w14:textId="77777777" w:rsidR="004D7C55" w:rsidRDefault="004D7C55" w:rsidP="004D7C55">
      <w:pPr>
        <w:pStyle w:val="ListParagraph"/>
        <w:numPr>
          <w:ilvl w:val="0"/>
          <w:numId w:val="25"/>
        </w:numPr>
      </w:pPr>
      <w:proofErr w:type="spellStart"/>
      <w:r w:rsidRPr="00122183">
        <w:t>Itvisma</w:t>
      </w:r>
      <w:proofErr w:type="spellEnd"/>
      <w:r>
        <w:t xml:space="preserve"> [package insert]. Bannock, IL: Novartis Gene Therapies, Inc; November 2025.</w:t>
      </w:r>
    </w:p>
    <w:p w14:paraId="27E3F18F" w14:textId="77777777" w:rsidR="00867019" w:rsidRPr="00A664F5" w:rsidRDefault="00867019" w:rsidP="00867019">
      <w:pPr>
        <w:pStyle w:val="Header"/>
        <w:numPr>
          <w:ilvl w:val="0"/>
          <w:numId w:val="25"/>
        </w:numPr>
        <w:rPr>
          <w:rStyle w:val="normaltextrun"/>
          <w:rFonts w:cs="Arial"/>
          <w:sz w:val="20"/>
        </w:rPr>
      </w:pPr>
      <w:proofErr w:type="spellStart"/>
      <w:r w:rsidRPr="00A664F5">
        <w:rPr>
          <w:rFonts w:cs="Arial"/>
          <w:sz w:val="20"/>
        </w:rPr>
        <w:t>Spinraza</w:t>
      </w:r>
      <w:proofErr w:type="spellEnd"/>
      <w:r w:rsidRPr="00A664F5">
        <w:rPr>
          <w:rFonts w:cs="Arial"/>
          <w:sz w:val="20"/>
          <w:vertAlign w:val="superscript"/>
        </w:rPr>
        <w:t>®</w:t>
      </w:r>
      <w:r w:rsidRPr="00A664F5">
        <w:rPr>
          <w:rFonts w:cs="Arial"/>
          <w:sz w:val="20"/>
        </w:rPr>
        <w:t xml:space="preserve"> (</w:t>
      </w:r>
      <w:proofErr w:type="spellStart"/>
      <w:r w:rsidRPr="00A664F5">
        <w:rPr>
          <w:rFonts w:cs="Arial"/>
          <w:sz w:val="20"/>
        </w:rPr>
        <w:t>nusinersen</w:t>
      </w:r>
      <w:proofErr w:type="spellEnd"/>
      <w:r w:rsidRPr="00A664F5">
        <w:rPr>
          <w:rFonts w:cs="Arial"/>
          <w:sz w:val="20"/>
        </w:rPr>
        <w:t>) [package insert]. Cambridge, MA. Biogen: April 2024.</w:t>
      </w:r>
    </w:p>
    <w:p w14:paraId="6EB6CEA4" w14:textId="77777777" w:rsidR="00867019" w:rsidRPr="00A664F5" w:rsidRDefault="00867019" w:rsidP="00867019">
      <w:pPr>
        <w:pStyle w:val="Header"/>
        <w:numPr>
          <w:ilvl w:val="0"/>
          <w:numId w:val="25"/>
        </w:numPr>
        <w:rPr>
          <w:rStyle w:val="normaltextrun"/>
          <w:rFonts w:cs="Arial"/>
          <w:bCs/>
          <w:sz w:val="20"/>
          <w:shd w:val="clear" w:color="auto" w:fill="FFFFFF"/>
        </w:rPr>
      </w:pPr>
      <w:proofErr w:type="spellStart"/>
      <w:r w:rsidRPr="00A664F5">
        <w:rPr>
          <w:rStyle w:val="normaltextrun"/>
          <w:rFonts w:cs="Arial"/>
          <w:bCs/>
          <w:sz w:val="20"/>
          <w:shd w:val="clear" w:color="auto" w:fill="FFFFFF"/>
        </w:rPr>
        <w:t>Zolgensma</w:t>
      </w:r>
      <w:proofErr w:type="spellEnd"/>
      <w:r w:rsidRPr="00A664F5">
        <w:rPr>
          <w:rStyle w:val="normaltextrun"/>
          <w:rFonts w:cs="Arial"/>
          <w:bCs/>
          <w:sz w:val="20"/>
          <w:shd w:val="clear" w:color="auto" w:fill="FFFFFF"/>
          <w:vertAlign w:val="superscript"/>
        </w:rPr>
        <w:t>®</w:t>
      </w:r>
      <w:r w:rsidRPr="00A664F5">
        <w:rPr>
          <w:rStyle w:val="normaltextrun"/>
          <w:rFonts w:cs="Arial"/>
          <w:bCs/>
          <w:sz w:val="20"/>
          <w:shd w:val="clear" w:color="auto" w:fill="FFFFFF"/>
        </w:rPr>
        <w:t xml:space="preserve"> [package insert]. Bannockburn, IL: </w:t>
      </w:r>
      <w:r w:rsidRPr="00A664F5">
        <w:rPr>
          <w:rFonts w:cs="Arial"/>
          <w:bCs/>
          <w:sz w:val="20"/>
          <w:shd w:val="clear" w:color="auto" w:fill="FFFFFF"/>
        </w:rPr>
        <w:t>Novartis Gene Therapies, Inc</w:t>
      </w:r>
      <w:r w:rsidRPr="00A664F5">
        <w:rPr>
          <w:rStyle w:val="normaltextrun"/>
          <w:rFonts w:cs="Arial"/>
          <w:bCs/>
          <w:sz w:val="20"/>
          <w:shd w:val="clear" w:color="auto" w:fill="FFFFFF"/>
        </w:rPr>
        <w:t>.; February 2025.</w:t>
      </w:r>
    </w:p>
    <w:p w14:paraId="762265A8" w14:textId="77777777" w:rsidR="00867019" w:rsidRPr="00A664F5" w:rsidRDefault="00867019" w:rsidP="00867019">
      <w:pPr>
        <w:pStyle w:val="Header"/>
        <w:numPr>
          <w:ilvl w:val="0"/>
          <w:numId w:val="25"/>
        </w:numPr>
        <w:rPr>
          <w:rStyle w:val="normaltextrun"/>
          <w:rFonts w:cs="Arial"/>
          <w:bCs/>
          <w:sz w:val="20"/>
          <w:shd w:val="clear" w:color="auto" w:fill="FFFFFF"/>
        </w:rPr>
      </w:pPr>
      <w:r w:rsidRPr="00A664F5">
        <w:rPr>
          <w:rStyle w:val="normaltextrun"/>
          <w:rFonts w:cs="Arial"/>
          <w:bCs/>
          <w:sz w:val="20"/>
          <w:shd w:val="clear" w:color="auto" w:fill="FFFFFF"/>
        </w:rPr>
        <w:t xml:space="preserve">Institute for Clinical and Economic Review.  </w:t>
      </w:r>
      <w:proofErr w:type="spellStart"/>
      <w:r w:rsidRPr="00A664F5">
        <w:rPr>
          <w:rStyle w:val="normaltextrun"/>
          <w:rFonts w:cs="Arial"/>
          <w:bCs/>
          <w:sz w:val="20"/>
          <w:shd w:val="clear" w:color="auto" w:fill="FFFFFF"/>
        </w:rPr>
        <w:t>Spinraza</w:t>
      </w:r>
      <w:proofErr w:type="spellEnd"/>
      <w:r w:rsidRPr="00A664F5">
        <w:rPr>
          <w:rStyle w:val="normaltextrun"/>
          <w:rFonts w:cs="Arial"/>
          <w:bCs/>
          <w:sz w:val="20"/>
          <w:shd w:val="clear" w:color="auto" w:fill="FFFFFF"/>
          <w:vertAlign w:val="superscript"/>
        </w:rPr>
        <w:t>®</w:t>
      </w:r>
      <w:r w:rsidRPr="00A664F5">
        <w:rPr>
          <w:rStyle w:val="normaltextrun"/>
          <w:rFonts w:cs="Arial"/>
          <w:bCs/>
          <w:sz w:val="20"/>
          <w:shd w:val="clear" w:color="auto" w:fill="FFFFFF"/>
        </w:rPr>
        <w:t xml:space="preserve"> and </w:t>
      </w:r>
      <w:proofErr w:type="spellStart"/>
      <w:r w:rsidRPr="00A664F5">
        <w:rPr>
          <w:rStyle w:val="normaltextrun"/>
          <w:rFonts w:cs="Arial"/>
          <w:bCs/>
          <w:sz w:val="20"/>
          <w:shd w:val="clear" w:color="auto" w:fill="FFFFFF"/>
        </w:rPr>
        <w:t>Zolgensma</w:t>
      </w:r>
      <w:proofErr w:type="spellEnd"/>
      <w:r w:rsidRPr="00A664F5">
        <w:rPr>
          <w:rStyle w:val="normaltextrun"/>
          <w:rFonts w:cs="Arial"/>
          <w:bCs/>
          <w:sz w:val="20"/>
          <w:shd w:val="clear" w:color="auto" w:fill="FFFFFF"/>
          <w:vertAlign w:val="superscript"/>
        </w:rPr>
        <w:t>®</w:t>
      </w:r>
      <w:r w:rsidRPr="00A664F5">
        <w:rPr>
          <w:rStyle w:val="normaltextrun"/>
          <w:rFonts w:cs="Arial"/>
          <w:bCs/>
          <w:sz w:val="20"/>
          <w:shd w:val="clear" w:color="auto" w:fill="FFFFFF"/>
        </w:rPr>
        <w:t xml:space="preserve"> for Spinal Muscular Atrophy:  Effectiveness and Value. </w:t>
      </w:r>
      <w:hyperlink r:id="rId11" w:history="1">
        <w:r w:rsidRPr="00A664F5">
          <w:rPr>
            <w:rStyle w:val="Hyperlink"/>
            <w:rFonts w:cs="Arial"/>
            <w:bCs/>
            <w:color w:val="auto"/>
            <w:sz w:val="20"/>
            <w:u w:val="none"/>
            <w:shd w:val="clear" w:color="auto" w:fill="FFFFFF"/>
          </w:rPr>
          <w:t>https://icer-review.org/wp-content/uploads/2018/07/ICER_SMA_Final_Evidence_Report_052419.pdf</w:t>
        </w:r>
      </w:hyperlink>
      <w:r w:rsidRPr="00A664F5">
        <w:rPr>
          <w:rStyle w:val="normaltextrun"/>
          <w:rFonts w:cs="Arial"/>
          <w:bCs/>
          <w:sz w:val="20"/>
          <w:shd w:val="clear" w:color="auto" w:fill="FFFFFF"/>
        </w:rPr>
        <w:t>. Updated May 24, 2019.</w:t>
      </w:r>
    </w:p>
    <w:p w14:paraId="20A2D671" w14:textId="77777777" w:rsidR="00867019" w:rsidRPr="00A664F5" w:rsidRDefault="00867019" w:rsidP="00867019">
      <w:pPr>
        <w:pStyle w:val="Header"/>
        <w:numPr>
          <w:ilvl w:val="0"/>
          <w:numId w:val="25"/>
        </w:numPr>
        <w:rPr>
          <w:rStyle w:val="normaltextrun"/>
          <w:rFonts w:cs="Arial"/>
          <w:sz w:val="20"/>
        </w:rPr>
      </w:pPr>
      <w:r w:rsidRPr="00A664F5">
        <w:rPr>
          <w:rFonts w:cs="Arial"/>
          <w:sz w:val="20"/>
        </w:rPr>
        <w:t xml:space="preserve">IPD Analytics. New Drug Review: </w:t>
      </w:r>
      <w:proofErr w:type="spellStart"/>
      <w:r w:rsidRPr="00A664F5">
        <w:rPr>
          <w:rFonts w:cs="Arial"/>
          <w:sz w:val="20"/>
        </w:rPr>
        <w:t>Evrysdi</w:t>
      </w:r>
      <w:proofErr w:type="spellEnd"/>
      <w:r w:rsidRPr="00A664F5">
        <w:rPr>
          <w:rFonts w:cs="Arial"/>
          <w:sz w:val="20"/>
        </w:rPr>
        <w:t xml:space="preserve"> (</w:t>
      </w:r>
      <w:proofErr w:type="spellStart"/>
      <w:r w:rsidRPr="00A664F5">
        <w:rPr>
          <w:rFonts w:cs="Arial"/>
          <w:sz w:val="20"/>
        </w:rPr>
        <w:t>risdiplam</w:t>
      </w:r>
      <w:proofErr w:type="spellEnd"/>
      <w:r w:rsidRPr="00A664F5">
        <w:rPr>
          <w:rFonts w:cs="Arial"/>
          <w:sz w:val="20"/>
        </w:rPr>
        <w:t>). August 2020.</w:t>
      </w:r>
    </w:p>
    <w:p w14:paraId="220982FF" w14:textId="77777777" w:rsidR="00867019" w:rsidRPr="00A664F5" w:rsidRDefault="00867019" w:rsidP="00867019">
      <w:pPr>
        <w:pStyle w:val="Header"/>
        <w:numPr>
          <w:ilvl w:val="0"/>
          <w:numId w:val="25"/>
        </w:numPr>
        <w:tabs>
          <w:tab w:val="clear" w:pos="4320"/>
          <w:tab w:val="clear" w:pos="8640"/>
        </w:tabs>
        <w:rPr>
          <w:rStyle w:val="normaltextrun"/>
          <w:rFonts w:cs="Arial"/>
          <w:sz w:val="20"/>
        </w:rPr>
      </w:pPr>
      <w:r w:rsidRPr="00A664F5">
        <w:rPr>
          <w:rStyle w:val="normaltextrun"/>
          <w:rFonts w:cs="Arial"/>
          <w:bCs/>
          <w:sz w:val="20"/>
          <w:shd w:val="clear" w:color="auto" w:fill="FFFFFF"/>
        </w:rPr>
        <w:t xml:space="preserve">IPD Analytics.  New Drug Approval: </w:t>
      </w:r>
      <w:proofErr w:type="spellStart"/>
      <w:r w:rsidRPr="00A664F5">
        <w:rPr>
          <w:rStyle w:val="normaltextrun"/>
          <w:rFonts w:cs="Arial"/>
          <w:bCs/>
          <w:sz w:val="20"/>
          <w:shd w:val="clear" w:color="auto" w:fill="FFFFFF"/>
        </w:rPr>
        <w:t>Zolgensma</w:t>
      </w:r>
      <w:proofErr w:type="spellEnd"/>
      <w:r w:rsidRPr="00A664F5">
        <w:rPr>
          <w:rStyle w:val="normaltextrun"/>
          <w:rFonts w:cs="Arial"/>
          <w:bCs/>
          <w:sz w:val="20"/>
          <w:shd w:val="clear" w:color="auto" w:fill="FFFFFF"/>
        </w:rPr>
        <w:t xml:space="preserve"> (</w:t>
      </w:r>
      <w:proofErr w:type="spellStart"/>
      <w:r w:rsidRPr="00A664F5">
        <w:rPr>
          <w:rStyle w:val="normaltextrun"/>
          <w:rFonts w:cs="Arial"/>
          <w:bCs/>
          <w:sz w:val="20"/>
          <w:shd w:val="clear" w:color="auto" w:fill="FFFFFF"/>
        </w:rPr>
        <w:t>onasemnogene</w:t>
      </w:r>
      <w:proofErr w:type="spellEnd"/>
      <w:r w:rsidRPr="00A664F5">
        <w:rPr>
          <w:rStyle w:val="normaltextrun"/>
          <w:rFonts w:cs="Arial"/>
          <w:bCs/>
          <w:sz w:val="20"/>
          <w:shd w:val="clear" w:color="auto" w:fill="FFFFFF"/>
        </w:rPr>
        <w:t xml:space="preserve"> </w:t>
      </w:r>
      <w:proofErr w:type="spellStart"/>
      <w:r w:rsidRPr="00A664F5">
        <w:rPr>
          <w:rStyle w:val="normaltextrun"/>
          <w:rFonts w:cs="Arial"/>
          <w:bCs/>
          <w:sz w:val="20"/>
          <w:shd w:val="clear" w:color="auto" w:fill="FFFFFF"/>
        </w:rPr>
        <w:t>abeparvovec-xioi</w:t>
      </w:r>
      <w:proofErr w:type="spellEnd"/>
      <w:r w:rsidRPr="00A664F5">
        <w:rPr>
          <w:rStyle w:val="normaltextrun"/>
          <w:rFonts w:cs="Arial"/>
          <w:bCs/>
          <w:sz w:val="20"/>
          <w:shd w:val="clear" w:color="auto" w:fill="FFFFFF"/>
        </w:rPr>
        <w:t>). June 2019.</w:t>
      </w:r>
    </w:p>
    <w:p w14:paraId="61F33139" w14:textId="77777777" w:rsidR="00867019" w:rsidRPr="00A664F5" w:rsidRDefault="00867019" w:rsidP="00867019">
      <w:pPr>
        <w:pStyle w:val="paragraph"/>
        <w:widowControl w:val="0"/>
        <w:numPr>
          <w:ilvl w:val="0"/>
          <w:numId w:val="25"/>
        </w:numPr>
        <w:contextualSpacing/>
        <w:textAlignment w:val="baseline"/>
        <w:rPr>
          <w:rFonts w:cs="Arial"/>
          <w:bCs/>
          <w:szCs w:val="20"/>
          <w:shd w:val="clear" w:color="auto" w:fill="FFFFFF"/>
        </w:rPr>
      </w:pPr>
      <w:r w:rsidRPr="00A664F5">
        <w:rPr>
          <w:rFonts w:cs="Arial"/>
          <w:bCs/>
          <w:szCs w:val="20"/>
          <w:shd w:val="clear" w:color="auto" w:fill="FFFFFF"/>
        </w:rPr>
        <w:lastRenderedPageBreak/>
        <w:t xml:space="preserve">E. Mercuri et al.  Diagnosis and management of spinal muscular atrophy: Part 1: Recommendations for diagnosis, rehabilitation, orthopedic and nutritional care.  Neuromuscular Disorders 28 (2018) 103–115. </w:t>
      </w:r>
      <w:hyperlink r:id="rId12" w:history="1">
        <w:r w:rsidRPr="00A664F5">
          <w:rPr>
            <w:rStyle w:val="Hyperlink"/>
            <w:rFonts w:cs="Arial"/>
            <w:bCs/>
            <w:color w:val="auto"/>
            <w:szCs w:val="20"/>
            <w:u w:val="none"/>
            <w:shd w:val="clear" w:color="auto" w:fill="FFFFFF"/>
          </w:rPr>
          <w:t>https://doi.org/10.1016/j.nmd.2017.11.005</w:t>
        </w:r>
      </w:hyperlink>
    </w:p>
    <w:p w14:paraId="3FA1E7DB" w14:textId="5B6F652D" w:rsidR="00777CA4" w:rsidRPr="00867019" w:rsidRDefault="00867019" w:rsidP="00867019">
      <w:pPr>
        <w:pStyle w:val="paragraph"/>
        <w:widowControl w:val="0"/>
        <w:numPr>
          <w:ilvl w:val="0"/>
          <w:numId w:val="25"/>
        </w:numPr>
        <w:contextualSpacing/>
        <w:textAlignment w:val="baseline"/>
        <w:rPr>
          <w:rFonts w:cs="Arial"/>
          <w:bCs/>
          <w:szCs w:val="20"/>
          <w:shd w:val="clear" w:color="auto" w:fill="FFFFFF"/>
        </w:rPr>
      </w:pPr>
      <w:r w:rsidRPr="00A664F5">
        <w:rPr>
          <w:rFonts w:cs="Arial"/>
          <w:bCs/>
          <w:szCs w:val="20"/>
          <w:shd w:val="clear" w:color="auto" w:fill="FFFFFF"/>
        </w:rPr>
        <w:t>RS Finkel et al.  Diagnosis and management of spinal muscular atrophy: Part 2: Pulmonary and acute care; medications, supplements and immunizations; other organ systems; and ethics.  Neuromuscular Disorders 28 (2018) 197–207.  https://doi.org/10.1016/j.nmd.2017.11.004</w:t>
      </w:r>
    </w:p>
    <w:sectPr w:rsidR="00777CA4" w:rsidRPr="00867019" w:rsidSect="00AB0B9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continuous"/>
      <w:pgSz w:w="12240" w:h="15840"/>
      <w:pgMar w:top="1440" w:right="1440" w:bottom="1440" w:left="1440" w:header="432" w:footer="432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191D7E" w14:textId="77777777" w:rsidR="00DA7A59" w:rsidRPr="00C02553" w:rsidRDefault="00DA7A59" w:rsidP="00AE77DB">
      <w:r w:rsidRPr="00C02553">
        <w:separator/>
      </w:r>
    </w:p>
  </w:endnote>
  <w:endnote w:type="continuationSeparator" w:id="0">
    <w:p w14:paraId="4F2F30F9" w14:textId="77777777" w:rsidR="00DA7A59" w:rsidRPr="00C02553" w:rsidRDefault="00DA7A59" w:rsidP="00AE77DB">
      <w:r w:rsidRPr="00C02553">
        <w:continuationSeparator/>
      </w:r>
    </w:p>
  </w:endnote>
  <w:endnote w:type="continuationNotice" w:id="1">
    <w:p w14:paraId="441AE3FA" w14:textId="77777777" w:rsidR="00DA7A59" w:rsidRPr="00C02553" w:rsidRDefault="00DA7A5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3C0EC" w14:textId="77777777" w:rsidR="00006A61" w:rsidRPr="00C02553" w:rsidRDefault="00006A61">
    <w:pPr>
      <w:pStyle w:val="Footer"/>
      <w:framePr w:wrap="around" w:vAnchor="text" w:hAnchor="margin" w:xAlign="right" w:y="1"/>
      <w:rPr>
        <w:rStyle w:val="PageNumber"/>
        <w:rFonts w:ascii="Times New Roman" w:hAnsi="Times New Roman"/>
      </w:rPr>
    </w:pPr>
    <w:r w:rsidRPr="00C02553">
      <w:rPr>
        <w:rStyle w:val="PageNumber"/>
        <w:rFonts w:ascii="Times New Roman" w:hAnsi="Times New Roman"/>
      </w:rPr>
      <w:fldChar w:fldCharType="begin"/>
    </w:r>
    <w:r w:rsidRPr="00C02553">
      <w:rPr>
        <w:rStyle w:val="PageNumber"/>
        <w:rFonts w:ascii="Times New Roman" w:hAnsi="Times New Roman"/>
      </w:rPr>
      <w:instrText xml:space="preserve">PAGE  </w:instrText>
    </w:r>
    <w:r w:rsidRPr="00C02553">
      <w:rPr>
        <w:rStyle w:val="PageNumber"/>
        <w:rFonts w:ascii="Times New Roman" w:hAnsi="Times New Roman"/>
      </w:rPr>
      <w:fldChar w:fldCharType="separate"/>
    </w:r>
    <w:r w:rsidRPr="00C02553">
      <w:rPr>
        <w:rStyle w:val="PageNumber"/>
        <w:rFonts w:ascii="Times New Roman" w:hAnsi="Times New Roman"/>
      </w:rPr>
      <w:t>2</w:t>
    </w:r>
    <w:r w:rsidRPr="00C02553">
      <w:rPr>
        <w:rStyle w:val="PageNumber"/>
        <w:rFonts w:ascii="Times New Roman" w:hAnsi="Times New Roman"/>
      </w:rPr>
      <w:fldChar w:fldCharType="end"/>
    </w:r>
  </w:p>
  <w:p w14:paraId="6413C0ED" w14:textId="77777777" w:rsidR="00006A61" w:rsidRPr="00C02553" w:rsidRDefault="00006A61">
    <w:pPr>
      <w:pStyle w:val="Footer"/>
      <w:ind w:right="360"/>
      <w:rPr>
        <w:rFonts w:ascii="Times New Roman" w:hAnsi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77ECE" w14:textId="2F12D58C" w:rsidR="00811A70" w:rsidRPr="00C02553" w:rsidRDefault="00811A70" w:rsidP="00811A70">
    <w:pPr>
      <w:pStyle w:val="Footer"/>
      <w:tabs>
        <w:tab w:val="clear" w:pos="8640"/>
        <w:tab w:val="right" w:pos="9360"/>
      </w:tabs>
      <w:rPr>
        <w:rFonts w:cs="Arial"/>
        <w:sz w:val="16"/>
        <w:szCs w:val="16"/>
      </w:rPr>
    </w:pPr>
    <w:r w:rsidRPr="00C02553">
      <w:rPr>
        <w:rFonts w:cs="Arial"/>
        <w:sz w:val="16"/>
        <w:szCs w:val="16"/>
      </w:rPr>
      <w:t xml:space="preserve">SmartPA </w:t>
    </w:r>
    <w:r w:rsidR="00AE27F9">
      <w:rPr>
        <w:rFonts w:cs="Arial"/>
        <w:sz w:val="16"/>
        <w:szCs w:val="16"/>
      </w:rPr>
      <w:t>Clinical</w:t>
    </w:r>
    <w:r w:rsidRPr="00C02553">
      <w:rPr>
        <w:rFonts w:cs="Arial"/>
        <w:sz w:val="16"/>
        <w:szCs w:val="16"/>
      </w:rPr>
      <w:t xml:space="preserve"> Proposal Form</w:t>
    </w:r>
  </w:p>
  <w:p w14:paraId="64986366" w14:textId="56923C2A" w:rsidR="00811A70" w:rsidRPr="00C02553" w:rsidRDefault="00811A70" w:rsidP="00811A70">
    <w:pPr>
      <w:rPr>
        <w:rFonts w:cs="Arial"/>
        <w:sz w:val="16"/>
        <w:szCs w:val="16"/>
      </w:rPr>
    </w:pPr>
    <w:r w:rsidRPr="00C02553">
      <w:rPr>
        <w:rFonts w:cs="Arial"/>
        <w:sz w:val="16"/>
        <w:szCs w:val="16"/>
      </w:rPr>
      <w:t>© 202</w:t>
    </w:r>
    <w:r w:rsidR="0066374F">
      <w:rPr>
        <w:rFonts w:cs="Arial"/>
        <w:sz w:val="16"/>
        <w:szCs w:val="16"/>
      </w:rPr>
      <w:t>6</w:t>
    </w:r>
    <w:r w:rsidRPr="00C02553">
      <w:rPr>
        <w:rFonts w:cs="Arial"/>
        <w:sz w:val="16"/>
        <w:szCs w:val="16"/>
      </w:rPr>
      <w:t xml:space="preserve"> Conduent Business Services, LLC. All rights reserved. Conduent™ and Conduent Design™ are trademarks of Conduent Business Services, LLC in the United States and/or other countries.</w:t>
    </w:r>
  </w:p>
  <w:p w14:paraId="55B904FD" w14:textId="452A3398" w:rsidR="00811A70" w:rsidRPr="00C02553" w:rsidRDefault="00811A70" w:rsidP="00811A70">
    <w:pPr>
      <w:pStyle w:val="Footer"/>
    </w:pPr>
    <w:r w:rsidRPr="00C02553">
      <w:rPr>
        <w:rFonts w:cs="Arial"/>
        <w:sz w:val="16"/>
        <w:szCs w:val="16"/>
      </w:rPr>
      <w:t>Other company trademarks are also acknowledged.</w:t>
    </w:r>
  </w:p>
  <w:sdt>
    <w:sdtPr>
      <w:id w:val="-1253112024"/>
      <w:docPartObj>
        <w:docPartGallery w:val="Page Numbers (Bottom of Page)"/>
        <w:docPartUnique/>
      </w:docPartObj>
    </w:sdtPr>
    <w:sdtEndPr/>
    <w:sdtContent>
      <w:p w14:paraId="6B0566A7" w14:textId="62FB1748" w:rsidR="00811A70" w:rsidRPr="00C02553" w:rsidRDefault="00811A70">
        <w:pPr>
          <w:pStyle w:val="Footer"/>
          <w:jc w:val="right"/>
        </w:pPr>
        <w:r w:rsidRPr="00C02553">
          <w:fldChar w:fldCharType="begin"/>
        </w:r>
        <w:r w:rsidRPr="00C02553">
          <w:instrText xml:space="preserve"> PAGE   \* MERGEFORMAT </w:instrText>
        </w:r>
        <w:r w:rsidRPr="00C02553">
          <w:fldChar w:fldCharType="separate"/>
        </w:r>
        <w:r w:rsidRPr="00C02553">
          <w:t>2</w:t>
        </w:r>
        <w:r w:rsidRPr="00C02553"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132A3" w14:textId="7267A10D" w:rsidR="005058CB" w:rsidRPr="00C02553" w:rsidRDefault="005058CB" w:rsidP="005058CB">
    <w:pPr>
      <w:pStyle w:val="Footer"/>
      <w:tabs>
        <w:tab w:val="clear" w:pos="8640"/>
        <w:tab w:val="right" w:pos="9360"/>
      </w:tabs>
      <w:jc w:val="both"/>
      <w:rPr>
        <w:rFonts w:cs="Arial"/>
        <w:sz w:val="16"/>
        <w:szCs w:val="16"/>
      </w:rPr>
    </w:pPr>
    <w:r w:rsidRPr="00C02553">
      <w:rPr>
        <w:rFonts w:cs="Arial"/>
        <w:sz w:val="16"/>
        <w:szCs w:val="16"/>
      </w:rPr>
      <w:t>SmartPA</w:t>
    </w:r>
    <w:r w:rsidR="00AE27F9">
      <w:rPr>
        <w:rFonts w:cs="Arial"/>
        <w:sz w:val="16"/>
        <w:szCs w:val="16"/>
      </w:rPr>
      <w:t xml:space="preserve"> Clinical</w:t>
    </w:r>
    <w:r w:rsidRPr="00C02553">
      <w:rPr>
        <w:rFonts w:cs="Arial"/>
        <w:sz w:val="16"/>
        <w:szCs w:val="16"/>
      </w:rPr>
      <w:t xml:space="preserve"> Proposal Form</w:t>
    </w:r>
  </w:p>
  <w:p w14:paraId="4BB04B71" w14:textId="6D51E804" w:rsidR="005058CB" w:rsidRPr="00C02553" w:rsidRDefault="005058CB" w:rsidP="005058CB">
    <w:pPr>
      <w:jc w:val="both"/>
      <w:rPr>
        <w:rFonts w:cs="Arial"/>
        <w:sz w:val="16"/>
        <w:szCs w:val="16"/>
      </w:rPr>
    </w:pPr>
    <w:r w:rsidRPr="00C02553">
      <w:rPr>
        <w:rFonts w:cs="Arial"/>
        <w:sz w:val="16"/>
        <w:szCs w:val="16"/>
      </w:rPr>
      <w:t>© 202</w:t>
    </w:r>
    <w:r w:rsidR="0066374F">
      <w:rPr>
        <w:rFonts w:cs="Arial"/>
        <w:sz w:val="16"/>
        <w:szCs w:val="16"/>
      </w:rPr>
      <w:t>6</w:t>
    </w:r>
    <w:r w:rsidRPr="00C02553">
      <w:rPr>
        <w:rFonts w:cs="Arial"/>
        <w:sz w:val="16"/>
        <w:szCs w:val="16"/>
      </w:rPr>
      <w:t xml:space="preserve"> Conduent Business Services, LLC. All rights reserved. Conduent™ and Conduent Design™ are trademarks of Conduent Business Services, LLC in the United States and/or other countries.</w:t>
    </w:r>
  </w:p>
  <w:p w14:paraId="02F12BA7" w14:textId="454AF8AF" w:rsidR="005058CB" w:rsidRPr="00C02553" w:rsidRDefault="005058CB" w:rsidP="005058CB">
    <w:pPr>
      <w:pStyle w:val="Footer"/>
      <w:tabs>
        <w:tab w:val="clear" w:pos="4320"/>
        <w:tab w:val="clear" w:pos="8640"/>
        <w:tab w:val="left" w:pos="3298"/>
      </w:tabs>
      <w:jc w:val="both"/>
    </w:pPr>
    <w:r w:rsidRPr="00C02553">
      <w:rPr>
        <w:rFonts w:cs="Arial"/>
        <w:sz w:val="16"/>
        <w:szCs w:val="16"/>
      </w:rPr>
      <w:t>Other company trademarks are also acknowledged.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8CB235" w14:textId="77777777" w:rsidR="00DA7A59" w:rsidRPr="00C02553" w:rsidRDefault="00DA7A59" w:rsidP="00AE77DB">
      <w:r w:rsidRPr="00C02553">
        <w:separator/>
      </w:r>
    </w:p>
  </w:footnote>
  <w:footnote w:type="continuationSeparator" w:id="0">
    <w:p w14:paraId="759DDB06" w14:textId="77777777" w:rsidR="00DA7A59" w:rsidRPr="00C02553" w:rsidRDefault="00DA7A59" w:rsidP="00AE77DB">
      <w:r w:rsidRPr="00C02553">
        <w:continuationSeparator/>
      </w:r>
    </w:p>
  </w:footnote>
  <w:footnote w:type="continuationNotice" w:id="1">
    <w:p w14:paraId="44376D07" w14:textId="77777777" w:rsidR="00DA7A59" w:rsidRPr="00C02553" w:rsidRDefault="00DA7A5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3C0EA" w14:textId="7063E565" w:rsidR="00006A61" w:rsidRPr="00C02553" w:rsidRDefault="009E04C2">
    <w:pPr>
      <w:pStyle w:val="Header"/>
      <w:framePr w:wrap="around" w:vAnchor="text" w:hAnchor="margin" w:xAlign="right" w:y="1"/>
      <w:rPr>
        <w:rStyle w:val="PageNumber"/>
        <w:rFonts w:ascii="Times New Roman" w:hAnsi="Times New Roman"/>
      </w:rPr>
    </w:pPr>
    <w:r>
      <w:rPr>
        <w:noProof/>
      </w:rPr>
      <w:pict w14:anchorId="2E1B825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23398344" o:spid="_x0000_s1026" type="#_x0000_t136" style="position:absolute;margin-left:0;margin-top:0;width:471.3pt;height:188.5pt;rotation:315;z-index:-251645952;mso-position-horizontal:center;mso-position-horizontal-relative:margin;mso-position-vertical:center;mso-position-vertical-relative:margin" o:allowincell="f" fillcolor="#8db3e2 [1311]" stroked="f">
          <v:fill opacity=".5"/>
          <v:textpath style="font-family:&quot;Arial&quot;;font-size:1pt" string="DRAFT"/>
          <w10:wrap anchorx="margin" anchory="margin"/>
        </v:shape>
      </w:pict>
    </w:r>
    <w:r w:rsidR="00006A61" w:rsidRPr="00C02553">
      <w:rPr>
        <w:rStyle w:val="PageNumber"/>
        <w:rFonts w:ascii="Times New Roman" w:hAnsi="Times New Roman"/>
      </w:rPr>
      <w:fldChar w:fldCharType="begin"/>
    </w:r>
    <w:r w:rsidR="00006A61" w:rsidRPr="00C02553">
      <w:rPr>
        <w:rStyle w:val="PageNumber"/>
        <w:rFonts w:ascii="Times New Roman" w:hAnsi="Times New Roman"/>
      </w:rPr>
      <w:instrText xml:space="preserve">PAGE  </w:instrText>
    </w:r>
    <w:r w:rsidR="00006A61" w:rsidRPr="00C02553">
      <w:rPr>
        <w:rStyle w:val="PageNumber"/>
        <w:rFonts w:ascii="Times New Roman" w:hAnsi="Times New Roman"/>
      </w:rPr>
      <w:fldChar w:fldCharType="separate"/>
    </w:r>
    <w:r w:rsidR="00006A61" w:rsidRPr="00C02553">
      <w:rPr>
        <w:rStyle w:val="PageNumber"/>
        <w:rFonts w:ascii="Times New Roman" w:hAnsi="Times New Roman"/>
      </w:rPr>
      <w:t>2</w:t>
    </w:r>
    <w:r w:rsidR="00006A61" w:rsidRPr="00C02553">
      <w:rPr>
        <w:rStyle w:val="PageNumber"/>
        <w:rFonts w:ascii="Times New Roman" w:hAnsi="Times New Roman"/>
      </w:rPr>
      <w:fldChar w:fldCharType="end"/>
    </w:r>
  </w:p>
  <w:p w14:paraId="6413C0EB" w14:textId="77777777" w:rsidR="00006A61" w:rsidRPr="00C02553" w:rsidRDefault="00006A61">
    <w:pPr>
      <w:pStyle w:val="Header"/>
      <w:ind w:right="360"/>
      <w:rPr>
        <w:rFonts w:ascii="Times New Roman" w:hAnsi="Times New Roma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B5C89" w14:textId="7961ADD4" w:rsidR="00596936" w:rsidRDefault="009E04C2">
    <w:pPr>
      <w:pStyle w:val="Header"/>
    </w:pPr>
    <w:r>
      <w:rPr>
        <w:noProof/>
      </w:rPr>
      <w:pict w14:anchorId="5607840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23398345" o:spid="_x0000_s1027" type="#_x0000_t136" style="position:absolute;margin-left:0;margin-top:0;width:471.3pt;height:233.8pt;rotation:315;z-index:-251643904;mso-position-horizontal:center;mso-position-horizontal-relative:margin;mso-position-vertical:center;mso-position-vertical-relative:margin" o:allowincell="f" fillcolor="#8db3e2 [1311]" stroked="f">
          <v:fill opacity=".5"/>
          <v:textpath style="font-family:&quot;Arial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3C0F5" w14:textId="2D8F384B" w:rsidR="00006A61" w:rsidRPr="00C02553" w:rsidRDefault="009E04C2">
    <w:pPr>
      <w:pStyle w:val="Header"/>
      <w:rPr>
        <w:rFonts w:ascii="Times New Roman" w:hAnsi="Times New Roman"/>
      </w:rPr>
    </w:pPr>
    <w:r>
      <w:rPr>
        <w:noProof/>
      </w:rPr>
      <w:pict w14:anchorId="543FC5A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23398343" o:spid="_x0000_s1025" type="#_x0000_t136" style="position:absolute;margin-left:0;margin-top:0;width:471.3pt;height:188.5pt;rotation:315;z-index:-251648000;mso-position-horizontal:center;mso-position-horizontal-relative:margin;mso-position-vertical:center;mso-position-vertical-relative:margin" o:allowincell="f" fillcolor="#8db3e2 [1311]" stroked="f">
          <v:fill opacity=".5"/>
          <v:textpath style="font-family:&quot;Arial&quot;;font-size:1pt" string="DRAFT"/>
          <w10:wrap anchorx="margin" anchory="margin"/>
        </v:shape>
      </w:pict>
    </w:r>
    <w:r w:rsidR="00AB0B9F" w:rsidRPr="00C02553">
      <w:rPr>
        <w:noProof/>
      </w:rPr>
      <w:drawing>
        <wp:anchor distT="0" distB="0" distL="114300" distR="114300" simplePos="0" relativeHeight="251666432" behindDoc="0" locked="0" layoutInCell="1" allowOverlap="1" wp14:anchorId="5FC91FEB" wp14:editId="34B93FD0">
          <wp:simplePos x="0" y="0"/>
          <wp:positionH relativeFrom="margin">
            <wp:posOffset>3844562</wp:posOffset>
          </wp:positionH>
          <wp:positionV relativeFrom="topMargin">
            <wp:posOffset>280035</wp:posOffset>
          </wp:positionV>
          <wp:extent cx="2247900" cy="823595"/>
          <wp:effectExtent l="0" t="0" r="0" b="0"/>
          <wp:wrapNone/>
          <wp:docPr id="1097982338" name="Picture 109798233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7982338" name="Picture 1097982338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47900" cy="82359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14="http://schemas.microsoft.com/office/drawing/2010/main" xmlns:adec="http://schemas.microsoft.com/office/drawing/2017/decorative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72053">
      <w:rPr>
        <w:noProof/>
      </w:rPr>
      <w:drawing>
        <wp:inline distT="0" distB="0" distL="0" distR="0" wp14:anchorId="7324E1DB" wp14:editId="55411647">
          <wp:extent cx="2887345" cy="937260"/>
          <wp:effectExtent l="0" t="0" r="8255" b="0"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87345" cy="9372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2EB0A36E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49E4FEB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C9D228E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24E114E"/>
    <w:multiLevelType w:val="multilevel"/>
    <w:tmpl w:val="0409001D"/>
    <w:styleLink w:val="ProposalCriteri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048D40C3"/>
    <w:multiLevelType w:val="multilevel"/>
    <w:tmpl w:val="E1A2A51C"/>
    <w:numStyleLink w:val="References"/>
  </w:abstractNum>
  <w:abstractNum w:abstractNumId="5" w15:restartNumberingAfterBreak="0">
    <w:nsid w:val="18040D15"/>
    <w:multiLevelType w:val="hybridMultilevel"/>
    <w:tmpl w:val="EF7A9B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532E36"/>
    <w:multiLevelType w:val="hybridMultilevel"/>
    <w:tmpl w:val="D8ACDD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CD006A3"/>
    <w:multiLevelType w:val="multilevel"/>
    <w:tmpl w:val="0409001D"/>
    <w:styleLink w:val="ProposalCriteria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1F750365"/>
    <w:multiLevelType w:val="hybridMultilevel"/>
    <w:tmpl w:val="EB1ACF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9CC27D0"/>
    <w:multiLevelType w:val="multilevel"/>
    <w:tmpl w:val="0409001D"/>
    <w:styleLink w:val="ListProposal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2AF357E0"/>
    <w:multiLevelType w:val="hybridMultilevel"/>
    <w:tmpl w:val="EC8085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BF7EE3"/>
    <w:multiLevelType w:val="hybridMultilevel"/>
    <w:tmpl w:val="F572D9A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E8538EC"/>
    <w:multiLevelType w:val="hybridMultilevel"/>
    <w:tmpl w:val="5F84E7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C342873"/>
    <w:multiLevelType w:val="hybridMultilevel"/>
    <w:tmpl w:val="04AA43C0"/>
    <w:lvl w:ilvl="0" w:tplc="7E0ACC1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22B1329"/>
    <w:multiLevelType w:val="multilevel"/>
    <w:tmpl w:val="7B304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6387045"/>
    <w:multiLevelType w:val="hybridMultilevel"/>
    <w:tmpl w:val="7FC080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C353422"/>
    <w:multiLevelType w:val="hybridMultilevel"/>
    <w:tmpl w:val="C3148890"/>
    <w:lvl w:ilvl="0" w:tplc="A8A43FF4">
      <w:numFmt w:val="bullet"/>
      <w:lvlText w:val=""/>
      <w:lvlJc w:val="left"/>
      <w:pPr>
        <w:ind w:left="360" w:hanging="360"/>
      </w:pPr>
      <w:rPr>
        <w:rFonts w:ascii="Symbol" w:eastAsia="Arial" w:hAnsi="Symbol" w:cs="Arial" w:hint="default"/>
      </w:rPr>
    </w:lvl>
    <w:lvl w:ilvl="1" w:tplc="04090003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0112A3E"/>
    <w:multiLevelType w:val="multilevel"/>
    <w:tmpl w:val="DDB4D214"/>
    <w:lvl w:ilvl="0">
      <w:start w:val="1"/>
      <w:numFmt w:val="bullet"/>
      <w:pStyle w:val="ListParagraph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0F4489F"/>
    <w:multiLevelType w:val="hybridMultilevel"/>
    <w:tmpl w:val="64DA68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6E70934"/>
    <w:multiLevelType w:val="hybridMultilevel"/>
    <w:tmpl w:val="FDAC3E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DB91844"/>
    <w:multiLevelType w:val="hybridMultilevel"/>
    <w:tmpl w:val="04A6B0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</w:rPr>
    </w:lvl>
    <w:lvl w:ilvl="3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4064CF6"/>
    <w:multiLevelType w:val="hybridMultilevel"/>
    <w:tmpl w:val="C3E2293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7676EE0"/>
    <w:multiLevelType w:val="hybridMultilevel"/>
    <w:tmpl w:val="CA8837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86A5174"/>
    <w:multiLevelType w:val="multilevel"/>
    <w:tmpl w:val="E1A2A51C"/>
    <w:styleLink w:val="References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67994657">
    <w:abstractNumId w:val="0"/>
  </w:num>
  <w:num w:numId="2" w16cid:durableId="517891239">
    <w:abstractNumId w:val="23"/>
  </w:num>
  <w:num w:numId="3" w16cid:durableId="1729067566">
    <w:abstractNumId w:val="4"/>
  </w:num>
  <w:num w:numId="4" w16cid:durableId="320159068">
    <w:abstractNumId w:val="9"/>
  </w:num>
  <w:num w:numId="5" w16cid:durableId="1769498754">
    <w:abstractNumId w:val="3"/>
  </w:num>
  <w:num w:numId="6" w16cid:durableId="1094596320">
    <w:abstractNumId w:val="17"/>
  </w:num>
  <w:num w:numId="7" w16cid:durableId="2110008555">
    <w:abstractNumId w:val="2"/>
  </w:num>
  <w:num w:numId="8" w16cid:durableId="489712751">
    <w:abstractNumId w:val="7"/>
  </w:num>
  <w:num w:numId="9" w16cid:durableId="1085147965">
    <w:abstractNumId w:val="12"/>
  </w:num>
  <w:num w:numId="10" w16cid:durableId="917518096">
    <w:abstractNumId w:val="10"/>
  </w:num>
  <w:num w:numId="11" w16cid:durableId="1894998475">
    <w:abstractNumId w:val="1"/>
  </w:num>
  <w:num w:numId="12" w16cid:durableId="1418215296">
    <w:abstractNumId w:val="19"/>
  </w:num>
  <w:num w:numId="13" w16cid:durableId="604729665">
    <w:abstractNumId w:val="5"/>
  </w:num>
  <w:num w:numId="14" w16cid:durableId="1805081292">
    <w:abstractNumId w:val="14"/>
  </w:num>
  <w:num w:numId="15" w16cid:durableId="1911186802">
    <w:abstractNumId w:val="6"/>
  </w:num>
  <w:num w:numId="16" w16cid:durableId="1014304344">
    <w:abstractNumId w:val="20"/>
  </w:num>
  <w:num w:numId="17" w16cid:durableId="1397899452">
    <w:abstractNumId w:val="16"/>
  </w:num>
  <w:num w:numId="18" w16cid:durableId="279147771">
    <w:abstractNumId w:val="17"/>
  </w:num>
  <w:num w:numId="19" w16cid:durableId="69162268">
    <w:abstractNumId w:val="21"/>
  </w:num>
  <w:num w:numId="20" w16cid:durableId="404764218">
    <w:abstractNumId w:val="11"/>
  </w:num>
  <w:num w:numId="21" w16cid:durableId="1865358641">
    <w:abstractNumId w:val="18"/>
  </w:num>
  <w:num w:numId="22" w16cid:durableId="749086310">
    <w:abstractNumId w:val="15"/>
  </w:num>
  <w:num w:numId="23" w16cid:durableId="1219583984">
    <w:abstractNumId w:val="13"/>
  </w:num>
  <w:num w:numId="24" w16cid:durableId="1660189624">
    <w:abstractNumId w:val="8"/>
  </w:num>
  <w:num w:numId="25" w16cid:durableId="1644918956">
    <w:abstractNumId w:val="22"/>
  </w:num>
  <w:num w:numId="26" w16cid:durableId="1529442394">
    <w:abstractNumId w:val="17"/>
  </w:num>
  <w:num w:numId="27" w16cid:durableId="1757508511">
    <w:abstractNumId w:val="17"/>
  </w:num>
  <w:num w:numId="28" w16cid:durableId="586815141">
    <w:abstractNumId w:val="17"/>
  </w:num>
  <w:num w:numId="29" w16cid:durableId="1328170796">
    <w:abstractNumId w:val="17"/>
  </w:num>
  <w:num w:numId="30" w16cid:durableId="2101365605">
    <w:abstractNumId w:val="1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 w:grammar="clean"/>
  <w:stylePaneFormatFilter w:val="1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ocumentProtection w:edit="readOnly" w:formatting="1" w:enforcement="1" w:cryptProviderType="rsaAES" w:cryptAlgorithmClass="hash" w:cryptAlgorithmType="typeAny" w:cryptAlgorithmSid="14" w:cryptSpinCount="100000" w:hash="JigIZYAQqFwffPL6FY6lQVRlWDHI95Ix3opam06MoT5e9+4YylKwZXo1edPhXpSjVyPWcDj8mhvbon3pSh5CEg==" w:salt="2RYIHReqoAwJVeVQO5Td0g=="/>
  <w:defaultTabStop w:val="720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7DB"/>
    <w:rsid w:val="0000390A"/>
    <w:rsid w:val="0000457E"/>
    <w:rsid w:val="00006A61"/>
    <w:rsid w:val="00017CBA"/>
    <w:rsid w:val="000276D9"/>
    <w:rsid w:val="000344C5"/>
    <w:rsid w:val="00040AD3"/>
    <w:rsid w:val="00051F8F"/>
    <w:rsid w:val="00053807"/>
    <w:rsid w:val="000572E5"/>
    <w:rsid w:val="00061541"/>
    <w:rsid w:val="00064162"/>
    <w:rsid w:val="00065C22"/>
    <w:rsid w:val="000666DC"/>
    <w:rsid w:val="00066A93"/>
    <w:rsid w:val="00074464"/>
    <w:rsid w:val="00076030"/>
    <w:rsid w:val="0007690B"/>
    <w:rsid w:val="00082590"/>
    <w:rsid w:val="00090B25"/>
    <w:rsid w:val="000913C3"/>
    <w:rsid w:val="0009482C"/>
    <w:rsid w:val="000953B9"/>
    <w:rsid w:val="000A2D17"/>
    <w:rsid w:val="000A413B"/>
    <w:rsid w:val="000A6279"/>
    <w:rsid w:val="000B496B"/>
    <w:rsid w:val="000C3940"/>
    <w:rsid w:val="000C5992"/>
    <w:rsid w:val="000E1479"/>
    <w:rsid w:val="000E231E"/>
    <w:rsid w:val="000E247D"/>
    <w:rsid w:val="000E6B14"/>
    <w:rsid w:val="000E70D8"/>
    <w:rsid w:val="001062F6"/>
    <w:rsid w:val="00112FC7"/>
    <w:rsid w:val="0012130C"/>
    <w:rsid w:val="00122043"/>
    <w:rsid w:val="00124DB2"/>
    <w:rsid w:val="00125F5F"/>
    <w:rsid w:val="00126951"/>
    <w:rsid w:val="00126B60"/>
    <w:rsid w:val="00127EF6"/>
    <w:rsid w:val="001310AD"/>
    <w:rsid w:val="001314A5"/>
    <w:rsid w:val="00132C7F"/>
    <w:rsid w:val="00143A11"/>
    <w:rsid w:val="00144DBE"/>
    <w:rsid w:val="00152C8B"/>
    <w:rsid w:val="0015636A"/>
    <w:rsid w:val="001710F2"/>
    <w:rsid w:val="00172053"/>
    <w:rsid w:val="0017491E"/>
    <w:rsid w:val="00177A80"/>
    <w:rsid w:val="001808B8"/>
    <w:rsid w:val="00197659"/>
    <w:rsid w:val="001A50CB"/>
    <w:rsid w:val="001A74B7"/>
    <w:rsid w:val="001B2D47"/>
    <w:rsid w:val="001B5F66"/>
    <w:rsid w:val="001C0250"/>
    <w:rsid w:val="001C11E5"/>
    <w:rsid w:val="001C6DA4"/>
    <w:rsid w:val="001C73B1"/>
    <w:rsid w:val="001D1E7D"/>
    <w:rsid w:val="001D5213"/>
    <w:rsid w:val="001D6567"/>
    <w:rsid w:val="001E2CCB"/>
    <w:rsid w:val="001E2EF3"/>
    <w:rsid w:val="001E4CBA"/>
    <w:rsid w:val="001E5013"/>
    <w:rsid w:val="001E523C"/>
    <w:rsid w:val="001E6008"/>
    <w:rsid w:val="001E61DF"/>
    <w:rsid w:val="001F2B9F"/>
    <w:rsid w:val="001F3A35"/>
    <w:rsid w:val="001F5954"/>
    <w:rsid w:val="001F74B6"/>
    <w:rsid w:val="00202DD3"/>
    <w:rsid w:val="00206E7D"/>
    <w:rsid w:val="002109F9"/>
    <w:rsid w:val="00217E14"/>
    <w:rsid w:val="00217EFD"/>
    <w:rsid w:val="00222134"/>
    <w:rsid w:val="0022233F"/>
    <w:rsid w:val="00222EE6"/>
    <w:rsid w:val="00226275"/>
    <w:rsid w:val="002262E8"/>
    <w:rsid w:val="0024021A"/>
    <w:rsid w:val="00241104"/>
    <w:rsid w:val="00245732"/>
    <w:rsid w:val="00246564"/>
    <w:rsid w:val="00246A3B"/>
    <w:rsid w:val="00250FBF"/>
    <w:rsid w:val="00255404"/>
    <w:rsid w:val="0025594F"/>
    <w:rsid w:val="002651B3"/>
    <w:rsid w:val="00270C5E"/>
    <w:rsid w:val="00290A03"/>
    <w:rsid w:val="0029159A"/>
    <w:rsid w:val="00291600"/>
    <w:rsid w:val="002A02F4"/>
    <w:rsid w:val="002C27ED"/>
    <w:rsid w:val="002C2C41"/>
    <w:rsid w:val="002C505C"/>
    <w:rsid w:val="002C62E7"/>
    <w:rsid w:val="002E05E2"/>
    <w:rsid w:val="002E2DD6"/>
    <w:rsid w:val="002E3F28"/>
    <w:rsid w:val="002E4D7D"/>
    <w:rsid w:val="002F0E52"/>
    <w:rsid w:val="002F2274"/>
    <w:rsid w:val="002F2405"/>
    <w:rsid w:val="002F690F"/>
    <w:rsid w:val="00302A83"/>
    <w:rsid w:val="0030301F"/>
    <w:rsid w:val="00303B21"/>
    <w:rsid w:val="003105A5"/>
    <w:rsid w:val="00313701"/>
    <w:rsid w:val="00314430"/>
    <w:rsid w:val="00316188"/>
    <w:rsid w:val="003171AF"/>
    <w:rsid w:val="00317469"/>
    <w:rsid w:val="0032215C"/>
    <w:rsid w:val="0032616B"/>
    <w:rsid w:val="00326687"/>
    <w:rsid w:val="003275F9"/>
    <w:rsid w:val="003276BF"/>
    <w:rsid w:val="00330DD4"/>
    <w:rsid w:val="003312DA"/>
    <w:rsid w:val="003345D2"/>
    <w:rsid w:val="003355AC"/>
    <w:rsid w:val="00343D6B"/>
    <w:rsid w:val="00346090"/>
    <w:rsid w:val="00347FB5"/>
    <w:rsid w:val="00350B96"/>
    <w:rsid w:val="00351E4B"/>
    <w:rsid w:val="00355515"/>
    <w:rsid w:val="003608B5"/>
    <w:rsid w:val="003613AF"/>
    <w:rsid w:val="003878C1"/>
    <w:rsid w:val="00393EE5"/>
    <w:rsid w:val="00396C0B"/>
    <w:rsid w:val="003A630F"/>
    <w:rsid w:val="003B3958"/>
    <w:rsid w:val="003B4820"/>
    <w:rsid w:val="003B5F4B"/>
    <w:rsid w:val="003B682F"/>
    <w:rsid w:val="003C53FC"/>
    <w:rsid w:val="003C5718"/>
    <w:rsid w:val="003C7013"/>
    <w:rsid w:val="003D4704"/>
    <w:rsid w:val="003D641B"/>
    <w:rsid w:val="003F227C"/>
    <w:rsid w:val="003F22EF"/>
    <w:rsid w:val="004023CC"/>
    <w:rsid w:val="0040672C"/>
    <w:rsid w:val="00407564"/>
    <w:rsid w:val="00411152"/>
    <w:rsid w:val="004156AA"/>
    <w:rsid w:val="004253A1"/>
    <w:rsid w:val="004313B6"/>
    <w:rsid w:val="00433339"/>
    <w:rsid w:val="00446BBC"/>
    <w:rsid w:val="004472C0"/>
    <w:rsid w:val="00450705"/>
    <w:rsid w:val="00451928"/>
    <w:rsid w:val="004540E3"/>
    <w:rsid w:val="00460B5D"/>
    <w:rsid w:val="0046618B"/>
    <w:rsid w:val="0048608C"/>
    <w:rsid w:val="00496E57"/>
    <w:rsid w:val="004B3E10"/>
    <w:rsid w:val="004C0F5D"/>
    <w:rsid w:val="004C2B30"/>
    <w:rsid w:val="004C375A"/>
    <w:rsid w:val="004C4954"/>
    <w:rsid w:val="004C5585"/>
    <w:rsid w:val="004C5767"/>
    <w:rsid w:val="004D0080"/>
    <w:rsid w:val="004D5322"/>
    <w:rsid w:val="004D78B0"/>
    <w:rsid w:val="004D7C55"/>
    <w:rsid w:val="004E27A6"/>
    <w:rsid w:val="004E611F"/>
    <w:rsid w:val="004F13D0"/>
    <w:rsid w:val="004F2A79"/>
    <w:rsid w:val="004F4D37"/>
    <w:rsid w:val="004F7FEA"/>
    <w:rsid w:val="00501A14"/>
    <w:rsid w:val="00501DE3"/>
    <w:rsid w:val="005058CB"/>
    <w:rsid w:val="0051044D"/>
    <w:rsid w:val="00512204"/>
    <w:rsid w:val="005139E4"/>
    <w:rsid w:val="00514C8A"/>
    <w:rsid w:val="00515075"/>
    <w:rsid w:val="00516D12"/>
    <w:rsid w:val="00520FE9"/>
    <w:rsid w:val="005233E7"/>
    <w:rsid w:val="00526C8D"/>
    <w:rsid w:val="005328B2"/>
    <w:rsid w:val="00534915"/>
    <w:rsid w:val="005357AA"/>
    <w:rsid w:val="00535BD5"/>
    <w:rsid w:val="00540977"/>
    <w:rsid w:val="00546F90"/>
    <w:rsid w:val="00551668"/>
    <w:rsid w:val="005572D5"/>
    <w:rsid w:val="005641CA"/>
    <w:rsid w:val="00566BE4"/>
    <w:rsid w:val="00570D21"/>
    <w:rsid w:val="00576113"/>
    <w:rsid w:val="00590652"/>
    <w:rsid w:val="0059235F"/>
    <w:rsid w:val="00596936"/>
    <w:rsid w:val="005A2F1E"/>
    <w:rsid w:val="005A4232"/>
    <w:rsid w:val="005A4836"/>
    <w:rsid w:val="005C3616"/>
    <w:rsid w:val="005D36B2"/>
    <w:rsid w:val="005D52E7"/>
    <w:rsid w:val="005D78B5"/>
    <w:rsid w:val="005E3572"/>
    <w:rsid w:val="005E45E4"/>
    <w:rsid w:val="005F0A81"/>
    <w:rsid w:val="005F0FCF"/>
    <w:rsid w:val="005F2720"/>
    <w:rsid w:val="005F6104"/>
    <w:rsid w:val="0060042F"/>
    <w:rsid w:val="006008BC"/>
    <w:rsid w:val="00602CFD"/>
    <w:rsid w:val="00606B55"/>
    <w:rsid w:val="00612A7B"/>
    <w:rsid w:val="00616E5E"/>
    <w:rsid w:val="006173A4"/>
    <w:rsid w:val="006205AD"/>
    <w:rsid w:val="00625C3A"/>
    <w:rsid w:val="00635DDB"/>
    <w:rsid w:val="0064149A"/>
    <w:rsid w:val="00646DFE"/>
    <w:rsid w:val="00650530"/>
    <w:rsid w:val="00650C96"/>
    <w:rsid w:val="00652E66"/>
    <w:rsid w:val="00653788"/>
    <w:rsid w:val="0065477F"/>
    <w:rsid w:val="006560B3"/>
    <w:rsid w:val="00656896"/>
    <w:rsid w:val="00661656"/>
    <w:rsid w:val="0066374F"/>
    <w:rsid w:val="00677732"/>
    <w:rsid w:val="00677C65"/>
    <w:rsid w:val="00693152"/>
    <w:rsid w:val="00694FAE"/>
    <w:rsid w:val="00696E3A"/>
    <w:rsid w:val="006A0834"/>
    <w:rsid w:val="006A4BBD"/>
    <w:rsid w:val="006A52F1"/>
    <w:rsid w:val="006A5968"/>
    <w:rsid w:val="006B561D"/>
    <w:rsid w:val="006B6D5D"/>
    <w:rsid w:val="006D2330"/>
    <w:rsid w:val="006D4731"/>
    <w:rsid w:val="006E0F8B"/>
    <w:rsid w:val="006E12F7"/>
    <w:rsid w:val="006E29D7"/>
    <w:rsid w:val="006F08B1"/>
    <w:rsid w:val="00702A11"/>
    <w:rsid w:val="007068A4"/>
    <w:rsid w:val="00706D67"/>
    <w:rsid w:val="00713052"/>
    <w:rsid w:val="00721367"/>
    <w:rsid w:val="007231FA"/>
    <w:rsid w:val="007273E1"/>
    <w:rsid w:val="00732C67"/>
    <w:rsid w:val="00734418"/>
    <w:rsid w:val="007422A1"/>
    <w:rsid w:val="00757080"/>
    <w:rsid w:val="00757826"/>
    <w:rsid w:val="00762B13"/>
    <w:rsid w:val="0076311E"/>
    <w:rsid w:val="007632B7"/>
    <w:rsid w:val="0076382F"/>
    <w:rsid w:val="00765768"/>
    <w:rsid w:val="00765D10"/>
    <w:rsid w:val="00766AC8"/>
    <w:rsid w:val="00767486"/>
    <w:rsid w:val="00767B0D"/>
    <w:rsid w:val="0077070E"/>
    <w:rsid w:val="0077296A"/>
    <w:rsid w:val="007773E8"/>
    <w:rsid w:val="00777CA4"/>
    <w:rsid w:val="00792DF0"/>
    <w:rsid w:val="0079438F"/>
    <w:rsid w:val="007A20E3"/>
    <w:rsid w:val="007A3034"/>
    <w:rsid w:val="007A43F8"/>
    <w:rsid w:val="007A527E"/>
    <w:rsid w:val="007A53E7"/>
    <w:rsid w:val="007A78F7"/>
    <w:rsid w:val="007B3333"/>
    <w:rsid w:val="007B379F"/>
    <w:rsid w:val="007B37D6"/>
    <w:rsid w:val="007B5AA2"/>
    <w:rsid w:val="007B5D30"/>
    <w:rsid w:val="007C2E50"/>
    <w:rsid w:val="007D16D1"/>
    <w:rsid w:val="007D2920"/>
    <w:rsid w:val="007D42DD"/>
    <w:rsid w:val="007E6A37"/>
    <w:rsid w:val="007F1774"/>
    <w:rsid w:val="007F593C"/>
    <w:rsid w:val="00811A70"/>
    <w:rsid w:val="0081406E"/>
    <w:rsid w:val="00832211"/>
    <w:rsid w:val="008325F4"/>
    <w:rsid w:val="00832AC8"/>
    <w:rsid w:val="00846FA4"/>
    <w:rsid w:val="008524BA"/>
    <w:rsid w:val="00852B74"/>
    <w:rsid w:val="00856928"/>
    <w:rsid w:val="00865538"/>
    <w:rsid w:val="00867019"/>
    <w:rsid w:val="00870875"/>
    <w:rsid w:val="0088225C"/>
    <w:rsid w:val="00884026"/>
    <w:rsid w:val="00884C78"/>
    <w:rsid w:val="008859E1"/>
    <w:rsid w:val="00896264"/>
    <w:rsid w:val="008A0BC2"/>
    <w:rsid w:val="008A2549"/>
    <w:rsid w:val="008A5D88"/>
    <w:rsid w:val="008A5F78"/>
    <w:rsid w:val="008B2851"/>
    <w:rsid w:val="008C000E"/>
    <w:rsid w:val="008D0E0E"/>
    <w:rsid w:val="008D0F2F"/>
    <w:rsid w:val="008D237F"/>
    <w:rsid w:val="008D3FD8"/>
    <w:rsid w:val="008D6B05"/>
    <w:rsid w:val="008E7D2D"/>
    <w:rsid w:val="008F44C0"/>
    <w:rsid w:val="008F5999"/>
    <w:rsid w:val="00903AD6"/>
    <w:rsid w:val="00904D7A"/>
    <w:rsid w:val="00915332"/>
    <w:rsid w:val="00915FEB"/>
    <w:rsid w:val="009204BB"/>
    <w:rsid w:val="009276C4"/>
    <w:rsid w:val="00935918"/>
    <w:rsid w:val="00935EC3"/>
    <w:rsid w:val="00951097"/>
    <w:rsid w:val="00952592"/>
    <w:rsid w:val="00953C1E"/>
    <w:rsid w:val="0096210F"/>
    <w:rsid w:val="00962633"/>
    <w:rsid w:val="00963187"/>
    <w:rsid w:val="00963ACF"/>
    <w:rsid w:val="00963D1C"/>
    <w:rsid w:val="00964284"/>
    <w:rsid w:val="0097028A"/>
    <w:rsid w:val="00973BD6"/>
    <w:rsid w:val="00984549"/>
    <w:rsid w:val="00985D28"/>
    <w:rsid w:val="00991BF0"/>
    <w:rsid w:val="00992EA3"/>
    <w:rsid w:val="009A0FB1"/>
    <w:rsid w:val="009A1FAC"/>
    <w:rsid w:val="009B001A"/>
    <w:rsid w:val="009B1A62"/>
    <w:rsid w:val="009B5B2A"/>
    <w:rsid w:val="009C0C55"/>
    <w:rsid w:val="009C3CC7"/>
    <w:rsid w:val="009D2057"/>
    <w:rsid w:val="009D3D6C"/>
    <w:rsid w:val="009D5551"/>
    <w:rsid w:val="009D62DB"/>
    <w:rsid w:val="009E04C2"/>
    <w:rsid w:val="009E0B87"/>
    <w:rsid w:val="009E3B42"/>
    <w:rsid w:val="009F518A"/>
    <w:rsid w:val="00A02AF6"/>
    <w:rsid w:val="00A05B60"/>
    <w:rsid w:val="00A13266"/>
    <w:rsid w:val="00A14D7F"/>
    <w:rsid w:val="00A14FA6"/>
    <w:rsid w:val="00A15D64"/>
    <w:rsid w:val="00A20575"/>
    <w:rsid w:val="00A26393"/>
    <w:rsid w:val="00A32452"/>
    <w:rsid w:val="00A325CC"/>
    <w:rsid w:val="00A32BBF"/>
    <w:rsid w:val="00A37444"/>
    <w:rsid w:val="00A4145C"/>
    <w:rsid w:val="00A4281A"/>
    <w:rsid w:val="00A459CF"/>
    <w:rsid w:val="00A5014D"/>
    <w:rsid w:val="00A53E96"/>
    <w:rsid w:val="00A56F18"/>
    <w:rsid w:val="00A628F8"/>
    <w:rsid w:val="00A62BAA"/>
    <w:rsid w:val="00A66172"/>
    <w:rsid w:val="00A744C3"/>
    <w:rsid w:val="00A85246"/>
    <w:rsid w:val="00AA70AB"/>
    <w:rsid w:val="00AB0B9F"/>
    <w:rsid w:val="00AB1713"/>
    <w:rsid w:val="00AB63BE"/>
    <w:rsid w:val="00AC1EBC"/>
    <w:rsid w:val="00AC2599"/>
    <w:rsid w:val="00AC2DE9"/>
    <w:rsid w:val="00AC3CD9"/>
    <w:rsid w:val="00AD2C5F"/>
    <w:rsid w:val="00AE1481"/>
    <w:rsid w:val="00AE27F9"/>
    <w:rsid w:val="00AE77DB"/>
    <w:rsid w:val="00AF7453"/>
    <w:rsid w:val="00AF77AF"/>
    <w:rsid w:val="00B00FFF"/>
    <w:rsid w:val="00B06084"/>
    <w:rsid w:val="00B16735"/>
    <w:rsid w:val="00B17EDE"/>
    <w:rsid w:val="00B22585"/>
    <w:rsid w:val="00B33693"/>
    <w:rsid w:val="00B34C53"/>
    <w:rsid w:val="00B507A5"/>
    <w:rsid w:val="00B52475"/>
    <w:rsid w:val="00B535DA"/>
    <w:rsid w:val="00B56DCC"/>
    <w:rsid w:val="00B56F54"/>
    <w:rsid w:val="00B638C2"/>
    <w:rsid w:val="00B701C8"/>
    <w:rsid w:val="00B758AB"/>
    <w:rsid w:val="00B76277"/>
    <w:rsid w:val="00B772AB"/>
    <w:rsid w:val="00B80395"/>
    <w:rsid w:val="00B80B56"/>
    <w:rsid w:val="00B86372"/>
    <w:rsid w:val="00B909DD"/>
    <w:rsid w:val="00BA1C17"/>
    <w:rsid w:val="00BA1D65"/>
    <w:rsid w:val="00BA44B2"/>
    <w:rsid w:val="00BB3B4D"/>
    <w:rsid w:val="00BC351E"/>
    <w:rsid w:val="00BC3F77"/>
    <w:rsid w:val="00BC5635"/>
    <w:rsid w:val="00BC5675"/>
    <w:rsid w:val="00BD081C"/>
    <w:rsid w:val="00BD180B"/>
    <w:rsid w:val="00BD277B"/>
    <w:rsid w:val="00BD47CA"/>
    <w:rsid w:val="00BD62C7"/>
    <w:rsid w:val="00BE020D"/>
    <w:rsid w:val="00BE0CA5"/>
    <w:rsid w:val="00BE354A"/>
    <w:rsid w:val="00BF5EEF"/>
    <w:rsid w:val="00C02553"/>
    <w:rsid w:val="00C04EB6"/>
    <w:rsid w:val="00C056F9"/>
    <w:rsid w:val="00C064B9"/>
    <w:rsid w:val="00C07A7B"/>
    <w:rsid w:val="00C1018C"/>
    <w:rsid w:val="00C1150E"/>
    <w:rsid w:val="00C14D52"/>
    <w:rsid w:val="00C2586C"/>
    <w:rsid w:val="00C26001"/>
    <w:rsid w:val="00C34E72"/>
    <w:rsid w:val="00C3693E"/>
    <w:rsid w:val="00C56B1F"/>
    <w:rsid w:val="00C5720E"/>
    <w:rsid w:val="00C61B52"/>
    <w:rsid w:val="00C62745"/>
    <w:rsid w:val="00C654CA"/>
    <w:rsid w:val="00C763BD"/>
    <w:rsid w:val="00C779A8"/>
    <w:rsid w:val="00C82E19"/>
    <w:rsid w:val="00C850CA"/>
    <w:rsid w:val="00C96873"/>
    <w:rsid w:val="00CA1735"/>
    <w:rsid w:val="00CA207E"/>
    <w:rsid w:val="00CA2178"/>
    <w:rsid w:val="00CA3C4B"/>
    <w:rsid w:val="00CA7252"/>
    <w:rsid w:val="00CB0FC5"/>
    <w:rsid w:val="00CB2C5A"/>
    <w:rsid w:val="00CD1826"/>
    <w:rsid w:val="00CD6B72"/>
    <w:rsid w:val="00CE0C1C"/>
    <w:rsid w:val="00CE34AF"/>
    <w:rsid w:val="00CF00A4"/>
    <w:rsid w:val="00CF25FB"/>
    <w:rsid w:val="00CF32F1"/>
    <w:rsid w:val="00CF614C"/>
    <w:rsid w:val="00D02F34"/>
    <w:rsid w:val="00D13D87"/>
    <w:rsid w:val="00D16590"/>
    <w:rsid w:val="00D16599"/>
    <w:rsid w:val="00D20720"/>
    <w:rsid w:val="00D232D9"/>
    <w:rsid w:val="00D250D9"/>
    <w:rsid w:val="00D27533"/>
    <w:rsid w:val="00D40F9E"/>
    <w:rsid w:val="00D42DA3"/>
    <w:rsid w:val="00D4546D"/>
    <w:rsid w:val="00D47996"/>
    <w:rsid w:val="00D50C35"/>
    <w:rsid w:val="00D61118"/>
    <w:rsid w:val="00D614F1"/>
    <w:rsid w:val="00D70D50"/>
    <w:rsid w:val="00D71917"/>
    <w:rsid w:val="00D95E68"/>
    <w:rsid w:val="00DA3A0F"/>
    <w:rsid w:val="00DA4E62"/>
    <w:rsid w:val="00DA6990"/>
    <w:rsid w:val="00DA7307"/>
    <w:rsid w:val="00DA7A59"/>
    <w:rsid w:val="00DB27BA"/>
    <w:rsid w:val="00DB3009"/>
    <w:rsid w:val="00DB337A"/>
    <w:rsid w:val="00DC034A"/>
    <w:rsid w:val="00DC039E"/>
    <w:rsid w:val="00DC51CB"/>
    <w:rsid w:val="00DD3EA5"/>
    <w:rsid w:val="00DD4819"/>
    <w:rsid w:val="00DD4B8A"/>
    <w:rsid w:val="00DD5403"/>
    <w:rsid w:val="00DE1388"/>
    <w:rsid w:val="00DE4CF3"/>
    <w:rsid w:val="00DE7501"/>
    <w:rsid w:val="00DF3146"/>
    <w:rsid w:val="00DF3C62"/>
    <w:rsid w:val="00DF57C3"/>
    <w:rsid w:val="00E008D9"/>
    <w:rsid w:val="00E02FE0"/>
    <w:rsid w:val="00E07ABE"/>
    <w:rsid w:val="00E11A3F"/>
    <w:rsid w:val="00E1386E"/>
    <w:rsid w:val="00E2369B"/>
    <w:rsid w:val="00E23EC0"/>
    <w:rsid w:val="00E354AA"/>
    <w:rsid w:val="00E43D54"/>
    <w:rsid w:val="00E442FB"/>
    <w:rsid w:val="00E44500"/>
    <w:rsid w:val="00E529DB"/>
    <w:rsid w:val="00E53A5E"/>
    <w:rsid w:val="00E6466A"/>
    <w:rsid w:val="00E72221"/>
    <w:rsid w:val="00E81B96"/>
    <w:rsid w:val="00E83428"/>
    <w:rsid w:val="00E84C58"/>
    <w:rsid w:val="00E85838"/>
    <w:rsid w:val="00E873A5"/>
    <w:rsid w:val="00E90D11"/>
    <w:rsid w:val="00E915E5"/>
    <w:rsid w:val="00EB0367"/>
    <w:rsid w:val="00EB2450"/>
    <w:rsid w:val="00EB4FB9"/>
    <w:rsid w:val="00EB5BC8"/>
    <w:rsid w:val="00EC2738"/>
    <w:rsid w:val="00ED760F"/>
    <w:rsid w:val="00ED7B42"/>
    <w:rsid w:val="00EE3EA5"/>
    <w:rsid w:val="00EE613F"/>
    <w:rsid w:val="00EE6BD1"/>
    <w:rsid w:val="00EF0262"/>
    <w:rsid w:val="00EF0828"/>
    <w:rsid w:val="00EF6F8B"/>
    <w:rsid w:val="00F03898"/>
    <w:rsid w:val="00F1527A"/>
    <w:rsid w:val="00F2696B"/>
    <w:rsid w:val="00F27821"/>
    <w:rsid w:val="00F4092A"/>
    <w:rsid w:val="00F41F69"/>
    <w:rsid w:val="00F43E41"/>
    <w:rsid w:val="00F4790C"/>
    <w:rsid w:val="00F50C4B"/>
    <w:rsid w:val="00F54C08"/>
    <w:rsid w:val="00F553A2"/>
    <w:rsid w:val="00F6068C"/>
    <w:rsid w:val="00F62F33"/>
    <w:rsid w:val="00F634C1"/>
    <w:rsid w:val="00F63A52"/>
    <w:rsid w:val="00F730BA"/>
    <w:rsid w:val="00F76FD4"/>
    <w:rsid w:val="00F87CCE"/>
    <w:rsid w:val="00F903BE"/>
    <w:rsid w:val="00F95D04"/>
    <w:rsid w:val="00FA16EC"/>
    <w:rsid w:val="00FA2811"/>
    <w:rsid w:val="00FA2D9A"/>
    <w:rsid w:val="00FA40DD"/>
    <w:rsid w:val="00FA4837"/>
    <w:rsid w:val="00FB1D33"/>
    <w:rsid w:val="00FB5E96"/>
    <w:rsid w:val="00FC05A0"/>
    <w:rsid w:val="00FC6758"/>
    <w:rsid w:val="00FD34EA"/>
    <w:rsid w:val="00FE3F3E"/>
    <w:rsid w:val="00FE4D52"/>
    <w:rsid w:val="00FE5AEE"/>
    <w:rsid w:val="00FF106B"/>
    <w:rsid w:val="15EB50BA"/>
    <w:rsid w:val="3EE5225B"/>
    <w:rsid w:val="57511CC9"/>
    <w:rsid w:val="5D8F8430"/>
    <w:rsid w:val="60B9B224"/>
    <w:rsid w:val="79C8556E"/>
    <w:rsid w:val="79EEA449"/>
    <w:rsid w:val="7A077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413BFD7"/>
  <w15:docId w15:val="{2129BE48-D7C8-4C65-9B11-898CB5377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6E3A"/>
    <w:rPr>
      <w:rFonts w:ascii="Arial" w:hAnsi="Arial"/>
      <w:szCs w:val="24"/>
    </w:rPr>
  </w:style>
  <w:style w:type="paragraph" w:styleId="Heading1">
    <w:name w:val="heading 1"/>
    <w:basedOn w:val="Title2"/>
    <w:next w:val="Normal"/>
    <w:link w:val="Heading1Char"/>
    <w:qFormat/>
    <w:rsid w:val="00E23EC0"/>
    <w:pPr>
      <w:framePr w:hSpace="0" w:wrap="auto" w:vAnchor="margin" w:xAlign="left" w:yAlign="inline"/>
      <w:jc w:val="center"/>
      <w:outlineLvl w:val="0"/>
    </w:pPr>
    <w:rPr>
      <w:b/>
      <w:sz w:val="40"/>
      <w:szCs w:val="40"/>
    </w:rPr>
  </w:style>
  <w:style w:type="paragraph" w:styleId="Heading2">
    <w:name w:val="heading 2"/>
    <w:basedOn w:val="Normal"/>
    <w:next w:val="Normal"/>
    <w:link w:val="Heading2Char"/>
    <w:qFormat/>
    <w:rsid w:val="00D02F34"/>
    <w:pPr>
      <w:keepNext/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shd w:val="clear" w:color="auto" w:fill="000099"/>
      <w:ind w:left="-187"/>
      <w:outlineLvl w:val="1"/>
    </w:pPr>
    <w:rPr>
      <w:rFonts w:cs="Arial"/>
      <w:b/>
      <w:spacing w:val="-3"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Fill>
        <w14:solidFill>
          <w14:srgbClr w14:val="FFFFFF"/>
        </w14:solidFill>
      </w14:textFill>
    </w:rPr>
  </w:style>
  <w:style w:type="paragraph" w:styleId="Heading3">
    <w:name w:val="heading 3"/>
    <w:basedOn w:val="Normal"/>
    <w:next w:val="Normal"/>
    <w:qFormat/>
    <w:rsid w:val="00E23EC0"/>
    <w:pPr>
      <w:keepNext/>
      <w:outlineLvl w:val="2"/>
    </w:pPr>
    <w:rPr>
      <w:b/>
      <w:noProof/>
      <w:szCs w:val="20"/>
    </w:rPr>
  </w:style>
  <w:style w:type="paragraph" w:styleId="Heading4">
    <w:name w:val="heading 4"/>
    <w:basedOn w:val="Normal"/>
    <w:next w:val="Normal"/>
    <w:qFormat/>
    <w:rsid w:val="00E915E5"/>
    <w:pPr>
      <w:keepNext/>
      <w:outlineLvl w:val="3"/>
    </w:pPr>
    <w:rPr>
      <w:rFonts w:cs="Arial"/>
      <w:b/>
      <w:bCs/>
    </w:rPr>
  </w:style>
  <w:style w:type="paragraph" w:styleId="Heading5">
    <w:name w:val="heading 5"/>
    <w:basedOn w:val="Normal"/>
    <w:next w:val="Normal"/>
    <w:qFormat/>
    <w:rsid w:val="00B56DCC"/>
    <w:pPr>
      <w:keepNext/>
      <w:outlineLvl w:val="4"/>
    </w:pPr>
    <w:rPr>
      <w:bCs/>
      <w:spacing w:val="-3"/>
      <w:szCs w:val="20"/>
    </w:rPr>
  </w:style>
  <w:style w:type="paragraph" w:styleId="Heading6">
    <w:name w:val="heading 6"/>
    <w:basedOn w:val="Normal"/>
    <w:next w:val="Normal"/>
    <w:qFormat/>
    <w:rsid w:val="00E915E5"/>
    <w:pPr>
      <w:keepNext/>
      <w:ind w:left="-180"/>
      <w:jc w:val="center"/>
      <w:outlineLvl w:val="5"/>
    </w:pPr>
    <w:rPr>
      <w:b/>
      <w:bCs/>
      <w:sz w:val="22"/>
      <w:szCs w:val="20"/>
    </w:rPr>
  </w:style>
  <w:style w:type="paragraph" w:styleId="Heading9">
    <w:name w:val="heading 9"/>
    <w:basedOn w:val="Normal"/>
    <w:next w:val="Normal"/>
    <w:qFormat/>
    <w:rsid w:val="00E915E5"/>
    <w:pPr>
      <w:keepNext/>
      <w:outlineLvl w:val="8"/>
    </w:pPr>
    <w:rPr>
      <w:rFonts w:cs="Arial"/>
      <w:spacing w:val="-3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semiHidden/>
    <w:rsid w:val="00E915E5"/>
    <w:rPr>
      <w:szCs w:val="20"/>
    </w:rPr>
  </w:style>
  <w:style w:type="paragraph" w:styleId="Header">
    <w:name w:val="header"/>
    <w:basedOn w:val="Normal"/>
    <w:link w:val="HeaderChar"/>
    <w:rsid w:val="00E915E5"/>
    <w:pPr>
      <w:tabs>
        <w:tab w:val="center" w:pos="4320"/>
        <w:tab w:val="right" w:pos="8640"/>
      </w:tabs>
    </w:pPr>
    <w:rPr>
      <w:sz w:val="22"/>
      <w:szCs w:val="20"/>
    </w:rPr>
  </w:style>
  <w:style w:type="paragraph" w:styleId="BodyText2">
    <w:name w:val="Body Text 2"/>
    <w:basedOn w:val="Normal"/>
    <w:semiHidden/>
    <w:rsid w:val="00E915E5"/>
    <w:rPr>
      <w:rFonts w:cs="Arial"/>
      <w:szCs w:val="20"/>
    </w:rPr>
  </w:style>
  <w:style w:type="character" w:styleId="Hyperlink">
    <w:name w:val="Hyperlink"/>
    <w:basedOn w:val="DefaultParagraphFont"/>
    <w:rsid w:val="00E915E5"/>
    <w:rPr>
      <w:color w:val="0000FF"/>
      <w:u w:val="single"/>
    </w:rPr>
  </w:style>
  <w:style w:type="character" w:styleId="PageNumber">
    <w:name w:val="page number"/>
    <w:basedOn w:val="DefaultParagraphFont"/>
    <w:semiHidden/>
    <w:rsid w:val="00E915E5"/>
  </w:style>
  <w:style w:type="paragraph" w:styleId="Footer">
    <w:name w:val="footer"/>
    <w:aliases w:val="f"/>
    <w:basedOn w:val="Normal"/>
    <w:link w:val="FooterChar"/>
    <w:uiPriority w:val="99"/>
    <w:rsid w:val="00E915E5"/>
    <w:pPr>
      <w:tabs>
        <w:tab w:val="center" w:pos="4320"/>
        <w:tab w:val="right" w:pos="8640"/>
      </w:tabs>
    </w:pPr>
    <w:rPr>
      <w:sz w:val="22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1A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1A3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328B2"/>
    <w:pPr>
      <w:numPr>
        <w:numId w:val="6"/>
      </w:numPr>
      <w:contextualSpacing/>
    </w:pPr>
  </w:style>
  <w:style w:type="table" w:styleId="TableGrid">
    <w:name w:val="Table Grid"/>
    <w:basedOn w:val="TableNormal"/>
    <w:rsid w:val="004C0F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aliases w:val="f Char"/>
    <w:link w:val="Footer"/>
    <w:uiPriority w:val="99"/>
    <w:rsid w:val="000E231E"/>
    <w:rPr>
      <w:rFonts w:ascii="Arial" w:hAnsi="Arial"/>
      <w:sz w:val="22"/>
    </w:rPr>
  </w:style>
  <w:style w:type="paragraph" w:styleId="NormalWeb">
    <w:name w:val="Normal (Web)"/>
    <w:basedOn w:val="Normal"/>
    <w:uiPriority w:val="99"/>
    <w:semiHidden/>
    <w:unhideWhenUsed/>
    <w:rsid w:val="00E53A5E"/>
    <w:pPr>
      <w:spacing w:before="100" w:beforeAutospacing="1" w:after="100" w:afterAutospacing="1"/>
    </w:pPr>
    <w:rPr>
      <w:rFonts w:eastAsiaTheme="minorEastAsia"/>
    </w:rPr>
  </w:style>
  <w:style w:type="table" w:styleId="TableGridLight">
    <w:name w:val="Grid Table Light"/>
    <w:basedOn w:val="TableNormal"/>
    <w:uiPriority w:val="40"/>
    <w:rsid w:val="00661656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itle">
    <w:name w:val="Title"/>
    <w:basedOn w:val="Normal"/>
    <w:next w:val="Normal"/>
    <w:link w:val="TitleChar"/>
    <w:rsid w:val="000C3940"/>
    <w:pPr>
      <w:framePr w:hSpace="180" w:wrap="around" w:vAnchor="page" w:hAnchor="text" w:xAlign="center" w:y="2851"/>
      <w:suppressAutoHyphens/>
      <w:spacing w:after="60" w:line="820" w:lineRule="exact"/>
    </w:pPr>
    <w:rPr>
      <w:rFonts w:cs="Arial"/>
      <w:color w:val="2895D5"/>
      <w:sz w:val="76"/>
      <w:szCs w:val="66"/>
    </w:rPr>
  </w:style>
  <w:style w:type="character" w:customStyle="1" w:styleId="TitleChar">
    <w:name w:val="Title Char"/>
    <w:basedOn w:val="DefaultParagraphFont"/>
    <w:link w:val="Title"/>
    <w:rsid w:val="000C3940"/>
    <w:rPr>
      <w:rFonts w:ascii="Arial" w:hAnsi="Arial" w:cs="Arial"/>
      <w:color w:val="2895D5"/>
      <w:sz w:val="76"/>
      <w:szCs w:val="66"/>
    </w:rPr>
  </w:style>
  <w:style w:type="paragraph" w:customStyle="1" w:styleId="Title2">
    <w:name w:val="Title2"/>
    <w:basedOn w:val="Normal"/>
    <w:next w:val="Normal"/>
    <w:rsid w:val="000C3940"/>
    <w:pPr>
      <w:framePr w:hSpace="180" w:wrap="around" w:vAnchor="page" w:hAnchor="text" w:xAlign="center" w:y="2851"/>
      <w:suppressAutoHyphens/>
      <w:spacing w:after="60" w:line="520" w:lineRule="exact"/>
    </w:pPr>
    <w:rPr>
      <w:rFonts w:cs="Arial"/>
      <w:color w:val="595959"/>
      <w:sz w:val="46"/>
      <w:szCs w:val="66"/>
      <w:lang w:val="it-IT"/>
    </w:rPr>
  </w:style>
  <w:style w:type="paragraph" w:customStyle="1" w:styleId="theader">
    <w:name w:val="theader"/>
    <w:basedOn w:val="Normal"/>
    <w:rsid w:val="000C3940"/>
    <w:pPr>
      <w:tabs>
        <w:tab w:val="left" w:pos="2400"/>
      </w:tabs>
      <w:suppressAutoHyphens/>
      <w:spacing w:before="60" w:after="60" w:line="220" w:lineRule="exact"/>
    </w:pPr>
    <w:rPr>
      <w:b/>
      <w:color w:val="FFFFFF"/>
      <w:sz w:val="18"/>
      <w:szCs w:val="20"/>
    </w:rPr>
  </w:style>
  <w:style w:type="paragraph" w:customStyle="1" w:styleId="tbody">
    <w:name w:val="tbody"/>
    <w:basedOn w:val="Normal"/>
    <w:qFormat/>
    <w:rsid w:val="00D27533"/>
    <w:pPr>
      <w:suppressAutoHyphens/>
      <w:spacing w:before="60" w:after="60"/>
    </w:pPr>
    <w:rPr>
      <w:b/>
      <w:szCs w:val="20"/>
    </w:rPr>
  </w:style>
  <w:style w:type="paragraph" w:customStyle="1" w:styleId="Style1">
    <w:name w:val="Style1"/>
    <w:basedOn w:val="Heading2"/>
    <w:link w:val="Style1Char"/>
    <w:qFormat/>
    <w:rsid w:val="000913C3"/>
    <w:rPr>
      <w:sz w:val="28"/>
    </w:rPr>
  </w:style>
  <w:style w:type="character" w:customStyle="1" w:styleId="Heading2Char">
    <w:name w:val="Heading 2 Char"/>
    <w:basedOn w:val="DefaultParagraphFont"/>
    <w:link w:val="Heading2"/>
    <w:rsid w:val="00D02F34"/>
    <w:rPr>
      <w:rFonts w:ascii="Arial" w:hAnsi="Arial" w:cs="Arial"/>
      <w:b/>
      <w:color w:val="auto"/>
      <w:spacing w:val="-3"/>
      <w:sz w:val="24"/>
      <w:shd w:val="clear" w:color="auto" w:fill="000099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Fill>
        <w14:solidFill>
          <w14:srgbClr w14:val="FFFFFF"/>
        </w14:solidFill>
      </w14:textFill>
    </w:rPr>
  </w:style>
  <w:style w:type="character" w:customStyle="1" w:styleId="Style1Char">
    <w:name w:val="Style1 Char"/>
    <w:basedOn w:val="Heading2Char"/>
    <w:link w:val="Style1"/>
    <w:rsid w:val="000913C3"/>
    <w:rPr>
      <w:rFonts w:ascii="Arial" w:hAnsi="Arial" w:cs="Arial"/>
      <w:b/>
      <w:color w:val="auto"/>
      <w:spacing w:val="-3"/>
      <w:sz w:val="28"/>
      <w:shd w:val="clear" w:color="auto" w:fill="000099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Fill>
        <w14:solidFill>
          <w14:srgbClr w14:val="FFFFFF"/>
        </w14:solidFill>
      </w14:textFill>
    </w:rPr>
  </w:style>
  <w:style w:type="character" w:customStyle="1" w:styleId="normaltextrun">
    <w:name w:val="normaltextrun"/>
    <w:basedOn w:val="DefaultParagraphFont"/>
    <w:rsid w:val="00D71917"/>
  </w:style>
  <w:style w:type="character" w:customStyle="1" w:styleId="eop">
    <w:name w:val="eop"/>
    <w:basedOn w:val="DefaultParagraphFont"/>
    <w:rsid w:val="00D71917"/>
  </w:style>
  <w:style w:type="paragraph" w:customStyle="1" w:styleId="paragraph">
    <w:name w:val="paragraph"/>
    <w:basedOn w:val="Normal"/>
    <w:rsid w:val="00653788"/>
    <w:pPr>
      <w:spacing w:before="100" w:beforeAutospacing="1" w:after="100" w:afterAutospacing="1"/>
    </w:pPr>
  </w:style>
  <w:style w:type="paragraph" w:styleId="List2">
    <w:name w:val="List 2"/>
    <w:basedOn w:val="Normal"/>
    <w:rsid w:val="00A32452"/>
    <w:pPr>
      <w:ind w:left="720" w:hanging="360"/>
    </w:pPr>
  </w:style>
  <w:style w:type="character" w:styleId="Emphasis">
    <w:name w:val="Emphasis"/>
    <w:basedOn w:val="DefaultParagraphFont"/>
    <w:uiPriority w:val="20"/>
    <w:qFormat/>
    <w:rsid w:val="003C7013"/>
    <w:rPr>
      <w:i/>
      <w:iCs/>
    </w:rPr>
  </w:style>
  <w:style w:type="paragraph" w:styleId="ListBullet3">
    <w:name w:val="List Bullet 3"/>
    <w:basedOn w:val="Normal"/>
    <w:rsid w:val="00B52475"/>
    <w:pPr>
      <w:numPr>
        <w:numId w:val="1"/>
      </w:numPr>
    </w:pPr>
  </w:style>
  <w:style w:type="character" w:customStyle="1" w:styleId="HeaderChar">
    <w:name w:val="Header Char"/>
    <w:basedOn w:val="DefaultParagraphFont"/>
    <w:link w:val="Header"/>
    <w:rsid w:val="00F62F33"/>
    <w:rPr>
      <w:rFonts w:ascii="Arial" w:hAnsi="Arial"/>
      <w:sz w:val="22"/>
    </w:rPr>
  </w:style>
  <w:style w:type="numbering" w:customStyle="1" w:styleId="References">
    <w:name w:val="References"/>
    <w:basedOn w:val="NoList"/>
    <w:uiPriority w:val="99"/>
    <w:rsid w:val="00F95D04"/>
    <w:pPr>
      <w:numPr>
        <w:numId w:val="2"/>
      </w:numPr>
    </w:pPr>
  </w:style>
  <w:style w:type="numbering" w:customStyle="1" w:styleId="ListProposal">
    <w:name w:val="List Proposal"/>
    <w:basedOn w:val="NoList"/>
    <w:uiPriority w:val="99"/>
    <w:rsid w:val="003A630F"/>
    <w:pPr>
      <w:numPr>
        <w:numId w:val="4"/>
      </w:numPr>
    </w:pPr>
  </w:style>
  <w:style w:type="numbering" w:customStyle="1" w:styleId="ProposalCriteria">
    <w:name w:val="Proposal Criteria"/>
    <w:basedOn w:val="ListProposal"/>
    <w:uiPriority w:val="99"/>
    <w:rsid w:val="00D20720"/>
    <w:pPr>
      <w:numPr>
        <w:numId w:val="5"/>
      </w:numPr>
    </w:pPr>
  </w:style>
  <w:style w:type="paragraph" w:styleId="List">
    <w:name w:val="List"/>
    <w:basedOn w:val="Normal"/>
    <w:uiPriority w:val="99"/>
    <w:unhideWhenUsed/>
    <w:rsid w:val="005F0FCF"/>
    <w:pPr>
      <w:ind w:left="360" w:hanging="360"/>
      <w:contextualSpacing/>
    </w:pPr>
  </w:style>
  <w:style w:type="paragraph" w:styleId="ListBullet">
    <w:name w:val="List Bullet"/>
    <w:basedOn w:val="Normal"/>
    <w:uiPriority w:val="99"/>
    <w:unhideWhenUsed/>
    <w:rsid w:val="005F0FCF"/>
    <w:pPr>
      <w:numPr>
        <w:numId w:val="7"/>
      </w:numPr>
      <w:contextualSpacing/>
    </w:pPr>
  </w:style>
  <w:style w:type="numbering" w:customStyle="1" w:styleId="ProposalCriteria2">
    <w:name w:val="Proposal Criteria 2"/>
    <w:basedOn w:val="ListProposal"/>
    <w:uiPriority w:val="99"/>
    <w:rsid w:val="0015636A"/>
    <w:pPr>
      <w:numPr>
        <w:numId w:val="8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5A4232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3B3958"/>
    <w:rPr>
      <w:rFonts w:ascii="Arial" w:eastAsia="Arial" w:hAnsi="Arial"/>
      <w:sz w:val="22"/>
      <w:szCs w:val="22"/>
    </w:rPr>
  </w:style>
  <w:style w:type="paragraph" w:styleId="ListBullet2">
    <w:name w:val="List Bullet 2"/>
    <w:basedOn w:val="Normal"/>
    <w:rsid w:val="001E4CBA"/>
    <w:pPr>
      <w:numPr>
        <w:numId w:val="11"/>
      </w:numPr>
      <w:tabs>
        <w:tab w:val="clear" w:pos="720"/>
      </w:tabs>
      <w:ind w:left="0" w:firstLine="0"/>
    </w:pPr>
    <w:rPr>
      <w:rFonts w:ascii="Times New Roman" w:hAnsi="Times New Roman"/>
      <w:sz w:val="24"/>
    </w:rPr>
  </w:style>
  <w:style w:type="character" w:customStyle="1" w:styleId="Heading1Char">
    <w:name w:val="Heading 1 Char"/>
    <w:basedOn w:val="DefaultParagraphFont"/>
    <w:link w:val="Heading1"/>
    <w:rsid w:val="009F518A"/>
    <w:rPr>
      <w:rFonts w:ascii="Arial" w:hAnsi="Arial" w:cs="Arial"/>
      <w:b/>
      <w:color w:val="595959"/>
      <w:sz w:val="40"/>
      <w:szCs w:val="40"/>
      <w:lang w:val="it-IT"/>
    </w:rPr>
  </w:style>
  <w:style w:type="character" w:customStyle="1" w:styleId="CommentTextChar">
    <w:name w:val="Comment Text Char"/>
    <w:basedOn w:val="DefaultParagraphFont"/>
    <w:link w:val="CommentText"/>
    <w:semiHidden/>
    <w:rsid w:val="003276BF"/>
    <w:rPr>
      <w:rFonts w:ascii="Arial" w:hAnsi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CA2178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0C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0C55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1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9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9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06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06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52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10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9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1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77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doi.org/10.1016/j.nmd.2017.11.005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icer-review.org/wp-content/uploads/2018/07/ICER_SMA_Final_Evidence_Report_052419.pdf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f5eefb00-5952-4f7e-8cf8-96f81cfadd01" xsi:nil="true"/>
    <lcf76f155ced4ddcb4097134ff3c332f xmlns="aba01ddc-ae9a-4c9e-819c-7140b4239cd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0DC7DF98B8BA4EA314349B5720FCC5" ma:contentTypeVersion="14" ma:contentTypeDescription="Create a new document." ma:contentTypeScope="" ma:versionID="de390def39a4db9ef69de04daecb8dd4">
  <xsd:schema xmlns:xsd="http://www.w3.org/2001/XMLSchema" xmlns:xs="http://www.w3.org/2001/XMLSchema" xmlns:p="http://schemas.microsoft.com/office/2006/metadata/properties" xmlns:ns1="http://schemas.microsoft.com/sharepoint/v3" xmlns:ns2="aba01ddc-ae9a-4c9e-819c-7140b4239cde" xmlns:ns3="f5eefb00-5952-4f7e-8cf8-96f81cfadd01" targetNamespace="http://schemas.microsoft.com/office/2006/metadata/properties" ma:root="true" ma:fieldsID="11fef7f73cac9dabe8a63254546dce04" ns1:_="" ns2:_="" ns3:_="">
    <xsd:import namespace="http://schemas.microsoft.com/sharepoint/v3"/>
    <xsd:import namespace="aba01ddc-ae9a-4c9e-819c-7140b4239cde"/>
    <xsd:import namespace="f5eefb00-5952-4f7e-8cf8-96f81cfadd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a01ddc-ae9a-4c9e-819c-7140b4239c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4b9d60a-532b-456f-bc59-f515255dcd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eefb00-5952-4f7e-8cf8-96f81cfadd0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66737BE-2F73-408C-A12D-12E22498BD92}" ma:internalName="TaxCatchAll" ma:showField="CatchAllData" ma:web="{a1603744-bc25-4bc5-9997-e689a712d7a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639153C-6C98-4F71-850E-F854570ADBF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F9992BC-7C11-4A83-A97F-D2E41AE80BFC}">
  <ds:schemaRefs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purl.org/dc/dcmitype/"/>
    <ds:schemaRef ds:uri="http://schemas.microsoft.com/office/2006/metadata/properties"/>
    <ds:schemaRef ds:uri="http://purl.org/dc/elements/1.1/"/>
    <ds:schemaRef ds:uri="http://schemas.microsoft.com/sharepoint/v3"/>
    <ds:schemaRef ds:uri="aba01ddc-ae9a-4c9e-819c-7140b4239cde"/>
    <ds:schemaRef ds:uri="http://schemas.openxmlformats.org/package/2006/metadata/core-properties"/>
    <ds:schemaRef ds:uri="f5eefb00-5952-4f7e-8cf8-96f81cfadd01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20443CD0-BAC0-4286-8661-ED5329119F5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3ABDE0F-146C-49E7-842B-E56AA2E7EB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ba01ddc-ae9a-4c9e-819c-7140b4239cde"/>
    <ds:schemaRef ds:uri="f5eefb00-5952-4f7e-8cf8-96f81cfadd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1aed4588-b8ce-43a8-a775-989538fd30d8}" enabled="0" method="" siteId="{1aed4588-b8ce-43a8-a775-989538fd30d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1747</Words>
  <Characters>10033</Characters>
  <Application>Microsoft Office Word</Application>
  <DocSecurity>10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Spinal Muscular Atrophy_WEB_Proposal</vt:lpstr>
    </vt:vector>
  </TitlesOfParts>
  <Company>DSS</Company>
  <LinksUpToDate>false</LinksUpToDate>
  <CharactersWithSpaces>11757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Spinal Muscular Atrophy_WEB_Proposal</dc:title>
  <dc:subject/>
  <dc:creator>DMS</dc:creator>
  <cp:keywords/>
  <cp:lastModifiedBy>Heriford, Katherine</cp:lastModifiedBy>
  <cp:revision>50</cp:revision>
  <cp:lastPrinted>2018-10-31T18:17:00Z</cp:lastPrinted>
  <dcterms:created xsi:type="dcterms:W3CDTF">2026-03-12T01:11:00Z</dcterms:created>
  <dcterms:modified xsi:type="dcterms:W3CDTF">2026-03-30T22:10:00Z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0x010100DC0DC7DF98B8BA4EA314349B5720FCC5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MediaServiceImageTags">
    <vt:lpwstr/>
  </property>
</Properties>
</file>