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09AF6707" w:rsidR="004C5767" w:rsidRPr="008859E1" w:rsidRDefault="004C5767" w:rsidP="00D27533">
      <w:pPr>
        <w:pStyle w:val="tbody"/>
        <w:rPr>
          <w:b w:val="0"/>
          <w:bCs/>
        </w:rPr>
      </w:pPr>
      <w:r w:rsidRPr="00C02553">
        <w:t>Drug/Drug Class:</w:t>
      </w:r>
      <w:r w:rsidR="003B4820">
        <w:t xml:space="preserve"> </w:t>
      </w:r>
      <w:r w:rsidR="00CF31DD" w:rsidRPr="00CF31DD">
        <w:rPr>
          <w:b w:val="0"/>
          <w:bCs/>
          <w:lang w:val="it-IT"/>
        </w:rPr>
        <w:t>Familial Chylomicronemia Syndrome (FCS) Clinical Edit</w:t>
      </w:r>
    </w:p>
    <w:p w14:paraId="7AD7FFCE" w14:textId="6E57A0A6" w:rsidR="004C5767" w:rsidRPr="00C02553" w:rsidRDefault="004C5767" w:rsidP="00D27533">
      <w:pPr>
        <w:pStyle w:val="tbody"/>
      </w:pPr>
      <w:r w:rsidRPr="00C02553">
        <w:t xml:space="preserve">First Implementation Date: </w:t>
      </w:r>
      <w:r w:rsidR="00ED0FCA">
        <w:rPr>
          <w:b w:val="0"/>
          <w:bCs/>
        </w:rPr>
        <w:t>February 19, 2026</w:t>
      </w:r>
    </w:p>
    <w:p w14:paraId="4B7D760D" w14:textId="2EC0D991" w:rsidR="004C5767" w:rsidRPr="00D232D9" w:rsidRDefault="00D95E68" w:rsidP="15EB50BA">
      <w:pPr>
        <w:pStyle w:val="tbody"/>
        <w:rPr>
          <w:b w:val="0"/>
        </w:rPr>
      </w:pPr>
      <w:r>
        <w:t>Proposed</w:t>
      </w:r>
      <w:r w:rsidR="004C5767">
        <w:t xml:space="preserve"> Date:</w:t>
      </w:r>
      <w:r w:rsidR="00065C22">
        <w:t xml:space="preserve"> </w:t>
      </w:r>
      <w:r w:rsidR="003708C4">
        <w:rPr>
          <w:b w:val="0"/>
        </w:rPr>
        <w:t xml:space="preserve">April </w:t>
      </w:r>
      <w:r w:rsidR="00BA25A8">
        <w:rPr>
          <w:b w:val="0"/>
        </w:rPr>
        <w:t>8</w:t>
      </w:r>
      <w:r w:rsidR="003708C4">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E5966DA" w:rsidR="004C5767" w:rsidRPr="00D27533" w:rsidRDefault="004C5767" w:rsidP="00D27533">
      <w:pPr>
        <w:pStyle w:val="tbody"/>
        <w:rPr>
          <w:b w:val="0"/>
          <w:bCs/>
          <w:spacing w:val="-3"/>
        </w:rPr>
      </w:pPr>
      <w:r w:rsidRPr="00C02553">
        <w:t xml:space="preserve">Criteria Status: </w:t>
      </w:r>
      <w:r w:rsidR="00261419">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43D1D79B" w14:textId="77777777" w:rsidR="00720A7A" w:rsidRDefault="00720A7A" w:rsidP="00696E3A">
      <w:pPr>
        <w:rPr>
          <w:rFonts w:cs="Arial"/>
          <w:spacing w:val="-3"/>
        </w:rPr>
      </w:pPr>
      <w:r w:rsidRPr="00B219A3">
        <w:rPr>
          <w:rFonts w:cs="Arial"/>
          <w:spacing w:val="-3"/>
        </w:rPr>
        <w:t xml:space="preserve">Ensure appropriate utilization and control of </w:t>
      </w:r>
      <w:r>
        <w:rPr>
          <w:rFonts w:cs="Arial"/>
          <w:spacing w:val="-3"/>
        </w:rPr>
        <w:t>agents to treat f</w:t>
      </w:r>
      <w:r w:rsidRPr="007050F8">
        <w:rPr>
          <w:rFonts w:cs="Arial"/>
          <w:bCs/>
          <w:spacing w:val="-3"/>
        </w:rPr>
        <w:t>amilial chylomicronemia syndrome</w:t>
      </w:r>
      <w:r>
        <w:rPr>
          <w:rFonts w:cs="Arial"/>
          <w:spacing w:val="-3"/>
        </w:rPr>
        <w:t>.</w:t>
      </w:r>
    </w:p>
    <w:p w14:paraId="2320C114" w14:textId="2FBB69AD"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4B27816" w14:textId="77777777" w:rsidR="00266A75" w:rsidRPr="00487A78" w:rsidRDefault="00266A75" w:rsidP="00266A75">
      <w:pPr>
        <w:pStyle w:val="CommentText"/>
        <w:rPr>
          <w:rFonts w:cs="Arial"/>
          <w:bCs/>
          <w:spacing w:val="-3"/>
          <w:lang w:val="it-IT"/>
        </w:rPr>
      </w:pPr>
      <w:r w:rsidRPr="00487A78">
        <w:rPr>
          <w:rFonts w:cs="Arial"/>
          <w:bCs/>
          <w:spacing w:val="-3"/>
          <w:lang w:val="it-IT"/>
        </w:rPr>
        <w:t xml:space="preserve">Familial chylomicronemia syndrome (FCS) is a rare autosomal recessive disorder </w:t>
      </w:r>
    </w:p>
    <w:p w14:paraId="0DB5CD7F" w14:textId="77777777" w:rsidR="00266A75" w:rsidRDefault="00266A75" w:rsidP="00266A75">
      <w:pPr>
        <w:pStyle w:val="CommentText"/>
        <w:rPr>
          <w:rFonts w:cs="Arial"/>
          <w:bCs/>
          <w:spacing w:val="-3"/>
        </w:rPr>
      </w:pPr>
      <w:r w:rsidRPr="007050F8">
        <w:rPr>
          <w:rFonts w:cs="Arial"/>
          <w:bCs/>
          <w:spacing w:val="-3"/>
        </w:rPr>
        <w:t>characterized by severe hypertriglyceridemia (sHTG).</w:t>
      </w:r>
      <w:r>
        <w:rPr>
          <w:rFonts w:cs="Arial"/>
          <w:bCs/>
          <w:spacing w:val="-3"/>
        </w:rPr>
        <w:t xml:space="preserve"> </w:t>
      </w:r>
      <w:r w:rsidRPr="007050F8">
        <w:rPr>
          <w:rFonts w:cs="Arial"/>
          <w:bCs/>
          <w:spacing w:val="-3"/>
        </w:rPr>
        <w:t>FCS results from loss-of-function variants in both copies of the lipoprotein lipase (</w:t>
      </w:r>
      <w:r w:rsidRPr="00B63893">
        <w:rPr>
          <w:rFonts w:cs="Arial"/>
          <w:bCs/>
          <w:i/>
          <w:iCs/>
          <w:spacing w:val="-3"/>
        </w:rPr>
        <w:t>LPL</w:t>
      </w:r>
      <w:r w:rsidRPr="007050F8">
        <w:rPr>
          <w:rFonts w:cs="Arial"/>
          <w:bCs/>
          <w:spacing w:val="-3"/>
        </w:rPr>
        <w:t>)</w:t>
      </w:r>
      <w:r>
        <w:rPr>
          <w:rFonts w:cs="Arial"/>
          <w:bCs/>
          <w:spacing w:val="-3"/>
        </w:rPr>
        <w:t xml:space="preserve"> </w:t>
      </w:r>
      <w:r w:rsidRPr="007050F8">
        <w:rPr>
          <w:rFonts w:cs="Arial"/>
          <w:bCs/>
          <w:spacing w:val="-3"/>
        </w:rPr>
        <w:t>gene, leading to insufficient or absence of the LPL enzyme.</w:t>
      </w:r>
      <w:r>
        <w:rPr>
          <w:rFonts w:cs="Arial"/>
          <w:bCs/>
          <w:spacing w:val="-3"/>
        </w:rPr>
        <w:t xml:space="preserve"> </w:t>
      </w:r>
      <w:r w:rsidRPr="007050F8">
        <w:rPr>
          <w:rFonts w:cs="Arial"/>
          <w:bCs/>
          <w:spacing w:val="-3"/>
        </w:rPr>
        <w:t xml:space="preserve">Reduced LPL activity results in the accumulation of chylomicrons in plasma and </w:t>
      </w:r>
      <w:r>
        <w:rPr>
          <w:rFonts w:cs="Arial"/>
          <w:bCs/>
          <w:spacing w:val="-3"/>
        </w:rPr>
        <w:t xml:space="preserve">triglycerides (TG) </w:t>
      </w:r>
      <w:r w:rsidRPr="007050F8">
        <w:rPr>
          <w:rFonts w:cs="Arial"/>
          <w:bCs/>
          <w:spacing w:val="-3"/>
        </w:rPr>
        <w:t>sometimes exceeding 1,000 mg/dL (a normal TG level is &lt;150 mg/dL)</w:t>
      </w:r>
      <w:r>
        <w:rPr>
          <w:rFonts w:cs="Arial"/>
          <w:bCs/>
          <w:spacing w:val="-3"/>
        </w:rPr>
        <w:t xml:space="preserve">. </w:t>
      </w:r>
      <w:r w:rsidRPr="007050F8">
        <w:rPr>
          <w:rFonts w:cs="Arial"/>
          <w:bCs/>
          <w:spacing w:val="-3"/>
        </w:rPr>
        <w:t>Signs and symptoms of FCS include nausea, vomiting, eruptive xanthomas, difficulty concentrating, forgetfulness, lipemia retinalis, hepatosplenomegaly, recurrent episodes of abdominal pain, and failure to thrive. The most serious complications of FCS are severe episodes of acute pancreatitis (AP), which can be life-threatening.</w:t>
      </w:r>
      <w:r>
        <w:rPr>
          <w:rFonts w:cs="Arial"/>
          <w:bCs/>
          <w:spacing w:val="-3"/>
        </w:rPr>
        <w:t xml:space="preserve"> </w:t>
      </w:r>
      <w:r w:rsidRPr="007050F8">
        <w:rPr>
          <w:rFonts w:cs="Arial"/>
          <w:bCs/>
          <w:spacing w:val="-3"/>
        </w:rPr>
        <w:t xml:space="preserve">An estimated 85% of patients with FCS report at least one episode of AP, and approximately 40% </w:t>
      </w:r>
      <w:r>
        <w:rPr>
          <w:rFonts w:cs="Arial"/>
          <w:bCs/>
          <w:spacing w:val="-3"/>
        </w:rPr>
        <w:t xml:space="preserve">of patients </w:t>
      </w:r>
      <w:r w:rsidRPr="007050F8">
        <w:rPr>
          <w:rFonts w:cs="Arial"/>
          <w:bCs/>
          <w:spacing w:val="-3"/>
        </w:rPr>
        <w:t>have multiple recurrences during their lifetime</w:t>
      </w:r>
      <w:r>
        <w:rPr>
          <w:rFonts w:cs="Arial"/>
          <w:bCs/>
          <w:spacing w:val="-3"/>
        </w:rPr>
        <w:t>.</w:t>
      </w:r>
    </w:p>
    <w:p w14:paraId="12992B06" w14:textId="77777777" w:rsidR="00266A75" w:rsidRDefault="00266A75" w:rsidP="00266A75">
      <w:pPr>
        <w:pStyle w:val="CommentText"/>
        <w:rPr>
          <w:rFonts w:cs="Arial"/>
          <w:bCs/>
          <w:spacing w:val="-3"/>
        </w:rPr>
      </w:pPr>
    </w:p>
    <w:p w14:paraId="6E7FEFFE" w14:textId="27F5B9D4" w:rsidR="00FC43A5" w:rsidRDefault="00FC43A5" w:rsidP="00266A75">
      <w:pPr>
        <w:pStyle w:val="CommentText"/>
      </w:pPr>
      <w:r w:rsidRPr="00FC43A5">
        <w:t>Tryngolza™ (olezarsen), approved on December 19, 2024, is the first FDA-approved treatment for FCS. Tryngolza binds to apoC-III mRNA, resulting in a reduction of serum apoC-III protein</w:t>
      </w:r>
      <w:r w:rsidRPr="00887BE0">
        <w:t xml:space="preserve">. </w:t>
      </w:r>
      <w:r w:rsidR="00E37EE7" w:rsidRPr="002E596A">
        <w:rPr>
          <w:b/>
          <w:color w:val="1F497D" w:themeColor="text2"/>
        </w:rPr>
        <w:t>Redemplo</w:t>
      </w:r>
      <w:r w:rsidR="00E37EE7" w:rsidRPr="002E596A">
        <w:rPr>
          <w:b/>
          <w:color w:val="1F497D" w:themeColor="text2"/>
          <w:vertAlign w:val="superscript"/>
        </w:rPr>
        <w:t xml:space="preserve">® </w:t>
      </w:r>
      <w:r w:rsidR="00E37EE7" w:rsidRPr="002E596A">
        <w:rPr>
          <w:b/>
          <w:color w:val="1F497D" w:themeColor="text2"/>
        </w:rPr>
        <w:t>(plozasiran), approved in November 2025, degrades the apoC-III mRNA through the RNA-interference mechanism.</w:t>
      </w:r>
      <w:r w:rsidR="00E37EE7" w:rsidRPr="00895396">
        <w:rPr>
          <w:b/>
          <w:bCs/>
          <w:color w:val="1F497D" w:themeColor="text2"/>
        </w:rPr>
        <w:t xml:space="preserve"> </w:t>
      </w:r>
      <w:r w:rsidRPr="00FC43A5">
        <w:t>Reduction</w:t>
      </w:r>
      <w:r w:rsidRPr="002E596A">
        <w:rPr>
          <w:color w:val="1F497D" w:themeColor="text2"/>
        </w:rPr>
        <w:t xml:space="preserve"> </w:t>
      </w:r>
      <w:r w:rsidRPr="00FC43A5">
        <w:t xml:space="preserve">of apoC-III protein leads to increased clearance of plasma TG and very-low-density lipoprotein (VLDL). </w:t>
      </w:r>
      <w:r w:rsidR="00E37EE7" w:rsidRPr="00E37EE7">
        <w:t xml:space="preserve"> </w:t>
      </w:r>
    </w:p>
    <w:p w14:paraId="583EF0CC" w14:textId="77777777" w:rsidR="00895396" w:rsidRDefault="00895396" w:rsidP="00266A75">
      <w:pPr>
        <w:pStyle w:val="CommentText"/>
        <w:rPr>
          <w:rFonts w:cs="Arial"/>
          <w:bCs/>
          <w:spacing w:val="-3"/>
        </w:rPr>
      </w:pPr>
    </w:p>
    <w:p w14:paraId="7ACECC9F" w14:textId="1C252CDC" w:rsidR="00B56DCC" w:rsidRDefault="00266A75" w:rsidP="00266A75">
      <w:pPr>
        <w:rPr>
          <w:rFonts w:cs="Arial"/>
          <w:spacing w:val="-3"/>
        </w:rPr>
      </w:pPr>
      <w:r w:rsidRPr="00A27730">
        <w:rPr>
          <w:rFonts w:cs="Arial"/>
          <w:spacing w:val="-3"/>
        </w:rPr>
        <w:t xml:space="preserve">Due to the possible adverse events and specific approved indication, MO HealthNet will impose clinical criteria to ensure appropriate utilization of </w:t>
      </w:r>
      <w:r>
        <w:rPr>
          <w:rFonts w:cs="Arial"/>
          <w:spacing w:val="-3"/>
        </w:rPr>
        <w:t>Tryngolza</w:t>
      </w:r>
      <w:r w:rsidR="00A4734E">
        <w:rPr>
          <w:rFonts w:cs="Arial"/>
          <w:spacing w:val="-3"/>
        </w:rPr>
        <w:t xml:space="preserve"> and </w:t>
      </w:r>
      <w:r w:rsidR="00A4734E" w:rsidRPr="002E596A">
        <w:rPr>
          <w:rFonts w:cs="Arial"/>
          <w:b/>
          <w:color w:val="1F497D" w:themeColor="text2"/>
          <w:spacing w:val="-3"/>
        </w:rPr>
        <w:t>Redemplo</w:t>
      </w:r>
      <w:r w:rsidRPr="00270346">
        <w:rPr>
          <w:rFonts w:cs="Arial"/>
          <w:spacing w:val="-3"/>
        </w:rPr>
        <w:t>.</w:t>
      </w:r>
    </w:p>
    <w:p w14:paraId="55A81772" w14:textId="77777777" w:rsidR="00266A75" w:rsidRDefault="00266A75" w:rsidP="00266A75"/>
    <w:p w14:paraId="5B5260CF" w14:textId="1B40F9AC" w:rsidR="003D4704" w:rsidRDefault="003D4704" w:rsidP="003D4704">
      <w:r>
        <w:rPr>
          <w:b/>
          <w:bCs/>
        </w:rPr>
        <w:t>Program-Specific Information</w:t>
      </w:r>
      <w:r w:rsidR="00E122F6">
        <w:rPr>
          <w:b/>
          <w:bCs/>
        </w:rPr>
        <w:t xml:space="preserve">: </w:t>
      </w:r>
    </w:p>
    <w:tbl>
      <w:tblPr>
        <w:tblW w:w="9464"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29"/>
        <w:gridCol w:w="1707"/>
        <w:gridCol w:w="2164"/>
        <w:gridCol w:w="2164"/>
      </w:tblGrid>
      <w:tr w:rsidR="00D27034" w14:paraId="6CE9DAC4" w14:textId="77777777" w:rsidTr="003E6CED">
        <w:trPr>
          <w:trHeight w:val="286"/>
        </w:trPr>
        <w:tc>
          <w:tcPr>
            <w:tcW w:w="3429" w:type="dxa"/>
            <w:tcBorders>
              <w:top w:val="single" w:sz="6" w:space="0" w:color="auto"/>
              <w:left w:val="single" w:sz="6" w:space="0" w:color="auto"/>
              <w:bottom w:val="single" w:sz="6" w:space="0" w:color="auto"/>
              <w:right w:val="single" w:sz="6" w:space="0" w:color="auto"/>
            </w:tcBorders>
            <w:shd w:val="clear" w:color="auto" w:fill="FABF8F"/>
            <w:vAlign w:val="center"/>
            <w:hideMark/>
          </w:tcPr>
          <w:p w14:paraId="6956A408" w14:textId="77777777" w:rsidR="00D27034" w:rsidRDefault="00D27034">
            <w:pPr>
              <w:pStyle w:val="paragraph"/>
              <w:spacing w:before="0" w:beforeAutospacing="0" w:after="0" w:afterAutospacing="0"/>
              <w:jc w:val="center"/>
              <w:textAlignment w:val="baseline"/>
              <w:rPr>
                <w:rFonts w:ascii="Segoe UI" w:hAnsi="Segoe UI" w:cs="Segoe UI"/>
                <w:sz w:val="18"/>
                <w:szCs w:val="18"/>
              </w:rPr>
            </w:pPr>
            <w:r>
              <w:rPr>
                <w:rStyle w:val="normaltextrun"/>
                <w:rFonts w:cs="Arial"/>
                <w:b/>
                <w:bCs/>
                <w:szCs w:val="20"/>
              </w:rPr>
              <w:t>Drug</w:t>
            </w:r>
            <w:r>
              <w:rPr>
                <w:rStyle w:val="eop"/>
                <w:rFonts w:cs="Arial"/>
                <w:szCs w:val="20"/>
              </w:rPr>
              <w:t> </w:t>
            </w:r>
          </w:p>
        </w:tc>
        <w:tc>
          <w:tcPr>
            <w:tcW w:w="1707" w:type="dxa"/>
            <w:tcBorders>
              <w:top w:val="single" w:sz="6" w:space="0" w:color="auto"/>
              <w:left w:val="single" w:sz="6" w:space="0" w:color="auto"/>
              <w:bottom w:val="single" w:sz="6" w:space="0" w:color="auto"/>
              <w:right w:val="single" w:sz="6" w:space="0" w:color="auto"/>
            </w:tcBorders>
            <w:shd w:val="clear" w:color="auto" w:fill="FABF8F"/>
            <w:vAlign w:val="center"/>
            <w:hideMark/>
          </w:tcPr>
          <w:p w14:paraId="3BDFB98C" w14:textId="77777777" w:rsidR="00D27034" w:rsidRDefault="00D27034">
            <w:pPr>
              <w:pStyle w:val="paragraph"/>
              <w:spacing w:before="0" w:beforeAutospacing="0" w:after="0" w:afterAutospacing="0"/>
              <w:jc w:val="center"/>
              <w:textAlignment w:val="baseline"/>
              <w:rPr>
                <w:rFonts w:ascii="Segoe UI" w:hAnsi="Segoe UI" w:cs="Segoe UI"/>
                <w:sz w:val="18"/>
                <w:szCs w:val="18"/>
              </w:rPr>
            </w:pPr>
            <w:r>
              <w:rPr>
                <w:rStyle w:val="normaltextrun"/>
                <w:rFonts w:cs="Arial"/>
                <w:b/>
                <w:bCs/>
                <w:szCs w:val="20"/>
              </w:rPr>
              <w:t>Participants</w:t>
            </w:r>
            <w:r>
              <w:rPr>
                <w:rStyle w:val="eop"/>
                <w:rFonts w:cs="Arial"/>
                <w:szCs w:val="20"/>
              </w:rPr>
              <w:t> </w:t>
            </w:r>
          </w:p>
        </w:tc>
        <w:tc>
          <w:tcPr>
            <w:tcW w:w="2164" w:type="dxa"/>
            <w:tcBorders>
              <w:top w:val="single" w:sz="6" w:space="0" w:color="auto"/>
              <w:left w:val="single" w:sz="6" w:space="0" w:color="auto"/>
              <w:bottom w:val="nil"/>
              <w:right w:val="single" w:sz="6" w:space="0" w:color="auto"/>
            </w:tcBorders>
            <w:shd w:val="clear" w:color="auto" w:fill="FABF8F"/>
            <w:vAlign w:val="center"/>
            <w:hideMark/>
          </w:tcPr>
          <w:p w14:paraId="44778016" w14:textId="07B49374" w:rsidR="00644088" w:rsidRDefault="00644088" w:rsidP="00644088">
            <w:pPr>
              <w:pStyle w:val="paragraph"/>
              <w:spacing w:before="0" w:beforeAutospacing="0" w:after="0" w:afterAutospacing="0"/>
              <w:jc w:val="center"/>
              <w:textAlignment w:val="baseline"/>
              <w:rPr>
                <w:b/>
                <w:spacing w:val="-3"/>
              </w:rPr>
            </w:pPr>
            <w:r>
              <w:rPr>
                <w:rFonts w:cs="Arial"/>
                <w:b/>
                <w:spacing w:val="-3"/>
                <w:szCs w:val="20"/>
              </w:rPr>
              <w:t xml:space="preserve">Cost per Month </w:t>
            </w:r>
            <w:r w:rsidR="005F2249">
              <w:rPr>
                <w:rFonts w:cs="Arial"/>
                <w:b/>
                <w:spacing w:val="-3"/>
                <w:szCs w:val="20"/>
              </w:rPr>
              <w:t xml:space="preserve"> </w:t>
            </w:r>
          </w:p>
          <w:p w14:paraId="76E046AC" w14:textId="1DA46922" w:rsidR="005F2249" w:rsidRDefault="005F2249" w:rsidP="00644088">
            <w:pPr>
              <w:pStyle w:val="paragraph"/>
              <w:spacing w:before="0" w:beforeAutospacing="0" w:after="0" w:afterAutospacing="0"/>
              <w:jc w:val="center"/>
              <w:textAlignment w:val="baseline"/>
              <w:rPr>
                <w:rFonts w:cs="Arial"/>
                <w:b/>
                <w:spacing w:val="-3"/>
                <w:szCs w:val="20"/>
              </w:rPr>
            </w:pPr>
            <w:r>
              <w:rPr>
                <w:b/>
                <w:spacing w:val="-3"/>
              </w:rPr>
              <w:t>(MAC)</w:t>
            </w:r>
          </w:p>
          <w:p w14:paraId="10DE0641" w14:textId="0A7898E9" w:rsidR="00D27034" w:rsidRDefault="00D27034">
            <w:pPr>
              <w:pStyle w:val="paragraph"/>
              <w:spacing w:before="0" w:beforeAutospacing="0" w:after="0" w:afterAutospacing="0"/>
              <w:jc w:val="center"/>
              <w:textAlignment w:val="baseline"/>
              <w:rPr>
                <w:rFonts w:ascii="Segoe UI" w:hAnsi="Segoe UI" w:cs="Segoe UI"/>
                <w:sz w:val="18"/>
                <w:szCs w:val="18"/>
              </w:rPr>
            </w:pPr>
          </w:p>
        </w:tc>
        <w:tc>
          <w:tcPr>
            <w:tcW w:w="2164" w:type="dxa"/>
            <w:tcBorders>
              <w:top w:val="single" w:sz="6" w:space="0" w:color="auto"/>
              <w:left w:val="single" w:sz="6" w:space="0" w:color="auto"/>
              <w:bottom w:val="nil"/>
              <w:right w:val="single" w:sz="6" w:space="0" w:color="auto"/>
            </w:tcBorders>
            <w:shd w:val="clear" w:color="auto" w:fill="FABF8F"/>
            <w:vAlign w:val="center"/>
            <w:hideMark/>
          </w:tcPr>
          <w:p w14:paraId="48D73688" w14:textId="77777777" w:rsidR="00D27034" w:rsidRDefault="00644088" w:rsidP="00C454A3">
            <w:pPr>
              <w:jc w:val="center"/>
              <w:rPr>
                <w:rFonts w:cs="Arial"/>
                <w:b/>
                <w:spacing w:val="-3"/>
                <w:szCs w:val="20"/>
              </w:rPr>
            </w:pPr>
            <w:r>
              <w:rPr>
                <w:rFonts w:cs="Arial"/>
                <w:b/>
                <w:spacing w:val="-3"/>
                <w:szCs w:val="20"/>
              </w:rPr>
              <w:t>Cost Per Year</w:t>
            </w:r>
          </w:p>
          <w:p w14:paraId="6C394A72" w14:textId="01327A91" w:rsidR="00D27034" w:rsidRPr="00C454A3" w:rsidRDefault="005F2249" w:rsidP="00C454A3">
            <w:pPr>
              <w:jc w:val="center"/>
              <w:rPr>
                <w:rFonts w:cs="Arial"/>
                <w:b/>
                <w:spacing w:val="-3"/>
                <w:szCs w:val="20"/>
              </w:rPr>
            </w:pPr>
            <w:r>
              <w:rPr>
                <w:b/>
                <w:spacing w:val="-3"/>
              </w:rPr>
              <w:t>(MAC)</w:t>
            </w:r>
          </w:p>
        </w:tc>
      </w:tr>
      <w:tr w:rsidR="00D27034" w14:paraId="1DF59A3E" w14:textId="77777777" w:rsidTr="003E6CED">
        <w:trPr>
          <w:trHeight w:val="438"/>
        </w:trPr>
        <w:tc>
          <w:tcPr>
            <w:tcW w:w="3429" w:type="dxa"/>
            <w:tcBorders>
              <w:top w:val="single" w:sz="6" w:space="0" w:color="auto"/>
              <w:left w:val="single" w:sz="6" w:space="0" w:color="auto"/>
              <w:bottom w:val="single" w:sz="6" w:space="0" w:color="auto"/>
              <w:right w:val="single" w:sz="6" w:space="0" w:color="auto"/>
            </w:tcBorders>
            <w:vAlign w:val="center"/>
            <w:hideMark/>
          </w:tcPr>
          <w:p w14:paraId="627A8C02" w14:textId="77777777" w:rsidR="00D27034" w:rsidRDefault="00D27034">
            <w:pPr>
              <w:pStyle w:val="paragraph"/>
              <w:spacing w:before="0" w:beforeAutospacing="0" w:after="0" w:afterAutospacing="0"/>
              <w:jc w:val="center"/>
              <w:textAlignment w:val="baseline"/>
              <w:rPr>
                <w:rFonts w:ascii="Segoe UI" w:hAnsi="Segoe UI" w:cs="Segoe UI"/>
                <w:sz w:val="18"/>
                <w:szCs w:val="18"/>
              </w:rPr>
            </w:pPr>
            <w:r>
              <w:rPr>
                <w:rStyle w:val="normaltextrun"/>
                <w:rFonts w:cs="Arial"/>
                <w:szCs w:val="20"/>
              </w:rPr>
              <w:t>TRYNGOLZA 80 MG/0.8 ML</w:t>
            </w:r>
            <w:r>
              <w:rPr>
                <w:rStyle w:val="eop"/>
                <w:rFonts w:cs="Arial"/>
                <w:szCs w:val="20"/>
              </w:rPr>
              <w:t> </w:t>
            </w:r>
          </w:p>
        </w:tc>
        <w:tc>
          <w:tcPr>
            <w:tcW w:w="1707" w:type="dxa"/>
            <w:tcBorders>
              <w:top w:val="single" w:sz="6" w:space="0" w:color="auto"/>
              <w:left w:val="single" w:sz="6" w:space="0" w:color="auto"/>
              <w:bottom w:val="single" w:sz="6" w:space="0" w:color="auto"/>
              <w:right w:val="single" w:sz="6" w:space="0" w:color="auto"/>
            </w:tcBorders>
            <w:vAlign w:val="center"/>
            <w:hideMark/>
          </w:tcPr>
          <w:p w14:paraId="125A1DD8" w14:textId="77777777" w:rsidR="00D27034" w:rsidRDefault="00D27034">
            <w:pPr>
              <w:pStyle w:val="paragraph"/>
              <w:spacing w:before="0" w:beforeAutospacing="0" w:after="0" w:afterAutospacing="0"/>
              <w:jc w:val="center"/>
              <w:textAlignment w:val="baseline"/>
              <w:rPr>
                <w:rFonts w:ascii="Segoe UI" w:hAnsi="Segoe UI" w:cs="Segoe UI"/>
                <w:sz w:val="18"/>
                <w:szCs w:val="18"/>
              </w:rPr>
            </w:pPr>
            <w:r>
              <w:rPr>
                <w:rStyle w:val="normaltextrun"/>
                <w:rFonts w:cs="Arial"/>
                <w:szCs w:val="20"/>
              </w:rPr>
              <w:t>1</w:t>
            </w:r>
            <w:r>
              <w:rPr>
                <w:rStyle w:val="eop"/>
                <w:rFonts w:cs="Arial"/>
                <w:szCs w:val="20"/>
              </w:rPr>
              <w:t> </w:t>
            </w:r>
          </w:p>
        </w:tc>
        <w:tc>
          <w:tcPr>
            <w:tcW w:w="2164" w:type="dxa"/>
            <w:tcBorders>
              <w:top w:val="single" w:sz="6" w:space="0" w:color="auto"/>
              <w:left w:val="single" w:sz="6" w:space="0" w:color="auto"/>
              <w:bottom w:val="single" w:sz="6" w:space="0" w:color="auto"/>
              <w:right w:val="single" w:sz="6" w:space="0" w:color="auto"/>
            </w:tcBorders>
            <w:vAlign w:val="center"/>
            <w:hideMark/>
          </w:tcPr>
          <w:p w14:paraId="26379746" w14:textId="2029E434" w:rsidR="00D27034" w:rsidRDefault="00D27034">
            <w:pPr>
              <w:pStyle w:val="paragraph"/>
              <w:spacing w:before="0" w:beforeAutospacing="0" w:after="0" w:afterAutospacing="0"/>
              <w:jc w:val="center"/>
              <w:textAlignment w:val="baseline"/>
              <w:rPr>
                <w:rFonts w:ascii="Segoe UI" w:hAnsi="Segoe UI" w:cs="Segoe UI"/>
                <w:sz w:val="18"/>
                <w:szCs w:val="18"/>
              </w:rPr>
            </w:pPr>
            <w:r>
              <w:rPr>
                <w:rStyle w:val="normaltextrun"/>
                <w:rFonts w:cs="Arial"/>
                <w:szCs w:val="20"/>
              </w:rPr>
              <w:t>$49,</w:t>
            </w:r>
            <w:r w:rsidR="004A4B4C">
              <w:rPr>
                <w:rStyle w:val="normaltextrun"/>
                <w:rFonts w:cs="Arial"/>
                <w:szCs w:val="20"/>
              </w:rPr>
              <w:t>336</w:t>
            </w:r>
            <w:r>
              <w:rPr>
                <w:rStyle w:val="eop"/>
                <w:rFonts w:cs="Arial"/>
                <w:szCs w:val="20"/>
              </w:rPr>
              <w:t> </w:t>
            </w:r>
          </w:p>
        </w:tc>
        <w:tc>
          <w:tcPr>
            <w:tcW w:w="2164" w:type="dxa"/>
            <w:tcBorders>
              <w:top w:val="single" w:sz="6" w:space="0" w:color="auto"/>
              <w:left w:val="single" w:sz="6" w:space="0" w:color="auto"/>
              <w:bottom w:val="single" w:sz="6" w:space="0" w:color="auto"/>
              <w:right w:val="single" w:sz="6" w:space="0" w:color="auto"/>
            </w:tcBorders>
            <w:vAlign w:val="center"/>
            <w:hideMark/>
          </w:tcPr>
          <w:p w14:paraId="3DB32DEC" w14:textId="1EE01958" w:rsidR="00D27034" w:rsidRDefault="00D27034">
            <w:pPr>
              <w:pStyle w:val="paragraph"/>
              <w:spacing w:before="0" w:beforeAutospacing="0" w:after="0" w:afterAutospacing="0"/>
              <w:jc w:val="center"/>
              <w:textAlignment w:val="baseline"/>
              <w:rPr>
                <w:rFonts w:ascii="Segoe UI" w:hAnsi="Segoe UI" w:cs="Segoe UI"/>
                <w:sz w:val="18"/>
                <w:szCs w:val="18"/>
              </w:rPr>
            </w:pPr>
            <w:r>
              <w:rPr>
                <w:rStyle w:val="normaltextrun"/>
                <w:rFonts w:cs="Arial"/>
                <w:szCs w:val="20"/>
              </w:rPr>
              <w:t>$59</w:t>
            </w:r>
            <w:r w:rsidR="004A4B4C">
              <w:rPr>
                <w:rStyle w:val="normaltextrun"/>
                <w:rFonts w:cs="Arial"/>
                <w:szCs w:val="20"/>
              </w:rPr>
              <w:t>2</w:t>
            </w:r>
            <w:r>
              <w:rPr>
                <w:rStyle w:val="normaltextrun"/>
                <w:rFonts w:cs="Arial"/>
                <w:szCs w:val="20"/>
              </w:rPr>
              <w:t>,0</w:t>
            </w:r>
            <w:r w:rsidR="004A4B4C">
              <w:rPr>
                <w:rStyle w:val="normaltextrun"/>
                <w:rFonts w:cs="Arial"/>
                <w:szCs w:val="20"/>
              </w:rPr>
              <w:t>33</w:t>
            </w:r>
          </w:p>
        </w:tc>
      </w:tr>
      <w:tr w:rsidR="00D27034" w14:paraId="5EE02BC0" w14:textId="77777777" w:rsidTr="003E6CED">
        <w:trPr>
          <w:trHeight w:val="473"/>
        </w:trPr>
        <w:tc>
          <w:tcPr>
            <w:tcW w:w="3429" w:type="dxa"/>
            <w:tcBorders>
              <w:top w:val="single" w:sz="6" w:space="0" w:color="auto"/>
              <w:left w:val="single" w:sz="6" w:space="0" w:color="auto"/>
              <w:bottom w:val="single" w:sz="6" w:space="0" w:color="auto"/>
              <w:right w:val="single" w:sz="6" w:space="0" w:color="auto"/>
            </w:tcBorders>
            <w:vAlign w:val="center"/>
            <w:hideMark/>
          </w:tcPr>
          <w:p w14:paraId="722AF863" w14:textId="77777777" w:rsidR="00D27034" w:rsidRPr="000021FC" w:rsidRDefault="00D27034">
            <w:pPr>
              <w:pStyle w:val="paragraph"/>
              <w:spacing w:before="0" w:beforeAutospacing="0" w:after="0" w:afterAutospacing="0"/>
              <w:jc w:val="center"/>
              <w:textAlignment w:val="baseline"/>
              <w:rPr>
                <w:rFonts w:ascii="Segoe UI" w:hAnsi="Segoe UI" w:cs="Segoe UI"/>
                <w:b/>
                <w:color w:val="1F497D" w:themeColor="text2"/>
                <w:sz w:val="18"/>
                <w:szCs w:val="18"/>
              </w:rPr>
            </w:pPr>
            <w:r w:rsidRPr="000021FC">
              <w:rPr>
                <w:rStyle w:val="normaltextrun"/>
                <w:rFonts w:cs="Arial"/>
                <w:b/>
                <w:color w:val="1F497D" w:themeColor="text2"/>
                <w:szCs w:val="20"/>
              </w:rPr>
              <w:t>REDEMPLO 25MG/ 0.5ML  </w:t>
            </w:r>
            <w:r w:rsidRPr="000021FC">
              <w:rPr>
                <w:rStyle w:val="eop"/>
                <w:rFonts w:cs="Arial"/>
                <w:b/>
                <w:color w:val="1F497D" w:themeColor="text2"/>
                <w:szCs w:val="20"/>
              </w:rPr>
              <w:t> </w:t>
            </w:r>
          </w:p>
        </w:tc>
        <w:tc>
          <w:tcPr>
            <w:tcW w:w="1707" w:type="dxa"/>
            <w:tcBorders>
              <w:top w:val="single" w:sz="6" w:space="0" w:color="auto"/>
              <w:left w:val="single" w:sz="6" w:space="0" w:color="auto"/>
              <w:bottom w:val="single" w:sz="6" w:space="0" w:color="auto"/>
              <w:right w:val="single" w:sz="6" w:space="0" w:color="auto"/>
            </w:tcBorders>
            <w:vAlign w:val="center"/>
            <w:hideMark/>
          </w:tcPr>
          <w:p w14:paraId="7587F32F" w14:textId="77777777" w:rsidR="00D27034" w:rsidRPr="000021FC" w:rsidRDefault="00D27034">
            <w:pPr>
              <w:pStyle w:val="paragraph"/>
              <w:spacing w:before="0" w:beforeAutospacing="0" w:after="0" w:afterAutospacing="0"/>
              <w:jc w:val="center"/>
              <w:textAlignment w:val="baseline"/>
              <w:rPr>
                <w:rFonts w:ascii="Segoe UI" w:hAnsi="Segoe UI" w:cs="Segoe UI"/>
                <w:b/>
                <w:color w:val="1F497D" w:themeColor="text2"/>
                <w:sz w:val="18"/>
                <w:szCs w:val="18"/>
              </w:rPr>
            </w:pPr>
            <w:r w:rsidRPr="000021FC">
              <w:rPr>
                <w:rStyle w:val="normaltextrun"/>
                <w:rFonts w:cs="Arial"/>
                <w:b/>
                <w:color w:val="1F497D" w:themeColor="text2"/>
                <w:szCs w:val="20"/>
              </w:rPr>
              <w:t>0</w:t>
            </w:r>
            <w:r w:rsidRPr="000021FC">
              <w:rPr>
                <w:rStyle w:val="eop"/>
                <w:rFonts w:cs="Arial"/>
                <w:b/>
                <w:color w:val="1F497D" w:themeColor="text2"/>
                <w:szCs w:val="20"/>
              </w:rPr>
              <w:t> </w:t>
            </w:r>
          </w:p>
        </w:tc>
        <w:tc>
          <w:tcPr>
            <w:tcW w:w="2164" w:type="dxa"/>
            <w:tcBorders>
              <w:top w:val="single" w:sz="6" w:space="0" w:color="auto"/>
              <w:left w:val="single" w:sz="6" w:space="0" w:color="auto"/>
              <w:bottom w:val="single" w:sz="6" w:space="0" w:color="auto"/>
              <w:right w:val="single" w:sz="6" w:space="0" w:color="auto"/>
            </w:tcBorders>
            <w:vAlign w:val="center"/>
            <w:hideMark/>
          </w:tcPr>
          <w:p w14:paraId="7B8950C6" w14:textId="04196AD5" w:rsidR="00D27034" w:rsidRPr="000021FC" w:rsidRDefault="00D27034">
            <w:pPr>
              <w:pStyle w:val="paragraph"/>
              <w:spacing w:before="0" w:beforeAutospacing="0" w:after="0" w:afterAutospacing="0"/>
              <w:jc w:val="center"/>
              <w:textAlignment w:val="baseline"/>
              <w:rPr>
                <w:rFonts w:ascii="Segoe UI" w:hAnsi="Segoe UI" w:cs="Segoe UI"/>
                <w:b/>
                <w:color w:val="1F497D" w:themeColor="text2"/>
                <w:sz w:val="18"/>
                <w:szCs w:val="18"/>
              </w:rPr>
            </w:pPr>
            <w:r w:rsidRPr="000021FC">
              <w:rPr>
                <w:rStyle w:val="normaltextrun"/>
                <w:rFonts w:cs="Arial"/>
                <w:b/>
                <w:bCs/>
                <w:color w:val="1F497D" w:themeColor="text2"/>
                <w:szCs w:val="20"/>
              </w:rPr>
              <w:t>$1</w:t>
            </w:r>
            <w:r w:rsidR="00F42A05" w:rsidRPr="000021FC">
              <w:rPr>
                <w:rStyle w:val="normaltextrun"/>
                <w:rFonts w:cs="Arial"/>
                <w:b/>
                <w:bCs/>
                <w:color w:val="1F497D" w:themeColor="text2"/>
                <w:szCs w:val="20"/>
              </w:rPr>
              <w:t>4,9</w:t>
            </w:r>
            <w:r w:rsidR="003D5DFB" w:rsidRPr="000021FC">
              <w:rPr>
                <w:rStyle w:val="normaltextrun"/>
                <w:rFonts w:cs="Arial"/>
                <w:b/>
                <w:bCs/>
                <w:color w:val="1F497D" w:themeColor="text2"/>
                <w:szCs w:val="20"/>
              </w:rPr>
              <w:t>25</w:t>
            </w:r>
            <w:r w:rsidR="00F10463" w:rsidRPr="000021FC">
              <w:rPr>
                <w:rStyle w:val="normaltextrun"/>
                <w:rFonts w:cs="Arial"/>
                <w:b/>
                <w:bCs/>
                <w:color w:val="1F497D" w:themeColor="text2"/>
                <w:szCs w:val="20"/>
              </w:rPr>
              <w:t>*</w:t>
            </w:r>
            <w:r w:rsidR="00354487" w:rsidRPr="000021FC">
              <w:rPr>
                <w:rStyle w:val="normaltextrun"/>
                <w:rFonts w:cs="Arial"/>
                <w:b/>
                <w:bCs/>
                <w:color w:val="1F497D" w:themeColor="text2"/>
                <w:szCs w:val="20"/>
              </w:rPr>
              <w:t xml:space="preserve"> </w:t>
            </w:r>
          </w:p>
        </w:tc>
        <w:tc>
          <w:tcPr>
            <w:tcW w:w="2164" w:type="dxa"/>
            <w:tcBorders>
              <w:top w:val="single" w:sz="6" w:space="0" w:color="auto"/>
              <w:left w:val="single" w:sz="6" w:space="0" w:color="auto"/>
              <w:bottom w:val="single" w:sz="6" w:space="0" w:color="auto"/>
              <w:right w:val="single" w:sz="6" w:space="0" w:color="auto"/>
            </w:tcBorders>
            <w:vAlign w:val="center"/>
            <w:hideMark/>
          </w:tcPr>
          <w:p w14:paraId="5DECC220" w14:textId="1FE90597" w:rsidR="00D27034" w:rsidRPr="000021FC" w:rsidRDefault="00D27034">
            <w:pPr>
              <w:pStyle w:val="paragraph"/>
              <w:spacing w:before="0" w:beforeAutospacing="0" w:after="0" w:afterAutospacing="0"/>
              <w:jc w:val="center"/>
              <w:textAlignment w:val="baseline"/>
              <w:rPr>
                <w:b/>
                <w:color w:val="1F497D" w:themeColor="text2"/>
              </w:rPr>
            </w:pPr>
            <w:r w:rsidRPr="000021FC">
              <w:rPr>
                <w:rStyle w:val="normaltextrun"/>
                <w:rFonts w:cs="Arial"/>
                <w:b/>
                <w:bCs/>
                <w:color w:val="1F497D" w:themeColor="text2"/>
                <w:szCs w:val="20"/>
              </w:rPr>
              <w:t>$</w:t>
            </w:r>
            <w:r w:rsidR="00107CD7" w:rsidRPr="000021FC">
              <w:rPr>
                <w:rStyle w:val="normaltextrun"/>
                <w:rFonts w:cs="Arial"/>
                <w:b/>
                <w:bCs/>
                <w:color w:val="1F497D" w:themeColor="text2"/>
                <w:szCs w:val="20"/>
              </w:rPr>
              <w:t>5</w:t>
            </w:r>
            <w:r w:rsidR="00107CD7" w:rsidRPr="000021FC">
              <w:rPr>
                <w:rStyle w:val="normaltextrun"/>
                <w:b/>
                <w:bCs/>
                <w:color w:val="1F497D" w:themeColor="text2"/>
              </w:rPr>
              <w:t>9,</w:t>
            </w:r>
            <w:r w:rsidR="003D5DFB" w:rsidRPr="000021FC">
              <w:rPr>
                <w:rStyle w:val="normaltextrun"/>
                <w:b/>
                <w:bCs/>
                <w:color w:val="1F497D" w:themeColor="text2"/>
              </w:rPr>
              <w:t>700</w:t>
            </w:r>
          </w:p>
        </w:tc>
      </w:tr>
    </w:tbl>
    <w:p w14:paraId="65E3F6A8" w14:textId="682630B5" w:rsidR="00C454A3" w:rsidRPr="008F2B29" w:rsidRDefault="00F10463" w:rsidP="008F2B29">
      <w:pPr>
        <w:rPr>
          <w:b/>
          <w:color w:val="1F497D" w:themeColor="text2"/>
        </w:rPr>
      </w:pPr>
      <w:r w:rsidRPr="008F2B29">
        <w:rPr>
          <w:b/>
          <w:bCs/>
          <w:color w:val="1F497D" w:themeColor="text2"/>
        </w:rPr>
        <w:t>*</w:t>
      </w:r>
      <w:r w:rsidR="00F3587E" w:rsidRPr="008F2B29">
        <w:rPr>
          <w:b/>
          <w:bCs/>
          <w:color w:val="1F497D" w:themeColor="text2"/>
        </w:rPr>
        <w:t>Redemplo is dosed every 3 months</w:t>
      </w:r>
      <w:r w:rsidR="00BD05CE" w:rsidRPr="008F2B29">
        <w:rPr>
          <w:b/>
          <w:bCs/>
          <w:color w:val="1F497D" w:themeColor="text2"/>
        </w:rPr>
        <w:t>; cost</w:t>
      </w:r>
      <w:r w:rsidR="00F3587E" w:rsidRPr="008F2B29">
        <w:rPr>
          <w:b/>
          <w:bCs/>
          <w:color w:val="1F497D" w:themeColor="text2"/>
        </w:rPr>
        <w:t xml:space="preserve"> reflects cost per dose </w:t>
      </w:r>
    </w:p>
    <w:p w14:paraId="20569A98" w14:textId="77777777" w:rsidR="00BD05CE" w:rsidRDefault="00BD05CE" w:rsidP="00BD05CE"/>
    <w:p w14:paraId="794A071F" w14:textId="77777777" w:rsidR="00BD05CE" w:rsidRPr="00BD05CE" w:rsidRDefault="00BD05CE" w:rsidP="00BD05CE"/>
    <w:p w14:paraId="6413C027" w14:textId="4B570EEA" w:rsidR="00AE77DB" w:rsidRPr="00C02553" w:rsidRDefault="00AE77DB" w:rsidP="00E354AA">
      <w:pPr>
        <w:pStyle w:val="Heading1"/>
        <w:rPr>
          <w:lang w:val="en-US"/>
        </w:rPr>
      </w:pPr>
      <w:r w:rsidRPr="00C02553">
        <w:rPr>
          <w:lang w:val="en-US"/>
        </w:rPr>
        <w:t xml:space="preserve">Setting &amp; Population </w:t>
      </w:r>
    </w:p>
    <w:p w14:paraId="321A8E33" w14:textId="77777777" w:rsidR="00A234C8" w:rsidRDefault="0097028A" w:rsidP="00696E3A">
      <w:pPr>
        <w:rPr>
          <w:b/>
          <w:bCs/>
        </w:rPr>
      </w:pPr>
      <w:r w:rsidRPr="00696E3A">
        <w:rPr>
          <w:b/>
          <w:bCs/>
        </w:rPr>
        <w:t>Drug class for review:</w:t>
      </w:r>
      <w:r w:rsidRPr="00C02553">
        <w:t xml:space="preserve"> </w:t>
      </w:r>
      <w:r w:rsidR="00A234C8" w:rsidRPr="0021588D">
        <w:rPr>
          <w:rFonts w:cs="Arial"/>
          <w:bCs/>
          <w:szCs w:val="20"/>
        </w:rPr>
        <w:t>Familial Chylomicronemia Syndrome</w:t>
      </w:r>
      <w:r w:rsidR="00A234C8">
        <w:rPr>
          <w:rFonts w:cs="Arial"/>
          <w:bCs/>
          <w:szCs w:val="20"/>
        </w:rPr>
        <w:t xml:space="preserve"> Agents</w:t>
      </w:r>
      <w:r w:rsidR="00A234C8" w:rsidRPr="00696E3A">
        <w:rPr>
          <w:b/>
          <w:bCs/>
        </w:rPr>
        <w:t xml:space="preserve"> </w:t>
      </w:r>
    </w:p>
    <w:p w14:paraId="7F2A9816" w14:textId="6FB1EA88" w:rsidR="005328B2" w:rsidRPr="001D3C1C" w:rsidRDefault="0097028A" w:rsidP="005328B2">
      <w:pPr>
        <w:rPr>
          <w:rFonts w:cs="Arial"/>
          <w:b/>
        </w:rPr>
      </w:pPr>
      <w:r w:rsidRPr="00696E3A">
        <w:rPr>
          <w:b/>
          <w:bCs/>
        </w:rPr>
        <w:t>Age range:</w:t>
      </w:r>
      <w:r w:rsidRPr="00C02553">
        <w:t xml:space="preserve"> </w:t>
      </w:r>
      <w:r w:rsidR="00551668" w:rsidRPr="00551668">
        <w:rPr>
          <w:rFonts w:cs="Arial"/>
        </w:rPr>
        <w:t>All appropriate MO HealthNet participants</w:t>
      </w:r>
      <w:r w:rsidR="00A234C8">
        <w:rPr>
          <w:rFonts w:cs="Arial"/>
        </w:rPr>
        <w:t xml:space="preserve"> </w:t>
      </w:r>
      <w:r w:rsidR="004C04A1" w:rsidRPr="00C523AB">
        <w:rPr>
          <w:rFonts w:cs="Arial"/>
          <w:szCs w:val="20"/>
        </w:rPr>
        <w:t xml:space="preserve">aged </w:t>
      </w:r>
      <w:r w:rsidR="004C04A1">
        <w:rPr>
          <w:rFonts w:cs="Arial"/>
          <w:szCs w:val="20"/>
        </w:rPr>
        <w:t>18</w:t>
      </w:r>
      <w:r w:rsidR="004C04A1" w:rsidRPr="00C523AB">
        <w:rPr>
          <w:rFonts w:cs="Arial"/>
          <w:szCs w:val="20"/>
        </w:rPr>
        <w:t xml:space="preserve"> years and older</w:t>
      </w:r>
    </w:p>
    <w:p w14:paraId="6413C035" w14:textId="4FE30429" w:rsidR="00AE77DB" w:rsidRPr="00C02553" w:rsidRDefault="00AE77DB" w:rsidP="0097028A">
      <w:pPr>
        <w:pStyle w:val="Heading1"/>
        <w:rPr>
          <w:lang w:val="en-US"/>
        </w:rPr>
      </w:pPr>
      <w:r w:rsidRPr="00C02553">
        <w:rPr>
          <w:lang w:val="en-US"/>
        </w:rPr>
        <w:lastRenderedPageBreak/>
        <w:t>Approval Criteria</w:t>
      </w:r>
    </w:p>
    <w:p w14:paraId="71D0A3D5" w14:textId="77777777" w:rsidR="006B2D78" w:rsidRPr="006B2D78" w:rsidRDefault="006B2D78" w:rsidP="006B2D78">
      <w:pPr>
        <w:contextualSpacing/>
        <w:rPr>
          <w:rFonts w:cs="Arial"/>
          <w:szCs w:val="20"/>
          <w:u w:val="single"/>
        </w:rPr>
      </w:pPr>
      <w:r w:rsidRPr="006B2D78">
        <w:rPr>
          <w:rFonts w:cs="Arial"/>
          <w:szCs w:val="20"/>
          <w:u w:val="single"/>
        </w:rPr>
        <w:t>Initial Therapy</w:t>
      </w:r>
    </w:p>
    <w:p w14:paraId="03CD64BB" w14:textId="77777777" w:rsidR="00E93A74" w:rsidRPr="00E93A74" w:rsidRDefault="00E93A74" w:rsidP="00432247">
      <w:pPr>
        <w:numPr>
          <w:ilvl w:val="0"/>
          <w:numId w:val="34"/>
        </w:numPr>
        <w:ind w:left="360"/>
        <w:rPr>
          <w:rFonts w:eastAsia="Arial" w:cs="Arial"/>
          <w:szCs w:val="20"/>
        </w:rPr>
      </w:pPr>
      <w:r w:rsidRPr="00E93A74">
        <w:rPr>
          <w:rFonts w:eastAsia="Arial" w:cs="Arial"/>
          <w:szCs w:val="20"/>
        </w:rPr>
        <w:t>Must meet </w:t>
      </w:r>
      <w:proofErr w:type="gramStart"/>
      <w:r w:rsidRPr="00E93A74">
        <w:rPr>
          <w:rFonts w:eastAsia="Arial" w:cs="Arial"/>
          <w:szCs w:val="20"/>
        </w:rPr>
        <w:t>all of</w:t>
      </w:r>
      <w:proofErr w:type="gramEnd"/>
      <w:r w:rsidRPr="00E93A74">
        <w:rPr>
          <w:rFonts w:eastAsia="Arial" w:cs="Arial"/>
          <w:szCs w:val="20"/>
        </w:rPr>
        <w:t> the following: </w:t>
      </w:r>
    </w:p>
    <w:p w14:paraId="799E0264" w14:textId="77777777" w:rsidR="00E93A74" w:rsidRPr="00E93A74" w:rsidRDefault="00E93A74" w:rsidP="00432247">
      <w:pPr>
        <w:numPr>
          <w:ilvl w:val="0"/>
          <w:numId w:val="35"/>
        </w:numPr>
        <w:rPr>
          <w:rFonts w:eastAsia="Arial" w:cs="Arial"/>
          <w:szCs w:val="20"/>
        </w:rPr>
      </w:pPr>
      <w:r w:rsidRPr="00E93A74">
        <w:rPr>
          <w:rFonts w:eastAsia="Arial" w:cs="Arial"/>
          <w:szCs w:val="20"/>
        </w:rPr>
        <w:t xml:space="preserve">Participant ≥ 18 years of </w:t>
      </w:r>
      <w:proofErr w:type="gramStart"/>
      <w:r w:rsidRPr="00E93A74">
        <w:rPr>
          <w:rFonts w:eastAsia="Arial" w:cs="Arial"/>
          <w:szCs w:val="20"/>
        </w:rPr>
        <w:t>age;</w:t>
      </w:r>
      <w:proofErr w:type="gramEnd"/>
      <w:r w:rsidRPr="00E93A74">
        <w:rPr>
          <w:rFonts w:eastAsia="Arial" w:cs="Arial"/>
          <w:szCs w:val="20"/>
        </w:rPr>
        <w:t> </w:t>
      </w:r>
    </w:p>
    <w:p w14:paraId="3DCEB9D4" w14:textId="77777777" w:rsidR="00E93A74" w:rsidRPr="00E93A74" w:rsidRDefault="00E93A74" w:rsidP="00432247">
      <w:pPr>
        <w:numPr>
          <w:ilvl w:val="0"/>
          <w:numId w:val="36"/>
        </w:numPr>
        <w:rPr>
          <w:rFonts w:eastAsia="Arial" w:cs="Arial"/>
          <w:szCs w:val="20"/>
        </w:rPr>
      </w:pPr>
      <w:r w:rsidRPr="00E93A74">
        <w:rPr>
          <w:rFonts w:eastAsia="Arial" w:cs="Arial"/>
          <w:szCs w:val="20"/>
        </w:rPr>
        <w:t>Diagnosis of FCS confirmed based upon the American Association of Clinical Endocrinologists’ (AACE) criteria: </w:t>
      </w:r>
    </w:p>
    <w:p w14:paraId="3EBBCB77" w14:textId="77777777" w:rsidR="00E93A74" w:rsidRPr="00E93A74" w:rsidRDefault="00E93A74" w:rsidP="00432247">
      <w:pPr>
        <w:numPr>
          <w:ilvl w:val="0"/>
          <w:numId w:val="37"/>
        </w:numPr>
        <w:ind w:left="1080"/>
        <w:rPr>
          <w:rFonts w:eastAsia="Arial" w:cs="Arial"/>
          <w:szCs w:val="20"/>
        </w:rPr>
      </w:pPr>
      <w:r w:rsidRPr="00E93A74">
        <w:rPr>
          <w:rFonts w:eastAsia="Arial" w:cs="Arial"/>
          <w:szCs w:val="20"/>
        </w:rPr>
        <w:t>Must have </w:t>
      </w:r>
      <w:proofErr w:type="gramStart"/>
      <w:r w:rsidRPr="00E93A74">
        <w:rPr>
          <w:rFonts w:eastAsia="Arial" w:cs="Arial"/>
          <w:szCs w:val="20"/>
        </w:rPr>
        <w:t>all of</w:t>
      </w:r>
      <w:proofErr w:type="gramEnd"/>
      <w:r w:rsidRPr="00E93A74">
        <w:rPr>
          <w:rFonts w:eastAsia="Arial" w:cs="Arial"/>
          <w:szCs w:val="20"/>
        </w:rPr>
        <w:t> the following: </w:t>
      </w:r>
    </w:p>
    <w:p w14:paraId="457958B7" w14:textId="77777777" w:rsidR="00E93A74" w:rsidRPr="00E93A74" w:rsidRDefault="00E93A74" w:rsidP="00432247">
      <w:pPr>
        <w:numPr>
          <w:ilvl w:val="0"/>
          <w:numId w:val="38"/>
        </w:numPr>
        <w:ind w:left="1440"/>
        <w:rPr>
          <w:rFonts w:eastAsia="Arial" w:cs="Arial"/>
          <w:szCs w:val="20"/>
        </w:rPr>
      </w:pPr>
      <w:r w:rsidRPr="00E93A74">
        <w:rPr>
          <w:rFonts w:eastAsia="Arial" w:cs="Arial"/>
          <w:szCs w:val="20"/>
        </w:rPr>
        <w:t>Fasting TG (&gt; 10 mmol/L or 880 mg/dL</w:t>
      </w:r>
      <w:proofErr w:type="gramStart"/>
      <w:r w:rsidRPr="00E93A74">
        <w:rPr>
          <w:rFonts w:eastAsia="Arial" w:cs="Arial"/>
          <w:szCs w:val="20"/>
        </w:rPr>
        <w:t>);</w:t>
      </w:r>
      <w:proofErr w:type="gramEnd"/>
      <w:r w:rsidRPr="00E93A74">
        <w:rPr>
          <w:rFonts w:eastAsia="Arial" w:cs="Arial"/>
          <w:szCs w:val="20"/>
        </w:rPr>
        <w:t> </w:t>
      </w:r>
    </w:p>
    <w:p w14:paraId="5B4D3F11" w14:textId="77777777" w:rsidR="00E93A74" w:rsidRPr="00E93A74" w:rsidRDefault="00E93A74" w:rsidP="00432247">
      <w:pPr>
        <w:numPr>
          <w:ilvl w:val="0"/>
          <w:numId w:val="39"/>
        </w:numPr>
        <w:ind w:left="1440"/>
        <w:rPr>
          <w:rFonts w:eastAsia="Arial" w:cs="Arial"/>
          <w:szCs w:val="20"/>
        </w:rPr>
      </w:pPr>
      <w:r w:rsidRPr="00E93A74">
        <w:rPr>
          <w:rFonts w:eastAsia="Arial" w:cs="Arial"/>
          <w:szCs w:val="20"/>
        </w:rPr>
        <w:t>Refractory to standard TG therapies; </w:t>
      </w:r>
      <w:r w:rsidRPr="00E93A74">
        <w:rPr>
          <w:rFonts w:eastAsia="Arial" w:cs="Arial"/>
          <w:b/>
          <w:bCs/>
          <w:szCs w:val="20"/>
        </w:rPr>
        <w:t>AND</w:t>
      </w:r>
      <w:r w:rsidRPr="00E93A74">
        <w:rPr>
          <w:rFonts w:eastAsia="Arial" w:cs="Arial"/>
          <w:szCs w:val="20"/>
        </w:rPr>
        <w:t> </w:t>
      </w:r>
    </w:p>
    <w:p w14:paraId="3D79602B" w14:textId="77777777" w:rsidR="00E93A74" w:rsidRPr="00E93A74" w:rsidRDefault="00E93A74" w:rsidP="00432247">
      <w:pPr>
        <w:numPr>
          <w:ilvl w:val="0"/>
          <w:numId w:val="40"/>
        </w:numPr>
        <w:ind w:left="1440"/>
        <w:rPr>
          <w:rFonts w:eastAsia="Arial" w:cs="Arial"/>
          <w:szCs w:val="20"/>
        </w:rPr>
      </w:pPr>
      <w:r w:rsidRPr="00E93A74">
        <w:rPr>
          <w:rFonts w:eastAsia="Arial" w:cs="Arial"/>
          <w:szCs w:val="20"/>
        </w:rPr>
        <w:t>Absence of secondary causes (ex: alcohol use, uncontrolled type 2 diabetes, medications, and medical conditions known to increase TG); </w:t>
      </w:r>
      <w:r w:rsidRPr="00E93A74">
        <w:rPr>
          <w:rFonts w:eastAsia="Arial" w:cs="Arial"/>
          <w:b/>
          <w:bCs/>
          <w:szCs w:val="20"/>
        </w:rPr>
        <w:t>AND</w:t>
      </w:r>
      <w:r w:rsidRPr="00E93A74">
        <w:rPr>
          <w:rFonts w:eastAsia="Arial" w:cs="Arial"/>
          <w:szCs w:val="20"/>
        </w:rPr>
        <w:t> </w:t>
      </w:r>
    </w:p>
    <w:p w14:paraId="746B2829" w14:textId="77777777" w:rsidR="00E93A74" w:rsidRPr="00E93A74" w:rsidRDefault="00E93A74" w:rsidP="00432247">
      <w:pPr>
        <w:numPr>
          <w:ilvl w:val="0"/>
          <w:numId w:val="41"/>
        </w:numPr>
        <w:ind w:left="1080"/>
        <w:rPr>
          <w:rFonts w:eastAsia="Arial" w:cs="Arial"/>
          <w:szCs w:val="20"/>
        </w:rPr>
      </w:pPr>
      <w:r w:rsidRPr="00E93A74">
        <w:rPr>
          <w:rFonts w:eastAsia="Arial" w:cs="Arial"/>
          <w:szCs w:val="20"/>
        </w:rPr>
        <w:t>Must have one of the following: </w:t>
      </w:r>
    </w:p>
    <w:p w14:paraId="4DF0A53B" w14:textId="77777777" w:rsidR="00E93A74" w:rsidRPr="00E93A74" w:rsidRDefault="00E93A74" w:rsidP="00432247">
      <w:pPr>
        <w:numPr>
          <w:ilvl w:val="0"/>
          <w:numId w:val="42"/>
        </w:numPr>
        <w:ind w:left="1440"/>
        <w:rPr>
          <w:rFonts w:eastAsia="Arial" w:cs="Arial"/>
          <w:szCs w:val="20"/>
        </w:rPr>
      </w:pPr>
      <w:r w:rsidRPr="00E93A74">
        <w:rPr>
          <w:rFonts w:eastAsia="Arial" w:cs="Arial"/>
          <w:szCs w:val="20"/>
        </w:rPr>
        <w:t>History of acute pancreatitis (AP</w:t>
      </w:r>
      <w:proofErr w:type="gramStart"/>
      <w:r w:rsidRPr="00E93A74">
        <w:rPr>
          <w:rFonts w:eastAsia="Arial" w:cs="Arial"/>
          <w:szCs w:val="20"/>
        </w:rPr>
        <w:t>);</w:t>
      </w:r>
      <w:proofErr w:type="gramEnd"/>
      <w:r w:rsidRPr="00E93A74">
        <w:rPr>
          <w:rFonts w:eastAsia="Arial" w:cs="Arial"/>
          <w:szCs w:val="20"/>
        </w:rPr>
        <w:t> </w:t>
      </w:r>
    </w:p>
    <w:p w14:paraId="23FF977C" w14:textId="77777777" w:rsidR="00E93A74" w:rsidRPr="00E93A74" w:rsidRDefault="00E93A74" w:rsidP="00432247">
      <w:pPr>
        <w:numPr>
          <w:ilvl w:val="0"/>
          <w:numId w:val="43"/>
        </w:numPr>
        <w:ind w:left="1440"/>
        <w:rPr>
          <w:rFonts w:eastAsia="Arial" w:cs="Arial"/>
          <w:szCs w:val="20"/>
        </w:rPr>
      </w:pPr>
      <w:r w:rsidRPr="00E93A74">
        <w:rPr>
          <w:rFonts w:eastAsia="Arial" w:cs="Arial"/>
          <w:szCs w:val="20"/>
        </w:rPr>
        <w:t>Confirmation by genetic analysis; </w:t>
      </w:r>
      <w:r w:rsidRPr="00E93A74">
        <w:rPr>
          <w:rFonts w:eastAsia="Arial" w:cs="Arial"/>
          <w:b/>
          <w:bCs/>
          <w:szCs w:val="20"/>
        </w:rPr>
        <w:t>OR</w:t>
      </w:r>
      <w:r w:rsidRPr="00E93A74">
        <w:rPr>
          <w:rFonts w:eastAsia="Arial" w:cs="Arial"/>
          <w:szCs w:val="20"/>
        </w:rPr>
        <w:t> </w:t>
      </w:r>
    </w:p>
    <w:p w14:paraId="1F633BBA" w14:textId="77777777" w:rsidR="00E93A74" w:rsidRPr="00E93A74" w:rsidRDefault="00E93A74" w:rsidP="00432247">
      <w:pPr>
        <w:numPr>
          <w:ilvl w:val="0"/>
          <w:numId w:val="44"/>
        </w:numPr>
        <w:ind w:left="1440"/>
        <w:rPr>
          <w:rFonts w:eastAsia="Arial" w:cs="Arial"/>
          <w:szCs w:val="20"/>
        </w:rPr>
      </w:pPr>
      <w:r w:rsidRPr="00E93A74">
        <w:rPr>
          <w:rFonts w:eastAsia="Arial" w:cs="Arial"/>
          <w:szCs w:val="20"/>
        </w:rPr>
        <w:t xml:space="preserve">History of recurrent abdominal pain without other known cause and presence of genetic variance of unknown </w:t>
      </w:r>
      <w:proofErr w:type="gramStart"/>
      <w:r w:rsidRPr="00E93A74">
        <w:rPr>
          <w:rFonts w:eastAsia="Arial" w:cs="Arial"/>
          <w:szCs w:val="20"/>
        </w:rPr>
        <w:t>function;</w:t>
      </w:r>
      <w:proofErr w:type="gramEnd"/>
      <w:r w:rsidRPr="00E93A74">
        <w:rPr>
          <w:rFonts w:eastAsia="Arial" w:cs="Arial"/>
          <w:szCs w:val="20"/>
        </w:rPr>
        <w:t> </w:t>
      </w:r>
    </w:p>
    <w:p w14:paraId="3CF71394" w14:textId="124E9274" w:rsidR="00E93A74" w:rsidRDefault="00E93A74" w:rsidP="00432247">
      <w:pPr>
        <w:numPr>
          <w:ilvl w:val="0"/>
          <w:numId w:val="45"/>
        </w:numPr>
        <w:rPr>
          <w:rFonts w:eastAsia="Arial" w:cs="Arial"/>
          <w:szCs w:val="20"/>
        </w:rPr>
      </w:pPr>
      <w:r w:rsidRPr="00E93A74">
        <w:rPr>
          <w:rFonts w:eastAsia="Arial" w:cs="Arial"/>
          <w:szCs w:val="20"/>
        </w:rPr>
        <w:t>Prescribed by or in consultation with a cardiologist, endocrinologist, </w:t>
      </w:r>
      <w:r w:rsidRPr="00E93A74">
        <w:rPr>
          <w:rFonts w:eastAsia="Arial" w:cs="Arial"/>
          <w:b/>
          <w:bCs/>
          <w:color w:val="1F497D" w:themeColor="text2"/>
          <w:szCs w:val="20"/>
        </w:rPr>
        <w:t>gastroenterologist</w:t>
      </w:r>
      <w:r w:rsidR="009D3C7C" w:rsidRPr="00B3485A">
        <w:rPr>
          <w:rFonts w:eastAsia="Arial" w:cs="Arial"/>
          <w:b/>
          <w:bCs/>
          <w:color w:val="1F497D" w:themeColor="text2"/>
          <w:szCs w:val="20"/>
        </w:rPr>
        <w:t>,</w:t>
      </w:r>
      <w:r w:rsidRPr="00E93A74">
        <w:rPr>
          <w:rFonts w:eastAsia="Arial" w:cs="Arial"/>
          <w:color w:val="1F497D" w:themeColor="text2"/>
          <w:szCs w:val="20"/>
        </w:rPr>
        <w:t> </w:t>
      </w:r>
      <w:r w:rsidRPr="00E93A74">
        <w:rPr>
          <w:rFonts w:eastAsia="Arial" w:cs="Arial"/>
          <w:szCs w:val="20"/>
        </w:rPr>
        <w:t>or specialist experienced in treatment of FCS; </w:t>
      </w:r>
      <w:r w:rsidRPr="00E93A74">
        <w:rPr>
          <w:rFonts w:eastAsia="Arial" w:cs="Arial"/>
          <w:b/>
          <w:bCs/>
          <w:szCs w:val="20"/>
        </w:rPr>
        <w:t>AND</w:t>
      </w:r>
      <w:r w:rsidRPr="00E93A74">
        <w:rPr>
          <w:rFonts w:eastAsia="Arial" w:cs="Arial"/>
          <w:szCs w:val="20"/>
        </w:rPr>
        <w:t> </w:t>
      </w:r>
    </w:p>
    <w:p w14:paraId="37AB2AF5" w14:textId="7400EA96" w:rsidR="00D0737F" w:rsidRPr="00B93676" w:rsidRDefault="00D0737F" w:rsidP="00432247">
      <w:pPr>
        <w:pStyle w:val="ListParagraph"/>
        <w:numPr>
          <w:ilvl w:val="0"/>
          <w:numId w:val="50"/>
        </w:numPr>
        <w:ind w:left="360"/>
        <w:rPr>
          <w:rFonts w:eastAsia="Arial" w:cs="Arial"/>
          <w:b/>
          <w:color w:val="1F497D" w:themeColor="text2"/>
          <w:szCs w:val="20"/>
        </w:rPr>
      </w:pPr>
      <w:r w:rsidRPr="00B93676">
        <w:rPr>
          <w:rFonts w:eastAsia="Arial" w:cs="Arial"/>
          <w:b/>
          <w:color w:val="1F497D" w:themeColor="text2"/>
          <w:szCs w:val="20"/>
        </w:rPr>
        <w:t xml:space="preserve">Additional approval criteria for </w:t>
      </w:r>
      <w:r w:rsidRPr="009D3C7C">
        <w:rPr>
          <w:rFonts w:eastAsia="Arial" w:cs="Arial"/>
          <w:b/>
          <w:color w:val="1F497D" w:themeColor="text2"/>
          <w:szCs w:val="20"/>
        </w:rPr>
        <w:t>Tryngolza</w:t>
      </w:r>
      <w:r w:rsidR="00B93676" w:rsidRPr="009D3C7C">
        <w:rPr>
          <w:rFonts w:eastAsia="Arial" w:cs="Arial"/>
          <w:b/>
          <w:color w:val="1F497D" w:themeColor="text2"/>
          <w:szCs w:val="20"/>
        </w:rPr>
        <w:t>:</w:t>
      </w:r>
    </w:p>
    <w:p w14:paraId="6DB6F9C4" w14:textId="70B18B8A" w:rsidR="00E93A74" w:rsidRPr="00E93A74" w:rsidRDefault="00E93A74" w:rsidP="00432247">
      <w:pPr>
        <w:numPr>
          <w:ilvl w:val="0"/>
          <w:numId w:val="46"/>
        </w:numPr>
        <w:rPr>
          <w:rFonts w:eastAsia="Arial" w:cs="Arial"/>
          <w:szCs w:val="20"/>
        </w:rPr>
      </w:pPr>
      <w:r w:rsidRPr="00E93A74">
        <w:rPr>
          <w:rFonts w:eastAsia="Arial" w:cs="Arial"/>
          <w:szCs w:val="20"/>
        </w:rPr>
        <w:t>Documented platelet count &gt; 100,000/mm</w:t>
      </w:r>
      <w:r w:rsidRPr="00E93A74">
        <w:rPr>
          <w:rFonts w:eastAsia="Arial" w:cs="Arial"/>
          <w:szCs w:val="20"/>
          <w:vertAlign w:val="superscript"/>
        </w:rPr>
        <w:t>3</w:t>
      </w:r>
      <w:r w:rsidRPr="00E93A74">
        <w:rPr>
          <w:rFonts w:eastAsia="Arial" w:cs="Arial"/>
          <w:szCs w:val="20"/>
        </w:rPr>
        <w:t> </w:t>
      </w:r>
    </w:p>
    <w:p w14:paraId="1F98CEB7" w14:textId="77777777" w:rsidR="00E93A74" w:rsidRPr="00E93A74" w:rsidRDefault="00E93A74" w:rsidP="00432247">
      <w:pPr>
        <w:numPr>
          <w:ilvl w:val="0"/>
          <w:numId w:val="47"/>
        </w:numPr>
        <w:ind w:left="360"/>
        <w:rPr>
          <w:rFonts w:eastAsia="Arial" w:cs="Arial"/>
          <w:color w:val="1F497D" w:themeColor="text2"/>
          <w:szCs w:val="20"/>
        </w:rPr>
      </w:pPr>
      <w:r w:rsidRPr="00E93A74">
        <w:rPr>
          <w:rFonts w:eastAsia="Arial" w:cs="Arial"/>
          <w:b/>
          <w:bCs/>
          <w:color w:val="1F497D" w:themeColor="text2"/>
          <w:szCs w:val="20"/>
        </w:rPr>
        <w:t>Additional approval criteria for Redemplo:</w:t>
      </w:r>
      <w:r w:rsidRPr="00E93A74">
        <w:rPr>
          <w:rFonts w:eastAsia="Arial" w:cs="Arial"/>
          <w:color w:val="1F497D" w:themeColor="text2"/>
          <w:szCs w:val="20"/>
        </w:rPr>
        <w:t> </w:t>
      </w:r>
    </w:p>
    <w:p w14:paraId="443EF55B" w14:textId="5EDAFDFC" w:rsidR="00E93A74" w:rsidRPr="00B93676" w:rsidRDefault="00E93A74" w:rsidP="00432247">
      <w:pPr>
        <w:numPr>
          <w:ilvl w:val="0"/>
          <w:numId w:val="48"/>
        </w:numPr>
        <w:rPr>
          <w:rFonts w:eastAsia="Arial" w:cs="Arial"/>
          <w:color w:val="1F497D" w:themeColor="text2"/>
          <w:szCs w:val="20"/>
        </w:rPr>
      </w:pPr>
      <w:r w:rsidRPr="00E93A74">
        <w:rPr>
          <w:rFonts w:eastAsia="Arial" w:cs="Arial"/>
          <w:b/>
          <w:bCs/>
          <w:color w:val="1F497D" w:themeColor="text2"/>
          <w:szCs w:val="20"/>
        </w:rPr>
        <w:t>Documented HbA1c &lt; 9.0% at baseline</w:t>
      </w:r>
      <w:r w:rsidR="009D3C7C">
        <w:rPr>
          <w:rFonts w:eastAsia="Arial" w:cs="Arial"/>
          <w:color w:val="1F497D" w:themeColor="text2"/>
          <w:szCs w:val="20"/>
        </w:rPr>
        <w:t>.</w:t>
      </w:r>
    </w:p>
    <w:p w14:paraId="3E578AB6" w14:textId="77777777" w:rsidR="00E93A74" w:rsidRPr="00E93A74" w:rsidRDefault="00E93A74" w:rsidP="00432247">
      <w:pPr>
        <w:numPr>
          <w:ilvl w:val="0"/>
          <w:numId w:val="49"/>
        </w:numPr>
        <w:ind w:left="360"/>
        <w:rPr>
          <w:rFonts w:eastAsia="Arial" w:cs="Arial"/>
          <w:szCs w:val="20"/>
        </w:rPr>
      </w:pPr>
      <w:r w:rsidRPr="00E93A74">
        <w:rPr>
          <w:rFonts w:eastAsia="Arial" w:cs="Arial"/>
          <w:szCs w:val="20"/>
        </w:rPr>
        <w:t>Initial approval period: 6 months </w:t>
      </w:r>
    </w:p>
    <w:p w14:paraId="62FBAD64" w14:textId="77777777" w:rsidR="0016168D" w:rsidRPr="00050700" w:rsidRDefault="0016168D" w:rsidP="0016168D">
      <w:pPr>
        <w:rPr>
          <w:rFonts w:eastAsia="Arial" w:cs="Arial"/>
          <w:b/>
          <w:bCs/>
          <w:szCs w:val="20"/>
        </w:rPr>
      </w:pPr>
    </w:p>
    <w:p w14:paraId="6C37B5AF" w14:textId="100BE42F" w:rsidR="0016168D" w:rsidRPr="00050700" w:rsidRDefault="0016168D" w:rsidP="0016168D">
      <w:pPr>
        <w:rPr>
          <w:rFonts w:eastAsia="Arial" w:cs="Arial"/>
          <w:szCs w:val="20"/>
          <w:u w:val="single"/>
        </w:rPr>
      </w:pPr>
      <w:r w:rsidRPr="00050700">
        <w:rPr>
          <w:rFonts w:eastAsia="Arial" w:cs="Arial"/>
          <w:szCs w:val="20"/>
          <w:u w:val="single"/>
        </w:rPr>
        <w:t>Continuation of Therapy</w:t>
      </w:r>
    </w:p>
    <w:p w14:paraId="3041EB0B" w14:textId="77777777" w:rsidR="0016168D" w:rsidRPr="00E03AD2" w:rsidRDefault="0016168D" w:rsidP="00432247">
      <w:pPr>
        <w:numPr>
          <w:ilvl w:val="0"/>
          <w:numId w:val="34"/>
        </w:numPr>
        <w:ind w:left="360"/>
        <w:rPr>
          <w:rFonts w:eastAsia="Arial" w:cs="Arial"/>
          <w:szCs w:val="20"/>
        </w:rPr>
      </w:pPr>
      <w:r w:rsidRPr="00E03AD2">
        <w:rPr>
          <w:rFonts w:eastAsia="Arial" w:cs="Arial"/>
          <w:szCs w:val="20"/>
        </w:rPr>
        <w:t>Documented clinical benefit (improvement in symptoms, triglyceride levels and/or reduction in</w:t>
      </w:r>
      <w:r>
        <w:rPr>
          <w:rFonts w:eastAsia="Arial" w:cs="Arial"/>
          <w:szCs w:val="20"/>
        </w:rPr>
        <w:t xml:space="preserve"> </w:t>
      </w:r>
      <w:r w:rsidRPr="00E03AD2">
        <w:rPr>
          <w:rFonts w:eastAsia="Arial" w:cs="Arial"/>
          <w:szCs w:val="20"/>
        </w:rPr>
        <w:t>episodes of acute pancreatitis).</w:t>
      </w:r>
    </w:p>
    <w:p w14:paraId="6BE2D132" w14:textId="77777777" w:rsidR="0016168D" w:rsidRPr="00E03AD2" w:rsidRDefault="0016168D" w:rsidP="0016168D">
      <w:pPr>
        <w:pStyle w:val="ListParagraph"/>
        <w:numPr>
          <w:ilvl w:val="2"/>
          <w:numId w:val="22"/>
        </w:numPr>
        <w:ind w:left="360"/>
        <w:rPr>
          <w:rFonts w:eastAsia="Arial" w:cs="Arial"/>
          <w:szCs w:val="20"/>
        </w:rPr>
      </w:pPr>
      <w:r w:rsidRPr="00E03AD2">
        <w:rPr>
          <w:rFonts w:eastAsia="Arial" w:cs="Arial"/>
          <w:szCs w:val="20"/>
        </w:rPr>
        <w:t>Continuation of therapy approval period: 12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29E23925" w14:textId="0A883A0C" w:rsidR="00FF2C61" w:rsidRPr="00FF2C61" w:rsidRDefault="0016168D" w:rsidP="00432247">
      <w:pPr>
        <w:pStyle w:val="paragraph"/>
        <w:numPr>
          <w:ilvl w:val="0"/>
          <w:numId w:val="32"/>
        </w:numPr>
        <w:spacing w:before="0" w:beforeAutospacing="0" w:after="0" w:afterAutospacing="0"/>
        <w:ind w:left="360"/>
        <w:textAlignment w:val="baseline"/>
        <w:rPr>
          <w:rFonts w:cs="Arial"/>
          <w:sz w:val="22"/>
          <w:szCs w:val="22"/>
        </w:rPr>
      </w:pPr>
      <w:r w:rsidRPr="00E03AD2">
        <w:rPr>
          <w:rFonts w:eastAsia="Arial" w:cs="Arial"/>
          <w:szCs w:val="20"/>
        </w:rPr>
        <w:t>T</w:t>
      </w:r>
      <w:r w:rsidR="00FF2C61" w:rsidRPr="00FF2C61">
        <w:rPr>
          <w:rFonts w:cs="Arial"/>
          <w:szCs w:val="20"/>
        </w:rPr>
        <w:t xml:space="preserve">herapy will deny with presence of one of the </w:t>
      </w:r>
      <w:r w:rsidR="002B6B0A" w:rsidRPr="00FF2C61">
        <w:rPr>
          <w:rFonts w:cs="Arial"/>
          <w:szCs w:val="20"/>
        </w:rPr>
        <w:t>following</w:t>
      </w:r>
      <w:r w:rsidR="00FF2C61" w:rsidRPr="00FF2C61">
        <w:rPr>
          <w:rFonts w:cs="Arial"/>
          <w:szCs w:val="20"/>
        </w:rPr>
        <w:t>: </w:t>
      </w:r>
    </w:p>
    <w:p w14:paraId="66B70C91" w14:textId="48DE15C6" w:rsidR="00FF2C61" w:rsidRPr="00FF2C61" w:rsidRDefault="00FF2C61" w:rsidP="00432247">
      <w:pPr>
        <w:numPr>
          <w:ilvl w:val="0"/>
          <w:numId w:val="30"/>
        </w:numPr>
        <w:ind w:left="360" w:firstLine="0"/>
        <w:textAlignment w:val="baseline"/>
        <w:rPr>
          <w:rFonts w:cs="Arial"/>
          <w:sz w:val="22"/>
          <w:szCs w:val="22"/>
        </w:rPr>
      </w:pPr>
      <w:r w:rsidRPr="00FF2C61">
        <w:rPr>
          <w:rFonts w:cs="Arial"/>
          <w:szCs w:val="20"/>
        </w:rPr>
        <w:t>Any approval criteria are not met</w:t>
      </w:r>
    </w:p>
    <w:p w14:paraId="176A057F" w14:textId="6EBADA30" w:rsidR="00FF2C61" w:rsidRPr="00944579" w:rsidRDefault="00FF2C61" w:rsidP="00432247">
      <w:pPr>
        <w:pStyle w:val="ListParagraph"/>
        <w:numPr>
          <w:ilvl w:val="0"/>
          <w:numId w:val="32"/>
        </w:numPr>
        <w:ind w:left="360"/>
        <w:textAlignment w:val="baseline"/>
        <w:rPr>
          <w:rFonts w:cs="Arial"/>
          <w:sz w:val="22"/>
          <w:szCs w:val="22"/>
        </w:rPr>
      </w:pPr>
      <w:r w:rsidRPr="00944579">
        <w:rPr>
          <w:rFonts w:cs="Arial"/>
          <w:b/>
          <w:bCs/>
          <w:color w:val="1F497D"/>
          <w:szCs w:val="20"/>
        </w:rPr>
        <w:t>Additional denial criteria for Tryngolza:</w:t>
      </w:r>
    </w:p>
    <w:p w14:paraId="5961A56A" w14:textId="3A61C311" w:rsidR="00FF2C61" w:rsidRPr="00FF2C61" w:rsidRDefault="00FF2C61" w:rsidP="00432247">
      <w:pPr>
        <w:numPr>
          <w:ilvl w:val="0"/>
          <w:numId w:val="33"/>
        </w:numPr>
        <w:textAlignment w:val="baseline"/>
        <w:rPr>
          <w:rFonts w:cs="Arial"/>
          <w:sz w:val="22"/>
          <w:szCs w:val="22"/>
        </w:rPr>
      </w:pPr>
      <w:r w:rsidRPr="00FF2C61">
        <w:rPr>
          <w:rFonts w:cs="Arial"/>
          <w:b/>
          <w:bCs/>
          <w:color w:val="1F497D"/>
          <w:szCs w:val="20"/>
        </w:rPr>
        <w:t xml:space="preserve">Concurrent therapy with </w:t>
      </w:r>
      <w:proofErr w:type="gramStart"/>
      <w:r w:rsidRPr="00FF2C61">
        <w:rPr>
          <w:rFonts w:cs="Arial"/>
          <w:b/>
          <w:bCs/>
          <w:color w:val="1F497D"/>
          <w:szCs w:val="20"/>
        </w:rPr>
        <w:t>Redemplo;</w:t>
      </w:r>
      <w:proofErr w:type="gramEnd"/>
    </w:p>
    <w:p w14:paraId="1213A9E7" w14:textId="59A21739" w:rsidR="00FF2C61" w:rsidRPr="00FF2C61" w:rsidRDefault="00FF2C61" w:rsidP="00432247">
      <w:pPr>
        <w:numPr>
          <w:ilvl w:val="0"/>
          <w:numId w:val="31"/>
        </w:numPr>
        <w:ind w:left="360"/>
        <w:textAlignment w:val="baseline"/>
        <w:rPr>
          <w:rFonts w:cs="Arial"/>
          <w:sz w:val="22"/>
          <w:szCs w:val="22"/>
        </w:rPr>
      </w:pPr>
      <w:r w:rsidRPr="00FF2C61">
        <w:rPr>
          <w:rFonts w:cs="Arial"/>
          <w:b/>
          <w:bCs/>
          <w:color w:val="1F497D"/>
          <w:szCs w:val="20"/>
        </w:rPr>
        <w:t>Additional denial criteria for Redemplo:</w:t>
      </w:r>
    </w:p>
    <w:p w14:paraId="1769C6F5" w14:textId="61822A6A" w:rsidR="00FF2C61" w:rsidRPr="00FF2C61" w:rsidRDefault="00FF2C61" w:rsidP="00432247">
      <w:pPr>
        <w:numPr>
          <w:ilvl w:val="0"/>
          <w:numId w:val="33"/>
        </w:numPr>
        <w:textAlignment w:val="baseline"/>
        <w:rPr>
          <w:rFonts w:cs="Arial"/>
          <w:sz w:val="22"/>
          <w:szCs w:val="22"/>
        </w:rPr>
      </w:pPr>
      <w:r w:rsidRPr="00FF2C61">
        <w:rPr>
          <w:rFonts w:cs="Arial"/>
          <w:b/>
          <w:bCs/>
          <w:color w:val="1F497D"/>
          <w:szCs w:val="20"/>
        </w:rPr>
        <w:t>Concur</w:t>
      </w:r>
      <w:r w:rsidR="00944579">
        <w:rPr>
          <w:rFonts w:cs="Arial"/>
          <w:b/>
          <w:bCs/>
          <w:color w:val="1F497D"/>
          <w:szCs w:val="20"/>
        </w:rPr>
        <w:t>r</w:t>
      </w:r>
      <w:r w:rsidRPr="00FF2C61">
        <w:rPr>
          <w:rFonts w:cs="Arial"/>
          <w:b/>
          <w:bCs/>
          <w:color w:val="1F497D"/>
          <w:szCs w:val="20"/>
        </w:rPr>
        <w:t>ent therapy with Tryngolza.</w:t>
      </w:r>
    </w:p>
    <w:p w14:paraId="4D21EAF1" w14:textId="500255C8" w:rsidR="001E4CBA" w:rsidRDefault="001E4CBA" w:rsidP="00061F31">
      <w:pPr>
        <w:pStyle w:val="ListParagraph"/>
        <w:numPr>
          <w:ilvl w:val="0"/>
          <w:numId w:val="0"/>
        </w:numPr>
        <w:ind w:left="45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66A1D8F6" w:rsidR="00343D6B" w:rsidRPr="00C02553" w:rsidRDefault="00343D6B" w:rsidP="00696E3A">
      <w:r w:rsidRPr="00696E3A">
        <w:rPr>
          <w:b/>
          <w:bCs/>
        </w:rPr>
        <w:t>Default Approval Period:</w:t>
      </w:r>
      <w:r w:rsidR="00973BD6">
        <w:t xml:space="preserve"> </w:t>
      </w:r>
      <w:r w:rsidR="00952EC9">
        <w:t>6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41A9E4A3" w14:textId="77777777" w:rsidR="005622E8" w:rsidRDefault="005622E8" w:rsidP="005622E8">
      <w:pPr>
        <w:pStyle w:val="ListParagraph"/>
      </w:pPr>
      <w:r>
        <w:t>Tryngolza® (olezarsen) [Package Insert]. Carlsbad, CA: Ionis Pharmaceuticals. January 2025.</w:t>
      </w:r>
    </w:p>
    <w:p w14:paraId="71A76859" w14:textId="325F06AA" w:rsidR="00BB409B" w:rsidRDefault="00BB409B" w:rsidP="00BB409B">
      <w:pPr>
        <w:pStyle w:val="ListParagraph"/>
      </w:pPr>
      <w:r>
        <w:t xml:space="preserve">Redemplo™ [Package Insert]. Arrowhead Pharmaceuticals. </w:t>
      </w:r>
      <w:r w:rsidR="009F326B">
        <w:t>December</w:t>
      </w:r>
      <w:r>
        <w:t xml:space="preserve"> 2025.</w:t>
      </w:r>
    </w:p>
    <w:p w14:paraId="2DB513DD" w14:textId="77777777" w:rsidR="005622E8" w:rsidRDefault="005622E8" w:rsidP="005622E8">
      <w:pPr>
        <w:pStyle w:val="ListParagraph"/>
      </w:pPr>
      <w:r>
        <w:t>IPD Analytics. New Drug Review: Tryngolza. January 2025</w:t>
      </w:r>
    </w:p>
    <w:p w14:paraId="75DE8936" w14:textId="4183B263" w:rsidR="00C07D10" w:rsidRDefault="00C07D10" w:rsidP="00C07D10">
      <w:pPr>
        <w:pStyle w:val="ListParagraph"/>
      </w:pPr>
      <w:r w:rsidRPr="00C07D10">
        <w:t xml:space="preserve">IPD Analytics. New Drug Review: </w:t>
      </w:r>
      <w:r>
        <w:t>Redemplo</w:t>
      </w:r>
      <w:r w:rsidRPr="00C07D10">
        <w:t xml:space="preserve">. </w:t>
      </w:r>
      <w:r w:rsidR="003B5513">
        <w:t>December</w:t>
      </w:r>
      <w:r w:rsidRPr="00C07D10">
        <w:t xml:space="preserve"> 2025</w:t>
      </w:r>
    </w:p>
    <w:p w14:paraId="16C7C62D" w14:textId="77777777" w:rsidR="005622E8" w:rsidRDefault="005622E8" w:rsidP="005622E8">
      <w:pPr>
        <w:pStyle w:val="ListParagraph"/>
      </w:pPr>
      <w:r>
        <w:t>The burden of familial chylomicronemia syndrome: Results from the global IN-FOCUS study. Davidson, Michael et al. Journal of Clinical Lipidology, Volume 12, Issue 4, 898 - 907.e2</w:t>
      </w:r>
    </w:p>
    <w:p w14:paraId="090A6B5E" w14:textId="77777777" w:rsidR="005622E8" w:rsidRDefault="005622E8" w:rsidP="005622E8">
      <w:pPr>
        <w:pStyle w:val="ListParagraph"/>
      </w:pPr>
      <w:r>
        <w:lastRenderedPageBreak/>
        <w:t>Familial Chylomicronemia Syndrome (FCS). The American Association of Endocrinologists. 2018.</w:t>
      </w:r>
    </w:p>
    <w:p w14:paraId="6FC59F68" w14:textId="77777777" w:rsidR="005622E8" w:rsidRDefault="005622E8" w:rsidP="005622E8">
      <w:pPr>
        <w:pStyle w:val="ListParagraph"/>
      </w:pPr>
      <w:r>
        <w:t>Familial Chylomicronemia Syndrome: A Clinical Guide for Endocrinologists. Falko, James M. Endocrine Practice, Volume 24, Issue 8, 756 – 763.</w:t>
      </w:r>
    </w:p>
    <w:p w14:paraId="3FA1E7DB" w14:textId="06C0D0FD" w:rsidR="00777CA4" w:rsidRDefault="00777CA4" w:rsidP="003B5513">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DB9CA" w14:textId="77777777" w:rsidR="001E28FA" w:rsidRPr="00C02553" w:rsidRDefault="001E28FA" w:rsidP="00AE77DB">
      <w:r w:rsidRPr="00C02553">
        <w:separator/>
      </w:r>
    </w:p>
  </w:endnote>
  <w:endnote w:type="continuationSeparator" w:id="0">
    <w:p w14:paraId="20352299" w14:textId="77777777" w:rsidR="001E28FA" w:rsidRPr="00C02553" w:rsidRDefault="001E28FA" w:rsidP="00AE77DB">
      <w:r w:rsidRPr="00C02553">
        <w:continuationSeparator/>
      </w:r>
    </w:p>
  </w:endnote>
  <w:endnote w:type="continuationNotice" w:id="1">
    <w:p w14:paraId="22A700E6" w14:textId="77777777" w:rsidR="001E28FA" w:rsidRPr="00C02553" w:rsidRDefault="001E28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05889" w14:textId="77777777" w:rsidR="001E28FA" w:rsidRPr="00C02553" w:rsidRDefault="001E28FA" w:rsidP="00AE77DB">
      <w:r w:rsidRPr="00C02553">
        <w:separator/>
      </w:r>
    </w:p>
  </w:footnote>
  <w:footnote w:type="continuationSeparator" w:id="0">
    <w:p w14:paraId="29BF280C" w14:textId="77777777" w:rsidR="001E28FA" w:rsidRPr="00C02553" w:rsidRDefault="001E28FA" w:rsidP="00AE77DB">
      <w:r w:rsidRPr="00C02553">
        <w:continuationSeparator/>
      </w:r>
    </w:p>
  </w:footnote>
  <w:footnote w:type="continuationNotice" w:id="1">
    <w:p w14:paraId="5B9DACB7" w14:textId="77777777" w:rsidR="001E28FA" w:rsidRPr="00C02553" w:rsidRDefault="001E28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675C46">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675C46">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675C46">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74624"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xmlns:arto="http://schemas.microsoft.com/office/word/2006/arto"/>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8524FBB"/>
    <w:multiLevelType w:val="hybridMultilevel"/>
    <w:tmpl w:val="D87469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1C2E7E"/>
    <w:multiLevelType w:val="multilevel"/>
    <w:tmpl w:val="B2DC48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1923567"/>
    <w:multiLevelType w:val="hybridMultilevel"/>
    <w:tmpl w:val="F1E225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D8C30AF"/>
    <w:multiLevelType w:val="hybridMultilevel"/>
    <w:tmpl w:val="BAB2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A32A5D"/>
    <w:multiLevelType w:val="hybridMultilevel"/>
    <w:tmpl w:val="D9BC7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A34036"/>
    <w:multiLevelType w:val="multilevel"/>
    <w:tmpl w:val="29C25A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E667E4"/>
    <w:multiLevelType w:val="multilevel"/>
    <w:tmpl w:val="DBE2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715B1C"/>
    <w:multiLevelType w:val="multilevel"/>
    <w:tmpl w:val="139CCC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5177082"/>
    <w:multiLevelType w:val="multilevel"/>
    <w:tmpl w:val="DB0031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35FE7CC0"/>
    <w:multiLevelType w:val="hybridMultilevel"/>
    <w:tmpl w:val="904C324A"/>
    <w:lvl w:ilvl="0" w:tplc="04090003">
      <w:start w:val="1"/>
      <w:numFmt w:val="bullet"/>
      <w:lvlText w:val="o"/>
      <w:lvlJc w:val="left"/>
      <w:pPr>
        <w:ind w:left="885" w:hanging="360"/>
      </w:pPr>
      <w:rPr>
        <w:rFonts w:ascii="Courier New" w:hAnsi="Courier New" w:cs="Courier New"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20" w15:restartNumberingAfterBreak="0">
    <w:nsid w:val="37B30F54"/>
    <w:multiLevelType w:val="hybridMultilevel"/>
    <w:tmpl w:val="46B4DB68"/>
    <w:lvl w:ilvl="0" w:tplc="04090003">
      <w:start w:val="1"/>
      <w:numFmt w:val="bullet"/>
      <w:lvlText w:val="o"/>
      <w:lvlJc w:val="left"/>
      <w:pPr>
        <w:ind w:left="945" w:hanging="360"/>
      </w:pPr>
      <w:rPr>
        <w:rFonts w:ascii="Courier New" w:hAnsi="Courier New" w:cs="Courier New"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 w15:restartNumberingAfterBreak="0">
    <w:nsid w:val="3A576983"/>
    <w:multiLevelType w:val="hybridMultilevel"/>
    <w:tmpl w:val="72A0DB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C8B539E"/>
    <w:multiLevelType w:val="multilevel"/>
    <w:tmpl w:val="1DDE4F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3D716A86"/>
    <w:multiLevelType w:val="multilevel"/>
    <w:tmpl w:val="B91AA7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1201A1F"/>
    <w:multiLevelType w:val="hybridMultilevel"/>
    <w:tmpl w:val="27A0A78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8AE6F8D"/>
    <w:multiLevelType w:val="hybridMultilevel"/>
    <w:tmpl w:val="14068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0164B2"/>
    <w:multiLevelType w:val="hybridMultilevel"/>
    <w:tmpl w:val="EFF8899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rPr>
        <w:rFonts w:ascii="Symbol" w:hAnsi="Symbol" w:hint="default"/>
      </w:rPr>
    </w:lvl>
    <w:lvl w:ilvl="3" w:tplc="04090005">
      <w:start w:val="1"/>
      <w:numFmt w:val="bullet"/>
      <w:lvlText w:val=""/>
      <w:lvlJc w:val="left"/>
      <w:pPr>
        <w:ind w:left="108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E671612"/>
    <w:multiLevelType w:val="multilevel"/>
    <w:tmpl w:val="A8F8E3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064720"/>
    <w:multiLevelType w:val="multilevel"/>
    <w:tmpl w:val="B676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F22BC1"/>
    <w:multiLevelType w:val="hybridMultilevel"/>
    <w:tmpl w:val="7C427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F32A0E"/>
    <w:multiLevelType w:val="multilevel"/>
    <w:tmpl w:val="1D7C9F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C6E42F1"/>
    <w:multiLevelType w:val="multilevel"/>
    <w:tmpl w:val="BF081E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5D0850FF"/>
    <w:multiLevelType w:val="multilevel"/>
    <w:tmpl w:val="F4061A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6"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13D2726"/>
    <w:multiLevelType w:val="multilevel"/>
    <w:tmpl w:val="1626EE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658E4A8C"/>
    <w:multiLevelType w:val="multilevel"/>
    <w:tmpl w:val="23304F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8FC60BD"/>
    <w:multiLevelType w:val="multilevel"/>
    <w:tmpl w:val="083402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69AA5DA7"/>
    <w:multiLevelType w:val="multilevel"/>
    <w:tmpl w:val="28E68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0955366"/>
    <w:multiLevelType w:val="multilevel"/>
    <w:tmpl w:val="8F06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5E92A49"/>
    <w:multiLevelType w:val="multilevel"/>
    <w:tmpl w:val="FC1205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8BF0264"/>
    <w:multiLevelType w:val="hybridMultilevel"/>
    <w:tmpl w:val="62F4B8B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7" w15:restartNumberingAfterBreak="0">
    <w:nsid w:val="79D53D83"/>
    <w:multiLevelType w:val="multilevel"/>
    <w:tmpl w:val="BC5A720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 w15:restartNumberingAfterBreak="0">
    <w:nsid w:val="7B26428C"/>
    <w:multiLevelType w:val="hybridMultilevel"/>
    <w:tmpl w:val="FD2C2E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start w:val="1"/>
      <w:numFmt w:val="bullet"/>
      <w:lvlText w:val=""/>
      <w:lvlJc w:val="left"/>
      <w:pPr>
        <w:ind w:left="153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B6410CF"/>
    <w:multiLevelType w:val="hybridMultilevel"/>
    <w:tmpl w:val="22CE8C3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67994657">
    <w:abstractNumId w:val="0"/>
  </w:num>
  <w:num w:numId="2" w16cid:durableId="517891239">
    <w:abstractNumId w:val="45"/>
  </w:num>
  <w:num w:numId="3" w16cid:durableId="1729067566">
    <w:abstractNumId w:val="4"/>
  </w:num>
  <w:num w:numId="4" w16cid:durableId="320159068">
    <w:abstractNumId w:val="14"/>
  </w:num>
  <w:num w:numId="5" w16cid:durableId="1769498754">
    <w:abstractNumId w:val="3"/>
  </w:num>
  <w:num w:numId="6" w16cid:durableId="1094596320">
    <w:abstractNumId w:val="35"/>
  </w:num>
  <w:num w:numId="7" w16cid:durableId="2110008555">
    <w:abstractNumId w:val="2"/>
  </w:num>
  <w:num w:numId="8" w16cid:durableId="489712751">
    <w:abstractNumId w:val="10"/>
  </w:num>
  <w:num w:numId="9" w16cid:durableId="1085147965">
    <w:abstractNumId w:val="24"/>
  </w:num>
  <w:num w:numId="10" w16cid:durableId="917518096">
    <w:abstractNumId w:val="16"/>
  </w:num>
  <w:num w:numId="11" w16cid:durableId="1894998475">
    <w:abstractNumId w:val="1"/>
  </w:num>
  <w:num w:numId="12" w16cid:durableId="1418215296">
    <w:abstractNumId w:val="39"/>
  </w:num>
  <w:num w:numId="13" w16cid:durableId="604729665">
    <w:abstractNumId w:val="8"/>
  </w:num>
  <w:num w:numId="14" w16cid:durableId="1805081292">
    <w:abstractNumId w:val="29"/>
  </w:num>
  <w:num w:numId="15" w16cid:durableId="1911186802">
    <w:abstractNumId w:val="9"/>
  </w:num>
  <w:num w:numId="16" w16cid:durableId="525218980">
    <w:abstractNumId w:val="36"/>
  </w:num>
  <w:num w:numId="17" w16cid:durableId="206333351">
    <w:abstractNumId w:val="48"/>
  </w:num>
  <w:num w:numId="18" w16cid:durableId="69162268">
    <w:abstractNumId w:val="43"/>
  </w:num>
  <w:num w:numId="19" w16cid:durableId="2012370405">
    <w:abstractNumId w:val="12"/>
  </w:num>
  <w:num w:numId="20" w16cid:durableId="938097574">
    <w:abstractNumId w:val="11"/>
  </w:num>
  <w:num w:numId="21" w16cid:durableId="811872775">
    <w:abstractNumId w:val="49"/>
  </w:num>
  <w:num w:numId="22" w16cid:durableId="1465924233">
    <w:abstractNumId w:val="25"/>
  </w:num>
  <w:num w:numId="23" w16cid:durableId="1699041943">
    <w:abstractNumId w:val="19"/>
  </w:num>
  <w:num w:numId="24" w16cid:durableId="1221557963">
    <w:abstractNumId w:val="7"/>
  </w:num>
  <w:num w:numId="25" w16cid:durableId="78142191">
    <w:abstractNumId w:val="21"/>
  </w:num>
  <w:num w:numId="26" w16cid:durableId="367726635">
    <w:abstractNumId w:val="46"/>
  </w:num>
  <w:num w:numId="27" w16cid:durableId="910506595">
    <w:abstractNumId w:val="20"/>
  </w:num>
  <w:num w:numId="28" w16cid:durableId="1372147028">
    <w:abstractNumId w:val="31"/>
  </w:num>
  <w:num w:numId="29" w16cid:durableId="1168323476">
    <w:abstractNumId w:val="27"/>
  </w:num>
  <w:num w:numId="30" w16cid:durableId="1564681299">
    <w:abstractNumId w:val="23"/>
  </w:num>
  <w:num w:numId="31" w16cid:durableId="1776050378">
    <w:abstractNumId w:val="42"/>
  </w:num>
  <w:num w:numId="32" w16cid:durableId="1111360259">
    <w:abstractNumId w:val="26"/>
  </w:num>
  <w:num w:numId="33" w16cid:durableId="404645683">
    <w:abstractNumId w:val="47"/>
  </w:num>
  <w:num w:numId="34" w16cid:durableId="1584753492">
    <w:abstractNumId w:val="15"/>
  </w:num>
  <w:num w:numId="35" w16cid:durableId="1462646442">
    <w:abstractNumId w:val="18"/>
  </w:num>
  <w:num w:numId="36" w16cid:durableId="1124274942">
    <w:abstractNumId w:val="40"/>
  </w:num>
  <w:num w:numId="37" w16cid:durableId="1729527363">
    <w:abstractNumId w:val="34"/>
  </w:num>
  <w:num w:numId="38" w16cid:durableId="78212856">
    <w:abstractNumId w:val="17"/>
  </w:num>
  <w:num w:numId="39" w16cid:durableId="719213789">
    <w:abstractNumId w:val="44"/>
  </w:num>
  <w:num w:numId="40" w16cid:durableId="1819808047">
    <w:abstractNumId w:val="38"/>
  </w:num>
  <w:num w:numId="41" w16cid:durableId="1683969327">
    <w:abstractNumId w:val="32"/>
  </w:num>
  <w:num w:numId="42" w16cid:durableId="322468210">
    <w:abstractNumId w:val="13"/>
  </w:num>
  <w:num w:numId="43" w16cid:durableId="349139423">
    <w:abstractNumId w:val="37"/>
  </w:num>
  <w:num w:numId="44" w16cid:durableId="1991711444">
    <w:abstractNumId w:val="28"/>
  </w:num>
  <w:num w:numId="45" w16cid:durableId="1367875383">
    <w:abstractNumId w:val="33"/>
  </w:num>
  <w:num w:numId="46" w16cid:durableId="978147502">
    <w:abstractNumId w:val="22"/>
  </w:num>
  <w:num w:numId="47" w16cid:durableId="262998109">
    <w:abstractNumId w:val="30"/>
  </w:num>
  <w:num w:numId="48" w16cid:durableId="1875848317">
    <w:abstractNumId w:val="6"/>
  </w:num>
  <w:num w:numId="49" w16cid:durableId="1070149999">
    <w:abstractNumId w:val="41"/>
  </w:num>
  <w:num w:numId="50" w16cid:durableId="146099677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uTnRW1kbK0tafK5mlGgJDl1l6kwNpa0ikUuueNqgW1OJUabb/2f+y5UfUWZ/VFPOARVPVVIicvVsyddCQonu4w==" w:salt="xlr1AZxojqk/HPxXalOC7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21FC"/>
    <w:rsid w:val="0000390A"/>
    <w:rsid w:val="000044F6"/>
    <w:rsid w:val="0000457E"/>
    <w:rsid w:val="00006A61"/>
    <w:rsid w:val="00017CBA"/>
    <w:rsid w:val="00023E92"/>
    <w:rsid w:val="000276D9"/>
    <w:rsid w:val="000344C5"/>
    <w:rsid w:val="00040AD3"/>
    <w:rsid w:val="0004516B"/>
    <w:rsid w:val="00053807"/>
    <w:rsid w:val="0005608F"/>
    <w:rsid w:val="000572E5"/>
    <w:rsid w:val="00061541"/>
    <w:rsid w:val="00061F31"/>
    <w:rsid w:val="00064162"/>
    <w:rsid w:val="00065C22"/>
    <w:rsid w:val="000676B9"/>
    <w:rsid w:val="00074464"/>
    <w:rsid w:val="00074CF3"/>
    <w:rsid w:val="00076030"/>
    <w:rsid w:val="00081ECA"/>
    <w:rsid w:val="00082590"/>
    <w:rsid w:val="00086C36"/>
    <w:rsid w:val="000913C3"/>
    <w:rsid w:val="000953B9"/>
    <w:rsid w:val="000A2D17"/>
    <w:rsid w:val="000A413B"/>
    <w:rsid w:val="000A6279"/>
    <w:rsid w:val="000B3608"/>
    <w:rsid w:val="000B496B"/>
    <w:rsid w:val="000C3940"/>
    <w:rsid w:val="000C5992"/>
    <w:rsid w:val="000E1479"/>
    <w:rsid w:val="000E231E"/>
    <w:rsid w:val="000E247D"/>
    <w:rsid w:val="000E6B14"/>
    <w:rsid w:val="000E70D8"/>
    <w:rsid w:val="001016B2"/>
    <w:rsid w:val="001062F6"/>
    <w:rsid w:val="00107CD7"/>
    <w:rsid w:val="00112FC7"/>
    <w:rsid w:val="001157D7"/>
    <w:rsid w:val="001248E2"/>
    <w:rsid w:val="00125F5F"/>
    <w:rsid w:val="00126951"/>
    <w:rsid w:val="00126B60"/>
    <w:rsid w:val="00127EF6"/>
    <w:rsid w:val="001310AD"/>
    <w:rsid w:val="001314A5"/>
    <w:rsid w:val="00132C7F"/>
    <w:rsid w:val="00143A11"/>
    <w:rsid w:val="00144DBE"/>
    <w:rsid w:val="00152C8B"/>
    <w:rsid w:val="0015636A"/>
    <w:rsid w:val="0016168D"/>
    <w:rsid w:val="00172053"/>
    <w:rsid w:val="00177A80"/>
    <w:rsid w:val="001808B8"/>
    <w:rsid w:val="001853C4"/>
    <w:rsid w:val="00186FE6"/>
    <w:rsid w:val="00192EFD"/>
    <w:rsid w:val="001A50CB"/>
    <w:rsid w:val="001A74B7"/>
    <w:rsid w:val="001B2D47"/>
    <w:rsid w:val="001B3B78"/>
    <w:rsid w:val="001B47C9"/>
    <w:rsid w:val="001B5F66"/>
    <w:rsid w:val="001C0250"/>
    <w:rsid w:val="001C6DA4"/>
    <w:rsid w:val="001C73B1"/>
    <w:rsid w:val="001D1E7D"/>
    <w:rsid w:val="001D3C1C"/>
    <w:rsid w:val="001D6567"/>
    <w:rsid w:val="001E28FA"/>
    <w:rsid w:val="001E2CCB"/>
    <w:rsid w:val="001E4CBA"/>
    <w:rsid w:val="001E523C"/>
    <w:rsid w:val="001E61DF"/>
    <w:rsid w:val="001F2B9F"/>
    <w:rsid w:val="001F3A35"/>
    <w:rsid w:val="001F5954"/>
    <w:rsid w:val="00202DD3"/>
    <w:rsid w:val="00206E7D"/>
    <w:rsid w:val="00217E14"/>
    <w:rsid w:val="00217EFD"/>
    <w:rsid w:val="00222134"/>
    <w:rsid w:val="0022233F"/>
    <w:rsid w:val="0022602E"/>
    <w:rsid w:val="00226275"/>
    <w:rsid w:val="0022646D"/>
    <w:rsid w:val="00246564"/>
    <w:rsid w:val="00246A3B"/>
    <w:rsid w:val="002478F5"/>
    <w:rsid w:val="00250FBF"/>
    <w:rsid w:val="00253E6F"/>
    <w:rsid w:val="00255404"/>
    <w:rsid w:val="0025594F"/>
    <w:rsid w:val="00261419"/>
    <w:rsid w:val="00266A75"/>
    <w:rsid w:val="00270346"/>
    <w:rsid w:val="00270C5E"/>
    <w:rsid w:val="00290A03"/>
    <w:rsid w:val="0029159A"/>
    <w:rsid w:val="00291600"/>
    <w:rsid w:val="002A02F4"/>
    <w:rsid w:val="002B6B0A"/>
    <w:rsid w:val="002C2C41"/>
    <w:rsid w:val="002C62E7"/>
    <w:rsid w:val="002E05E2"/>
    <w:rsid w:val="002E2DD6"/>
    <w:rsid w:val="002E3F28"/>
    <w:rsid w:val="002E596A"/>
    <w:rsid w:val="002F0E52"/>
    <w:rsid w:val="002F2274"/>
    <w:rsid w:val="002F2405"/>
    <w:rsid w:val="002F690F"/>
    <w:rsid w:val="0030301F"/>
    <w:rsid w:val="00303B21"/>
    <w:rsid w:val="00307B67"/>
    <w:rsid w:val="003105A5"/>
    <w:rsid w:val="00313701"/>
    <w:rsid w:val="00314430"/>
    <w:rsid w:val="00316188"/>
    <w:rsid w:val="003171AF"/>
    <w:rsid w:val="00317469"/>
    <w:rsid w:val="0032215C"/>
    <w:rsid w:val="00326034"/>
    <w:rsid w:val="0032616B"/>
    <w:rsid w:val="00326687"/>
    <w:rsid w:val="003275F9"/>
    <w:rsid w:val="00330DD4"/>
    <w:rsid w:val="003345D2"/>
    <w:rsid w:val="003355AC"/>
    <w:rsid w:val="00343D6B"/>
    <w:rsid w:val="00346090"/>
    <w:rsid w:val="00347FB5"/>
    <w:rsid w:val="00354487"/>
    <w:rsid w:val="00355515"/>
    <w:rsid w:val="003608B5"/>
    <w:rsid w:val="003613AF"/>
    <w:rsid w:val="0037085F"/>
    <w:rsid w:val="003708C4"/>
    <w:rsid w:val="003878C1"/>
    <w:rsid w:val="00396C0B"/>
    <w:rsid w:val="003A630F"/>
    <w:rsid w:val="003B3958"/>
    <w:rsid w:val="003B4820"/>
    <w:rsid w:val="003B5513"/>
    <w:rsid w:val="003B5F4B"/>
    <w:rsid w:val="003B682F"/>
    <w:rsid w:val="003C53FC"/>
    <w:rsid w:val="003C7013"/>
    <w:rsid w:val="003D4704"/>
    <w:rsid w:val="003D5DFB"/>
    <w:rsid w:val="003D641B"/>
    <w:rsid w:val="003E6CED"/>
    <w:rsid w:val="003F227C"/>
    <w:rsid w:val="004023CC"/>
    <w:rsid w:val="00403113"/>
    <w:rsid w:val="00407564"/>
    <w:rsid w:val="00411152"/>
    <w:rsid w:val="004156AA"/>
    <w:rsid w:val="004212CA"/>
    <w:rsid w:val="004253A1"/>
    <w:rsid w:val="004313B6"/>
    <w:rsid w:val="00432247"/>
    <w:rsid w:val="00433339"/>
    <w:rsid w:val="00446BBC"/>
    <w:rsid w:val="004472C0"/>
    <w:rsid w:val="00450705"/>
    <w:rsid w:val="00451928"/>
    <w:rsid w:val="00453E6D"/>
    <w:rsid w:val="00460B5D"/>
    <w:rsid w:val="0046618B"/>
    <w:rsid w:val="0048608C"/>
    <w:rsid w:val="00496E57"/>
    <w:rsid w:val="004A4B4C"/>
    <w:rsid w:val="004B3E10"/>
    <w:rsid w:val="004C04A1"/>
    <w:rsid w:val="004C0F5D"/>
    <w:rsid w:val="004C375A"/>
    <w:rsid w:val="004C4954"/>
    <w:rsid w:val="004C5767"/>
    <w:rsid w:val="004D0080"/>
    <w:rsid w:val="004D5322"/>
    <w:rsid w:val="004D78B0"/>
    <w:rsid w:val="004E611F"/>
    <w:rsid w:val="004F2A79"/>
    <w:rsid w:val="004F4D37"/>
    <w:rsid w:val="004F5AA7"/>
    <w:rsid w:val="00501A14"/>
    <w:rsid w:val="00501DE3"/>
    <w:rsid w:val="005058CB"/>
    <w:rsid w:val="0051044D"/>
    <w:rsid w:val="005139E4"/>
    <w:rsid w:val="00515075"/>
    <w:rsid w:val="00516D12"/>
    <w:rsid w:val="00520FE9"/>
    <w:rsid w:val="005233E7"/>
    <w:rsid w:val="00526C8D"/>
    <w:rsid w:val="005328B2"/>
    <w:rsid w:val="00535BD5"/>
    <w:rsid w:val="00540977"/>
    <w:rsid w:val="005410B4"/>
    <w:rsid w:val="00551668"/>
    <w:rsid w:val="005572D5"/>
    <w:rsid w:val="005622E8"/>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2249"/>
    <w:rsid w:val="005F2720"/>
    <w:rsid w:val="005F6104"/>
    <w:rsid w:val="0060042F"/>
    <w:rsid w:val="006008BC"/>
    <w:rsid w:val="00602CFD"/>
    <w:rsid w:val="00606B55"/>
    <w:rsid w:val="00612A7B"/>
    <w:rsid w:val="00616E5E"/>
    <w:rsid w:val="006173A4"/>
    <w:rsid w:val="006205AD"/>
    <w:rsid w:val="00625C3A"/>
    <w:rsid w:val="00635DDB"/>
    <w:rsid w:val="0064149A"/>
    <w:rsid w:val="00644088"/>
    <w:rsid w:val="00646DFE"/>
    <w:rsid w:val="00650530"/>
    <w:rsid w:val="00650C96"/>
    <w:rsid w:val="00652196"/>
    <w:rsid w:val="00653788"/>
    <w:rsid w:val="0065477F"/>
    <w:rsid w:val="00656896"/>
    <w:rsid w:val="00661656"/>
    <w:rsid w:val="006623F9"/>
    <w:rsid w:val="0066374F"/>
    <w:rsid w:val="00675C46"/>
    <w:rsid w:val="00677C65"/>
    <w:rsid w:val="00693152"/>
    <w:rsid w:val="00694FAE"/>
    <w:rsid w:val="00696D3B"/>
    <w:rsid w:val="00696E3A"/>
    <w:rsid w:val="006A0834"/>
    <w:rsid w:val="006A35F3"/>
    <w:rsid w:val="006A4BBD"/>
    <w:rsid w:val="006A52F1"/>
    <w:rsid w:val="006B2D78"/>
    <w:rsid w:val="006B561D"/>
    <w:rsid w:val="006B6D5D"/>
    <w:rsid w:val="006D2330"/>
    <w:rsid w:val="006E0F8B"/>
    <w:rsid w:val="006E12F7"/>
    <w:rsid w:val="006E29D7"/>
    <w:rsid w:val="006F59CC"/>
    <w:rsid w:val="007068A4"/>
    <w:rsid w:val="00706D67"/>
    <w:rsid w:val="00713052"/>
    <w:rsid w:val="00720A7A"/>
    <w:rsid w:val="00721367"/>
    <w:rsid w:val="007231FA"/>
    <w:rsid w:val="00732C67"/>
    <w:rsid w:val="00734418"/>
    <w:rsid w:val="00734FC3"/>
    <w:rsid w:val="007431DD"/>
    <w:rsid w:val="00757826"/>
    <w:rsid w:val="00762B13"/>
    <w:rsid w:val="007632B7"/>
    <w:rsid w:val="0076382F"/>
    <w:rsid w:val="00765768"/>
    <w:rsid w:val="00765D10"/>
    <w:rsid w:val="00766AC8"/>
    <w:rsid w:val="00767486"/>
    <w:rsid w:val="0077070E"/>
    <w:rsid w:val="0077296A"/>
    <w:rsid w:val="00777CA4"/>
    <w:rsid w:val="00792DF0"/>
    <w:rsid w:val="0079438F"/>
    <w:rsid w:val="00794578"/>
    <w:rsid w:val="007A3034"/>
    <w:rsid w:val="007A527E"/>
    <w:rsid w:val="007A53E7"/>
    <w:rsid w:val="007A78F7"/>
    <w:rsid w:val="007B3333"/>
    <w:rsid w:val="007B379F"/>
    <w:rsid w:val="007B37D6"/>
    <w:rsid w:val="007B5D30"/>
    <w:rsid w:val="007D2920"/>
    <w:rsid w:val="007D42DD"/>
    <w:rsid w:val="007E6A37"/>
    <w:rsid w:val="007F1774"/>
    <w:rsid w:val="007F2B96"/>
    <w:rsid w:val="007F593C"/>
    <w:rsid w:val="00807B24"/>
    <w:rsid w:val="00811A70"/>
    <w:rsid w:val="0081406E"/>
    <w:rsid w:val="00825A77"/>
    <w:rsid w:val="008310E7"/>
    <w:rsid w:val="00832211"/>
    <w:rsid w:val="008325F4"/>
    <w:rsid w:val="00832AC8"/>
    <w:rsid w:val="00835B8E"/>
    <w:rsid w:val="00846FA4"/>
    <w:rsid w:val="008524BA"/>
    <w:rsid w:val="00852B74"/>
    <w:rsid w:val="00856928"/>
    <w:rsid w:val="00856B46"/>
    <w:rsid w:val="00856EA6"/>
    <w:rsid w:val="00865538"/>
    <w:rsid w:val="00870875"/>
    <w:rsid w:val="0088225C"/>
    <w:rsid w:val="00884026"/>
    <w:rsid w:val="00884C78"/>
    <w:rsid w:val="008859E1"/>
    <w:rsid w:val="00887BE0"/>
    <w:rsid w:val="00895396"/>
    <w:rsid w:val="00896264"/>
    <w:rsid w:val="008A2549"/>
    <w:rsid w:val="008A5D88"/>
    <w:rsid w:val="008A7F88"/>
    <w:rsid w:val="008B2851"/>
    <w:rsid w:val="008C000E"/>
    <w:rsid w:val="008C2FCC"/>
    <w:rsid w:val="008D0F2F"/>
    <w:rsid w:val="008D237F"/>
    <w:rsid w:val="008D3FD8"/>
    <w:rsid w:val="008D6B05"/>
    <w:rsid w:val="008E49EA"/>
    <w:rsid w:val="008E7D2D"/>
    <w:rsid w:val="008F2B29"/>
    <w:rsid w:val="008F44C0"/>
    <w:rsid w:val="008F5999"/>
    <w:rsid w:val="00903AD6"/>
    <w:rsid w:val="00904D7A"/>
    <w:rsid w:val="00915332"/>
    <w:rsid w:val="009204BB"/>
    <w:rsid w:val="009237CE"/>
    <w:rsid w:val="00932A22"/>
    <w:rsid w:val="00935918"/>
    <w:rsid w:val="00935EC3"/>
    <w:rsid w:val="00944579"/>
    <w:rsid w:val="00951097"/>
    <w:rsid w:val="00952EC9"/>
    <w:rsid w:val="00953C1E"/>
    <w:rsid w:val="0096210F"/>
    <w:rsid w:val="00962633"/>
    <w:rsid w:val="00962665"/>
    <w:rsid w:val="00963187"/>
    <w:rsid w:val="00963ACF"/>
    <w:rsid w:val="00963D1C"/>
    <w:rsid w:val="00964284"/>
    <w:rsid w:val="0097028A"/>
    <w:rsid w:val="00973BD6"/>
    <w:rsid w:val="00980EF5"/>
    <w:rsid w:val="00984549"/>
    <w:rsid w:val="00985D28"/>
    <w:rsid w:val="00991BF0"/>
    <w:rsid w:val="00992EA3"/>
    <w:rsid w:val="009A0FB1"/>
    <w:rsid w:val="009A1FAC"/>
    <w:rsid w:val="009B001A"/>
    <w:rsid w:val="009B002E"/>
    <w:rsid w:val="009B1A62"/>
    <w:rsid w:val="009B58D1"/>
    <w:rsid w:val="009C3CC7"/>
    <w:rsid w:val="009C479E"/>
    <w:rsid w:val="009D2057"/>
    <w:rsid w:val="009D3C7C"/>
    <w:rsid w:val="009D3D6C"/>
    <w:rsid w:val="009D5551"/>
    <w:rsid w:val="009D62DB"/>
    <w:rsid w:val="009E314C"/>
    <w:rsid w:val="009E3B42"/>
    <w:rsid w:val="009F326B"/>
    <w:rsid w:val="009F518A"/>
    <w:rsid w:val="00A0157C"/>
    <w:rsid w:val="00A02AF6"/>
    <w:rsid w:val="00A05B60"/>
    <w:rsid w:val="00A05B6A"/>
    <w:rsid w:val="00A119D3"/>
    <w:rsid w:val="00A11CAC"/>
    <w:rsid w:val="00A13266"/>
    <w:rsid w:val="00A14FA6"/>
    <w:rsid w:val="00A15ADE"/>
    <w:rsid w:val="00A15D64"/>
    <w:rsid w:val="00A20575"/>
    <w:rsid w:val="00A234C8"/>
    <w:rsid w:val="00A32452"/>
    <w:rsid w:val="00A325CC"/>
    <w:rsid w:val="00A32BBF"/>
    <w:rsid w:val="00A37444"/>
    <w:rsid w:val="00A4281A"/>
    <w:rsid w:val="00A459CF"/>
    <w:rsid w:val="00A4734E"/>
    <w:rsid w:val="00A5014D"/>
    <w:rsid w:val="00A53E96"/>
    <w:rsid w:val="00A54ADF"/>
    <w:rsid w:val="00A56F18"/>
    <w:rsid w:val="00A628F8"/>
    <w:rsid w:val="00A62BAA"/>
    <w:rsid w:val="00A66172"/>
    <w:rsid w:val="00A72817"/>
    <w:rsid w:val="00A744C3"/>
    <w:rsid w:val="00A82916"/>
    <w:rsid w:val="00AA70AB"/>
    <w:rsid w:val="00AB0B9F"/>
    <w:rsid w:val="00AB1713"/>
    <w:rsid w:val="00AB63BE"/>
    <w:rsid w:val="00AC1EBC"/>
    <w:rsid w:val="00AC2599"/>
    <w:rsid w:val="00AC2DE9"/>
    <w:rsid w:val="00AC3CD9"/>
    <w:rsid w:val="00AD2C5F"/>
    <w:rsid w:val="00AD6BC8"/>
    <w:rsid w:val="00AE1481"/>
    <w:rsid w:val="00AE27F9"/>
    <w:rsid w:val="00AE77DB"/>
    <w:rsid w:val="00AF1270"/>
    <w:rsid w:val="00AF7453"/>
    <w:rsid w:val="00B00FFF"/>
    <w:rsid w:val="00B06084"/>
    <w:rsid w:val="00B062E4"/>
    <w:rsid w:val="00B11F0B"/>
    <w:rsid w:val="00B16735"/>
    <w:rsid w:val="00B17EDE"/>
    <w:rsid w:val="00B22585"/>
    <w:rsid w:val="00B33693"/>
    <w:rsid w:val="00B3485A"/>
    <w:rsid w:val="00B34C53"/>
    <w:rsid w:val="00B507A5"/>
    <w:rsid w:val="00B52475"/>
    <w:rsid w:val="00B535DA"/>
    <w:rsid w:val="00B56DCC"/>
    <w:rsid w:val="00B56F54"/>
    <w:rsid w:val="00B638C2"/>
    <w:rsid w:val="00B758AB"/>
    <w:rsid w:val="00B7602B"/>
    <w:rsid w:val="00B76277"/>
    <w:rsid w:val="00B772AB"/>
    <w:rsid w:val="00B80395"/>
    <w:rsid w:val="00B80B56"/>
    <w:rsid w:val="00B86372"/>
    <w:rsid w:val="00B93676"/>
    <w:rsid w:val="00BA1C17"/>
    <w:rsid w:val="00BA1D65"/>
    <w:rsid w:val="00BA25A8"/>
    <w:rsid w:val="00BA4094"/>
    <w:rsid w:val="00BB3B4D"/>
    <w:rsid w:val="00BB409B"/>
    <w:rsid w:val="00BB75C7"/>
    <w:rsid w:val="00BC351E"/>
    <w:rsid w:val="00BC3F77"/>
    <w:rsid w:val="00BC5635"/>
    <w:rsid w:val="00BC5675"/>
    <w:rsid w:val="00BD05CE"/>
    <w:rsid w:val="00BD081C"/>
    <w:rsid w:val="00BD277B"/>
    <w:rsid w:val="00BD47CA"/>
    <w:rsid w:val="00BD62C7"/>
    <w:rsid w:val="00BD638C"/>
    <w:rsid w:val="00BE020D"/>
    <w:rsid w:val="00BE354A"/>
    <w:rsid w:val="00BF5EEF"/>
    <w:rsid w:val="00C02553"/>
    <w:rsid w:val="00C04EB6"/>
    <w:rsid w:val="00C056F9"/>
    <w:rsid w:val="00C07A7B"/>
    <w:rsid w:val="00C07D10"/>
    <w:rsid w:val="00C1018C"/>
    <w:rsid w:val="00C1150E"/>
    <w:rsid w:val="00C14D52"/>
    <w:rsid w:val="00C2586C"/>
    <w:rsid w:val="00C26001"/>
    <w:rsid w:val="00C34E72"/>
    <w:rsid w:val="00C41E9F"/>
    <w:rsid w:val="00C454A3"/>
    <w:rsid w:val="00C461CB"/>
    <w:rsid w:val="00C5051B"/>
    <w:rsid w:val="00C56B1F"/>
    <w:rsid w:val="00C5720E"/>
    <w:rsid w:val="00C61B52"/>
    <w:rsid w:val="00C62745"/>
    <w:rsid w:val="00C654CA"/>
    <w:rsid w:val="00C763BD"/>
    <w:rsid w:val="00C779A8"/>
    <w:rsid w:val="00C82E19"/>
    <w:rsid w:val="00C9679D"/>
    <w:rsid w:val="00C96873"/>
    <w:rsid w:val="00CA1735"/>
    <w:rsid w:val="00CA207E"/>
    <w:rsid w:val="00CA3C4B"/>
    <w:rsid w:val="00CA48A6"/>
    <w:rsid w:val="00CA7252"/>
    <w:rsid w:val="00CB2C5A"/>
    <w:rsid w:val="00CB6CE0"/>
    <w:rsid w:val="00CE0C1C"/>
    <w:rsid w:val="00CE34AF"/>
    <w:rsid w:val="00CE4A1B"/>
    <w:rsid w:val="00CE7733"/>
    <w:rsid w:val="00CF00A4"/>
    <w:rsid w:val="00CF25FB"/>
    <w:rsid w:val="00CF31DD"/>
    <w:rsid w:val="00CF614C"/>
    <w:rsid w:val="00D02F34"/>
    <w:rsid w:val="00D0737F"/>
    <w:rsid w:val="00D13D87"/>
    <w:rsid w:val="00D16590"/>
    <w:rsid w:val="00D20720"/>
    <w:rsid w:val="00D232D9"/>
    <w:rsid w:val="00D250D9"/>
    <w:rsid w:val="00D27034"/>
    <w:rsid w:val="00D27533"/>
    <w:rsid w:val="00D4134E"/>
    <w:rsid w:val="00D42DA3"/>
    <w:rsid w:val="00D4315D"/>
    <w:rsid w:val="00D44C75"/>
    <w:rsid w:val="00D4546D"/>
    <w:rsid w:val="00D47996"/>
    <w:rsid w:val="00D47DE1"/>
    <w:rsid w:val="00D50621"/>
    <w:rsid w:val="00D61118"/>
    <w:rsid w:val="00D614F1"/>
    <w:rsid w:val="00D70D50"/>
    <w:rsid w:val="00D71917"/>
    <w:rsid w:val="00D72311"/>
    <w:rsid w:val="00D82D11"/>
    <w:rsid w:val="00D842F6"/>
    <w:rsid w:val="00D95E68"/>
    <w:rsid w:val="00DA3A0F"/>
    <w:rsid w:val="00DA4E62"/>
    <w:rsid w:val="00DA6990"/>
    <w:rsid w:val="00DB27BA"/>
    <w:rsid w:val="00DB3009"/>
    <w:rsid w:val="00DB337A"/>
    <w:rsid w:val="00DB5F7F"/>
    <w:rsid w:val="00DC034A"/>
    <w:rsid w:val="00DC51CB"/>
    <w:rsid w:val="00DC7582"/>
    <w:rsid w:val="00DD4819"/>
    <w:rsid w:val="00DD4B8A"/>
    <w:rsid w:val="00DD5403"/>
    <w:rsid w:val="00DE1388"/>
    <w:rsid w:val="00DE7501"/>
    <w:rsid w:val="00DF0259"/>
    <w:rsid w:val="00DF3146"/>
    <w:rsid w:val="00DF57C3"/>
    <w:rsid w:val="00E008D9"/>
    <w:rsid w:val="00E02FE0"/>
    <w:rsid w:val="00E07ABE"/>
    <w:rsid w:val="00E11A3F"/>
    <w:rsid w:val="00E122F6"/>
    <w:rsid w:val="00E1386E"/>
    <w:rsid w:val="00E14D64"/>
    <w:rsid w:val="00E2369B"/>
    <w:rsid w:val="00E23EC0"/>
    <w:rsid w:val="00E354AA"/>
    <w:rsid w:val="00E37EE7"/>
    <w:rsid w:val="00E42542"/>
    <w:rsid w:val="00E43D54"/>
    <w:rsid w:val="00E442FB"/>
    <w:rsid w:val="00E52842"/>
    <w:rsid w:val="00E529DB"/>
    <w:rsid w:val="00E53A5E"/>
    <w:rsid w:val="00E6466A"/>
    <w:rsid w:val="00E70FC6"/>
    <w:rsid w:val="00E72221"/>
    <w:rsid w:val="00E81B96"/>
    <w:rsid w:val="00E83428"/>
    <w:rsid w:val="00E84C58"/>
    <w:rsid w:val="00E873A5"/>
    <w:rsid w:val="00E90D11"/>
    <w:rsid w:val="00E915E5"/>
    <w:rsid w:val="00E93A74"/>
    <w:rsid w:val="00EB0367"/>
    <w:rsid w:val="00EB4FB9"/>
    <w:rsid w:val="00EB5BC8"/>
    <w:rsid w:val="00EC2738"/>
    <w:rsid w:val="00EC42C1"/>
    <w:rsid w:val="00ED0FCA"/>
    <w:rsid w:val="00ED760F"/>
    <w:rsid w:val="00ED7B42"/>
    <w:rsid w:val="00EE3EA5"/>
    <w:rsid w:val="00EE613F"/>
    <w:rsid w:val="00EE6BD1"/>
    <w:rsid w:val="00EF0262"/>
    <w:rsid w:val="00EF0828"/>
    <w:rsid w:val="00EF6F8B"/>
    <w:rsid w:val="00F03898"/>
    <w:rsid w:val="00F10463"/>
    <w:rsid w:val="00F140D4"/>
    <w:rsid w:val="00F1527A"/>
    <w:rsid w:val="00F2696B"/>
    <w:rsid w:val="00F27821"/>
    <w:rsid w:val="00F3587E"/>
    <w:rsid w:val="00F4092A"/>
    <w:rsid w:val="00F41F69"/>
    <w:rsid w:val="00F42A05"/>
    <w:rsid w:val="00F433E9"/>
    <w:rsid w:val="00F43E41"/>
    <w:rsid w:val="00F453F9"/>
    <w:rsid w:val="00F4790C"/>
    <w:rsid w:val="00F50C4B"/>
    <w:rsid w:val="00F54C08"/>
    <w:rsid w:val="00F553A2"/>
    <w:rsid w:val="00F6068C"/>
    <w:rsid w:val="00F62F33"/>
    <w:rsid w:val="00F634C1"/>
    <w:rsid w:val="00F63A52"/>
    <w:rsid w:val="00F715AA"/>
    <w:rsid w:val="00F730BA"/>
    <w:rsid w:val="00F87CCE"/>
    <w:rsid w:val="00F903BE"/>
    <w:rsid w:val="00F95D04"/>
    <w:rsid w:val="00FA0B3B"/>
    <w:rsid w:val="00FA16EC"/>
    <w:rsid w:val="00FA2811"/>
    <w:rsid w:val="00FA4837"/>
    <w:rsid w:val="00FB1D33"/>
    <w:rsid w:val="00FB229F"/>
    <w:rsid w:val="00FB5E96"/>
    <w:rsid w:val="00FC05A0"/>
    <w:rsid w:val="00FC3DE1"/>
    <w:rsid w:val="00FC43A5"/>
    <w:rsid w:val="00FC6758"/>
    <w:rsid w:val="00FD34EA"/>
    <w:rsid w:val="00FE3F3E"/>
    <w:rsid w:val="00FE4D52"/>
    <w:rsid w:val="00FE5AEE"/>
    <w:rsid w:val="00FF106B"/>
    <w:rsid w:val="00FF2C61"/>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F88"/>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CommentTextChar">
    <w:name w:val="Comment Text Char"/>
    <w:basedOn w:val="DefaultParagraphFont"/>
    <w:link w:val="CommentText"/>
    <w:semiHidden/>
    <w:rsid w:val="00266A75"/>
    <w:rPr>
      <w:rFonts w:ascii="Arial" w:hAnsi="Arial"/>
    </w:rPr>
  </w:style>
  <w:style w:type="character" w:styleId="Strong">
    <w:name w:val="Strong"/>
    <w:basedOn w:val="DefaultParagraphFont"/>
    <w:uiPriority w:val="22"/>
    <w:qFormat/>
    <w:rsid w:val="00652196"/>
    <w:rPr>
      <w:b/>
      <w:bCs/>
    </w:rPr>
  </w:style>
  <w:style w:type="character" w:styleId="CommentReference">
    <w:name w:val="annotation reference"/>
    <w:basedOn w:val="DefaultParagraphFont"/>
    <w:uiPriority w:val="99"/>
    <w:semiHidden/>
    <w:unhideWhenUsed/>
    <w:rsid w:val="00023E92"/>
    <w:rPr>
      <w:sz w:val="16"/>
      <w:szCs w:val="16"/>
    </w:rPr>
  </w:style>
  <w:style w:type="paragraph" w:styleId="CommentSubject">
    <w:name w:val="annotation subject"/>
    <w:basedOn w:val="CommentText"/>
    <w:next w:val="CommentText"/>
    <w:link w:val="CommentSubjectChar"/>
    <w:uiPriority w:val="99"/>
    <w:semiHidden/>
    <w:unhideWhenUsed/>
    <w:rsid w:val="00023E92"/>
    <w:rPr>
      <w:b/>
      <w:bCs/>
    </w:rPr>
  </w:style>
  <w:style w:type="character" w:customStyle="1" w:styleId="CommentSubjectChar">
    <w:name w:val="Comment Subject Char"/>
    <w:basedOn w:val="CommentTextChar"/>
    <w:link w:val="CommentSubject"/>
    <w:uiPriority w:val="99"/>
    <w:semiHidden/>
    <w:rsid w:val="00023E9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openxmlformats.org/package/2006/metadata/core-properties"/>
    <ds:schemaRef ds:uri="http://purl.org/dc/dcmitype/"/>
    <ds:schemaRef ds:uri="http://schemas.microsoft.com/office/2006/documentManagement/types"/>
    <ds:schemaRef ds:uri="f5eefb00-5952-4f7e-8cf8-96f81cfadd01"/>
    <ds:schemaRef ds:uri="http://purl.org/dc/elements/1.1/"/>
    <ds:schemaRef ds:uri="http://schemas.microsoft.com/office/2006/metadata/properties"/>
    <ds:schemaRef ds:uri="http://schemas.microsoft.com/office/infopath/2007/PartnerControls"/>
    <ds:schemaRef ds:uri="aba01ddc-ae9a-4c9e-819c-7140b4239cde"/>
    <ds:schemaRef ds:uri="http://www.w3.org/XML/1998/namespace"/>
  </ds:schemaRefs>
</ds:datastoreItem>
</file>

<file path=customXml/itemProps4.xml><?xml version="1.0" encoding="utf-8"?>
<ds:datastoreItem xmlns:ds="http://schemas.openxmlformats.org/officeDocument/2006/customXml" ds:itemID="{CE569746-21D2-4DE5-B5FD-AD86A63F3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20</TotalTime>
  <Pages>3</Pages>
  <Words>656</Words>
  <Characters>4040</Characters>
  <Application>Microsoft Office Word</Application>
  <DocSecurity>10</DocSecurity>
  <Lines>33</Lines>
  <Paragraphs>9</Paragraphs>
  <ScaleCrop>false</ScaleCrop>
  <HeadingPairs>
    <vt:vector size="2" baseType="variant">
      <vt:variant>
        <vt:lpstr>Title</vt:lpstr>
      </vt:variant>
      <vt:variant>
        <vt:i4>1</vt:i4>
      </vt:variant>
    </vt:vector>
  </HeadingPairs>
  <TitlesOfParts>
    <vt:vector size="1" baseType="lpstr">
      <vt:lpstr>Familial Chylomicronemia Syndrome (FCS) Clinical Edit</vt:lpstr>
    </vt:vector>
  </TitlesOfParts>
  <Company>DSS</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Familial Chylomicronemia Syndrome (FCS) Clinical Edit</dc:title>
  <dc:subject/>
  <dc:creator>DMS</dc:creator>
  <cp:keywords/>
  <cp:lastModifiedBy>Heriford, Katherine</cp:lastModifiedBy>
  <cp:revision>20</cp:revision>
  <cp:lastPrinted>2018-10-31T18:17:00Z</cp:lastPrinted>
  <dcterms:created xsi:type="dcterms:W3CDTF">2026-03-12T03:01:00Z</dcterms:created>
  <dcterms:modified xsi:type="dcterms:W3CDTF">2026-03-30T22:04:00Z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