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507438">
      <w:pPr>
        <w:pStyle w:val="Heading1"/>
        <w:rPr>
          <w:lang w:val="en-US"/>
        </w:rPr>
      </w:pPr>
      <w:bookmarkStart w:id="0" w:name="_Hlk792159"/>
      <w:r w:rsidRPr="00C02553">
        <w:rPr>
          <w:lang w:val="en-US"/>
        </w:rPr>
        <w:t>SmartPA Criteria Proposal</w:t>
      </w:r>
      <w:bookmarkEnd w:id="0"/>
    </w:p>
    <w:p w14:paraId="6413BFE7" w14:textId="506D81F7" w:rsidR="00AE77DB" w:rsidRPr="00C02553" w:rsidRDefault="00AE77DB" w:rsidP="00074464">
      <w:pPr>
        <w:rPr>
          <w:rFonts w:cs="Arial"/>
          <w:b/>
          <w:spacing w:val="-3"/>
          <w:szCs w:val="20"/>
        </w:rPr>
      </w:pPr>
    </w:p>
    <w:p w14:paraId="52CF6EBC" w14:textId="2DD06540" w:rsidR="004C5767" w:rsidRPr="008859E1" w:rsidRDefault="004C5767" w:rsidP="0085508A">
      <w:pPr>
        <w:pStyle w:val="tbody"/>
        <w:rPr>
          <w:b w:val="0"/>
          <w:bCs/>
        </w:rPr>
      </w:pPr>
      <w:r w:rsidRPr="00C02553">
        <w:t>Drug/Drug Class:</w:t>
      </w:r>
      <w:r w:rsidR="003B4820" w:rsidRPr="00573856">
        <w:rPr>
          <w:b w:val="0"/>
          <w:bCs/>
        </w:rPr>
        <w:t xml:space="preserve"> </w:t>
      </w:r>
      <w:r w:rsidR="0085508A" w:rsidRPr="0085508A">
        <w:rPr>
          <w:b w:val="0"/>
          <w:bCs/>
        </w:rPr>
        <w:t>Antifungals (Onychomycosis/Candidiasis), Oral</w:t>
      </w:r>
      <w:r w:rsidR="00900D20">
        <w:rPr>
          <w:b w:val="0"/>
          <w:bCs/>
        </w:rPr>
        <w:t xml:space="preserve"> </w:t>
      </w:r>
      <w:r w:rsidR="0085508A" w:rsidRPr="0085508A">
        <w:rPr>
          <w:b w:val="0"/>
          <w:bCs/>
        </w:rPr>
        <w:t>PDL Edit</w:t>
      </w:r>
    </w:p>
    <w:p w14:paraId="7AD7FFCE" w14:textId="687BC840" w:rsidR="004C5767" w:rsidRPr="00C02553" w:rsidRDefault="004C5767" w:rsidP="00D27533">
      <w:pPr>
        <w:pStyle w:val="tbody"/>
      </w:pPr>
      <w:r w:rsidRPr="00C02553">
        <w:t>First Implementation Date:</w:t>
      </w:r>
      <w:r w:rsidRPr="00573856">
        <w:rPr>
          <w:b w:val="0"/>
          <w:bCs/>
        </w:rPr>
        <w:t xml:space="preserve"> </w:t>
      </w:r>
      <w:r w:rsidR="00C36E4F" w:rsidRPr="00C36E4F">
        <w:rPr>
          <w:b w:val="0"/>
          <w:bCs/>
        </w:rPr>
        <w:t>November 9, 2005</w:t>
      </w:r>
    </w:p>
    <w:p w14:paraId="4B7D760D" w14:textId="343DA41D" w:rsidR="004C5767" w:rsidRPr="00057F84" w:rsidRDefault="00F41F69" w:rsidP="70E341D6">
      <w:pPr>
        <w:pStyle w:val="tbody"/>
        <w:rPr>
          <w:b w:val="0"/>
        </w:rPr>
      </w:pPr>
      <w:r>
        <w:t>Propo</w:t>
      </w:r>
      <w:r w:rsidR="004C5767">
        <w:t>sed Date:</w:t>
      </w:r>
      <w:r w:rsidR="00065C22">
        <w:t xml:space="preserve"> </w:t>
      </w:r>
      <w:r w:rsidR="00BD4DC4" w:rsidRPr="00BD4DC4">
        <w:rPr>
          <w:b w:val="0"/>
          <w:bCs/>
        </w:rPr>
        <w:t>April 14</w:t>
      </w:r>
      <w:r w:rsidR="00057F84">
        <w:rPr>
          <w:b w:val="0"/>
        </w:rPr>
        <w:t>, 202</w:t>
      </w:r>
      <w:r w:rsidR="6EB7A09E">
        <w:rPr>
          <w:b w:val="0"/>
        </w:rPr>
        <w:t>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7998C425" w:rsidR="004C5767" w:rsidRPr="00D27533" w:rsidRDefault="004C5767" w:rsidP="00D27533">
      <w:pPr>
        <w:pStyle w:val="tbody"/>
        <w:rPr>
          <w:b w:val="0"/>
          <w:bCs/>
          <w:spacing w:val="-3"/>
        </w:rPr>
      </w:pPr>
      <w:r w:rsidRPr="00C02553">
        <w:t xml:space="preserve">Criteria Status: </w:t>
      </w:r>
      <w:r w:rsidR="006A2B61" w:rsidRPr="006A2B61">
        <w:rPr>
          <w:b w:val="0"/>
          <w:bCs/>
        </w:rPr>
        <w:t xml:space="preserve">Revision of </w:t>
      </w:r>
      <w:r w:rsidR="00566BE4" w:rsidRPr="006A2B61">
        <w:rPr>
          <w:b w:val="0"/>
          <w:bCs/>
          <w:spacing w:val="-3"/>
        </w:rPr>
        <w:t>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33DF7A62" w14:textId="77777777" w:rsidR="00D47996" w:rsidRDefault="00D47996" w:rsidP="00696E3A">
      <w:r w:rsidRPr="00D47996">
        <w:t xml:space="preserve">The MO HealthNet Pharmacy Program will implement a state-specific preferred drug list.  </w:t>
      </w:r>
    </w:p>
    <w:p w14:paraId="2320C114" w14:textId="4452B466" w:rsidR="00E23EC0" w:rsidRPr="002C2C41" w:rsidRDefault="00E23EC0" w:rsidP="00696E3A">
      <w:pPr>
        <w:rPr>
          <w:rFonts w:cs="Arial"/>
          <w:szCs w:val="20"/>
        </w:rPr>
      </w:pPr>
      <w:r w:rsidRPr="00C02553">
        <w:tab/>
      </w:r>
    </w:p>
    <w:p w14:paraId="7ACECC9F" w14:textId="7208B640" w:rsidR="00B56DCC" w:rsidRPr="004D1617" w:rsidRDefault="00E23EC0" w:rsidP="00696E3A">
      <w:pPr>
        <w:rPr>
          <w:b/>
          <w:bCs/>
        </w:rPr>
      </w:pPr>
      <w:r w:rsidRPr="00696E3A">
        <w:rPr>
          <w:b/>
          <w:bCs/>
        </w:rPr>
        <w:t>Why Issue Selected:</w:t>
      </w:r>
    </w:p>
    <w:p w14:paraId="1EF9139A" w14:textId="77777777" w:rsidR="004D1617" w:rsidRDefault="004D1617" w:rsidP="004D1617">
      <w:pPr>
        <w:tabs>
          <w:tab w:val="center" w:pos="4320"/>
          <w:tab w:val="right" w:pos="8640"/>
        </w:tabs>
        <w:rPr>
          <w:rFonts w:cs="Arial"/>
          <w:spacing w:val="-3"/>
          <w:szCs w:val="20"/>
        </w:rPr>
      </w:pPr>
      <w:r w:rsidRPr="004D1617">
        <w:rPr>
          <w:rFonts w:cs="Arial"/>
          <w:spacing w:val="-3"/>
          <w:szCs w:val="20"/>
        </w:rPr>
        <w:t xml:space="preserve">Onychomycosis is a fungal infection of the nails usually caused by trichophyton rubrum and trichophyton mentagrophytes. These dermatophytes feed on keratinized nail tissue and are normally confined to the nails; but occasionally spread to surrounding skin. The hallmarks of the disease are thickening, scaling, discoloration, and splitting of the nail bed. Without treatment, however, the nails can become so thick they press against the inside of the shoes, causing pressure, irritation, and pain. Onychomycosis is difficult to treat because nails grow slowly and receive very little blood supply. However, there have been recent advances in treatment options, including oral and topical medications. These medications are usually administered over a 3-month period, but because the nails grow very slowly it will typically take 6 months to a year for the nail to regain a healthy, clear, thin appearance. This class of oral antifungals includes agents for oropharyngeal candidiasis in adults and children. Effective therapy usually requires treatment for 7-14 days. Fluconazole is the agent of choice for prevention of oropharyngeal candidiasis in immunocompromised adults and children. </w:t>
      </w:r>
    </w:p>
    <w:p w14:paraId="262EC234" w14:textId="1B2D9A95" w:rsidR="00B31062" w:rsidRPr="00D141BF" w:rsidRDefault="00A276AB" w:rsidP="004D1617">
      <w:pPr>
        <w:tabs>
          <w:tab w:val="center" w:pos="4320"/>
          <w:tab w:val="right" w:pos="8640"/>
        </w:tabs>
        <w:rPr>
          <w:rFonts w:cs="Arial"/>
          <w:b/>
          <w:bCs/>
          <w:color w:val="1F497D" w:themeColor="text2"/>
          <w:spacing w:val="-3"/>
          <w:szCs w:val="20"/>
        </w:rPr>
      </w:pPr>
      <w:r>
        <w:rPr>
          <w:b/>
          <w:bCs/>
          <w:color w:val="1F497D" w:themeColor="text2"/>
        </w:rPr>
        <w:t xml:space="preserve">Additionally, </w:t>
      </w:r>
      <w:r w:rsidR="00B31062" w:rsidRPr="00D141BF">
        <w:rPr>
          <w:b/>
          <w:bCs/>
          <w:color w:val="1F497D" w:themeColor="text2"/>
        </w:rPr>
        <w:t>Itraconazole is the preferred antifungal therapy for histoplasmosis per IDSA guidelines.</w:t>
      </w:r>
    </w:p>
    <w:p w14:paraId="5471AE92" w14:textId="77777777" w:rsidR="004D1617" w:rsidRPr="004D1617" w:rsidRDefault="004D1617" w:rsidP="004D1617">
      <w:pPr>
        <w:tabs>
          <w:tab w:val="center" w:pos="4320"/>
          <w:tab w:val="right" w:pos="8640"/>
        </w:tabs>
        <w:rPr>
          <w:rFonts w:cs="Arial"/>
          <w:spacing w:val="-3"/>
          <w:szCs w:val="20"/>
        </w:rPr>
      </w:pPr>
    </w:p>
    <w:p w14:paraId="2842F6A6" w14:textId="3A8E3D2C" w:rsidR="004D1617" w:rsidRPr="009B59DF" w:rsidRDefault="004D1617" w:rsidP="004D1617">
      <w:pPr>
        <w:tabs>
          <w:tab w:val="center" w:pos="4320"/>
          <w:tab w:val="right" w:pos="8640"/>
        </w:tabs>
        <w:rPr>
          <w:rFonts w:cs="Arial"/>
          <w:color w:val="242424"/>
          <w:szCs w:val="20"/>
          <w:bdr w:val="none" w:sz="0" w:space="0" w:color="auto" w:frame="1"/>
        </w:rPr>
      </w:pPr>
      <w:r w:rsidRPr="009B59DF">
        <w:rPr>
          <w:rFonts w:cs="Arial"/>
          <w:spacing w:val="-3"/>
          <w:szCs w:val="20"/>
        </w:rPr>
        <w:t xml:space="preserve">For oral antifungals that are used to treat serious fungal infections, including invasive aspergillosis, please reference the Antifungals, Systemic Clinical Edit </w:t>
      </w:r>
      <w:r w:rsidR="009B59DF" w:rsidRPr="00E8766F">
        <w:rPr>
          <w:rFonts w:cs="Arial"/>
          <w:color w:val="242424"/>
          <w:szCs w:val="20"/>
        </w:rPr>
        <w:t>located here: </w:t>
      </w:r>
      <w:hyperlink r:id="rId11" w:tooltip="https://urldefense.com/v3/__https://mydss.mo.gov/mhd/pharmacy-clinical-edits-pdl__;!!Mh0G0HQJXw!DKMmdI7SDTo7jBREg-qRm6B0GI94P2JU4hRfudWQPXe3dIKJggBJ9AcCA4NjRnnKmqffVe86trQ2Jb0f1EVAdQO95cWOigkqkw$" w:history="1">
        <w:r w:rsidR="009B59DF" w:rsidRPr="00E8766F">
          <w:rPr>
            <w:rFonts w:cs="Arial"/>
            <w:color w:val="0000FF"/>
            <w:szCs w:val="20"/>
            <w:u w:val="single"/>
            <w:bdr w:val="none" w:sz="0" w:space="0" w:color="auto" w:frame="1"/>
          </w:rPr>
          <w:t>Pharmacy Clinical Edits and Preferred Drug Lists | mydss.mo.gov</w:t>
        </w:r>
      </w:hyperlink>
    </w:p>
    <w:p w14:paraId="257953BD" w14:textId="77777777" w:rsidR="009B59DF" w:rsidRPr="004D1617" w:rsidRDefault="009B59DF" w:rsidP="004D1617">
      <w:pPr>
        <w:tabs>
          <w:tab w:val="center" w:pos="4320"/>
          <w:tab w:val="right" w:pos="8640"/>
        </w:tabs>
        <w:rPr>
          <w:rFonts w:cs="Arial"/>
          <w:spacing w:val="-3"/>
          <w:szCs w:val="20"/>
        </w:rPr>
      </w:pPr>
    </w:p>
    <w:p w14:paraId="05964CF2" w14:textId="2646A41E" w:rsidR="007A3034" w:rsidRPr="00804BB6" w:rsidRDefault="004D1617" w:rsidP="004D1617">
      <w:pPr>
        <w:rPr>
          <w:rFonts w:cs="Arial"/>
          <w:spacing w:val="-3"/>
        </w:rPr>
      </w:pPr>
      <w:r w:rsidRPr="00804BB6">
        <w:rPr>
          <w:rFonts w:cs="Arial"/>
          <w:spacing w:val="-3"/>
        </w:rPr>
        <w:t>Total program savings for the PDL classes will be regularly reviewed.</w:t>
      </w:r>
    </w:p>
    <w:p w14:paraId="0D737A95" w14:textId="77777777" w:rsidR="004D1617" w:rsidRPr="002C2C41" w:rsidRDefault="004D1617" w:rsidP="004D1617">
      <w:pPr>
        <w:rPr>
          <w:rFonts w:cs="Arial"/>
          <w:szCs w:val="20"/>
        </w:rPr>
      </w:pPr>
    </w:p>
    <w:p w14:paraId="6CBEE541" w14:textId="3A362043" w:rsidR="00E90D11" w:rsidRDefault="009A0FB1" w:rsidP="00696E3A">
      <w:pPr>
        <w:rPr>
          <w:b/>
          <w:bCs/>
        </w:rPr>
      </w:pPr>
      <w:r>
        <w:rPr>
          <w:b/>
          <w:bCs/>
        </w:rPr>
        <w:t>Preferred Agents:</w:t>
      </w:r>
    </w:p>
    <w:p w14:paraId="7ABA6D56" w14:textId="77777777" w:rsidR="005B076D" w:rsidRDefault="005B076D" w:rsidP="00804BB6">
      <w:pPr>
        <w:pStyle w:val="ListParagraph"/>
        <w:numPr>
          <w:ilvl w:val="0"/>
          <w:numId w:val="19"/>
        </w:numPr>
      </w:pPr>
      <w:r>
        <w:t>Clotrimazole Troche</w:t>
      </w:r>
    </w:p>
    <w:p w14:paraId="5D0179D2" w14:textId="77777777" w:rsidR="005B076D" w:rsidRDefault="005B076D" w:rsidP="00804BB6">
      <w:pPr>
        <w:pStyle w:val="ListParagraph"/>
        <w:numPr>
          <w:ilvl w:val="0"/>
          <w:numId w:val="19"/>
        </w:numPr>
      </w:pPr>
      <w:r>
        <w:t>Fluconazole Susp/Tabs</w:t>
      </w:r>
    </w:p>
    <w:p w14:paraId="1CAB579D" w14:textId="77777777" w:rsidR="005B076D" w:rsidRDefault="005B076D" w:rsidP="00804BB6">
      <w:pPr>
        <w:pStyle w:val="ListParagraph"/>
        <w:numPr>
          <w:ilvl w:val="0"/>
          <w:numId w:val="19"/>
        </w:numPr>
      </w:pPr>
      <w:r>
        <w:t>Griseofulvin Susp</w:t>
      </w:r>
    </w:p>
    <w:p w14:paraId="744CF235" w14:textId="77777777" w:rsidR="005B076D" w:rsidRDefault="005B076D" w:rsidP="00804BB6">
      <w:pPr>
        <w:pStyle w:val="ListParagraph"/>
        <w:numPr>
          <w:ilvl w:val="0"/>
          <w:numId w:val="19"/>
        </w:numPr>
      </w:pPr>
      <w:r>
        <w:t>Nystatin Susp/Tabs</w:t>
      </w:r>
    </w:p>
    <w:p w14:paraId="47320590" w14:textId="46F4C2BB" w:rsidR="00FD34EA" w:rsidRDefault="005B076D" w:rsidP="00804BB6">
      <w:pPr>
        <w:pStyle w:val="ListParagraph"/>
        <w:numPr>
          <w:ilvl w:val="0"/>
          <w:numId w:val="19"/>
        </w:numPr>
      </w:pPr>
      <w:r>
        <w:t>Terbinafine Tabs</w:t>
      </w:r>
    </w:p>
    <w:p w14:paraId="5DCDB709" w14:textId="77777777" w:rsidR="005B076D" w:rsidRDefault="005B076D" w:rsidP="005B076D">
      <w:pPr>
        <w:rPr>
          <w:rFonts w:cs="Arial"/>
          <w:szCs w:val="20"/>
        </w:rPr>
      </w:pPr>
    </w:p>
    <w:p w14:paraId="56404718" w14:textId="252714AD" w:rsidR="00846FA4" w:rsidRDefault="00846FA4" w:rsidP="00846FA4">
      <w:pPr>
        <w:rPr>
          <w:b/>
          <w:bCs/>
        </w:rPr>
      </w:pPr>
      <w:r>
        <w:rPr>
          <w:b/>
          <w:bCs/>
        </w:rPr>
        <w:t>Non-Preferred Agents:</w:t>
      </w:r>
    </w:p>
    <w:p w14:paraId="7B24ED49" w14:textId="77777777" w:rsidR="00DB1EE7" w:rsidRPr="00DB1EE7" w:rsidRDefault="00DB1EE7" w:rsidP="00DB1EE7">
      <w:pPr>
        <w:numPr>
          <w:ilvl w:val="0"/>
          <w:numId w:val="15"/>
        </w:numPr>
        <w:rPr>
          <w:rFonts w:cs="Arial"/>
          <w:spacing w:val="-3"/>
          <w:szCs w:val="20"/>
        </w:rPr>
      </w:pPr>
      <w:r w:rsidRPr="00DB1EE7">
        <w:rPr>
          <w:rFonts w:cs="Arial"/>
          <w:spacing w:val="-3"/>
          <w:szCs w:val="20"/>
        </w:rPr>
        <w:t>Diflucan</w:t>
      </w:r>
      <w:r w:rsidRPr="00DB1EE7">
        <w:rPr>
          <w:rFonts w:cs="Arial"/>
          <w:spacing w:val="-3"/>
          <w:szCs w:val="20"/>
          <w:vertAlign w:val="superscript"/>
        </w:rPr>
        <w:t>®</w:t>
      </w:r>
    </w:p>
    <w:p w14:paraId="52B00E11" w14:textId="77777777" w:rsidR="00DB1EE7" w:rsidRPr="00DB1EE7" w:rsidRDefault="00DB1EE7" w:rsidP="00DB1EE7">
      <w:pPr>
        <w:numPr>
          <w:ilvl w:val="0"/>
          <w:numId w:val="15"/>
        </w:numPr>
        <w:rPr>
          <w:rFonts w:cs="Arial"/>
          <w:spacing w:val="-3"/>
          <w:szCs w:val="20"/>
        </w:rPr>
      </w:pPr>
      <w:r w:rsidRPr="00DB1EE7">
        <w:rPr>
          <w:rFonts w:cs="Arial"/>
          <w:spacing w:val="-3"/>
          <w:szCs w:val="20"/>
        </w:rPr>
        <w:t>Griseofulvin Micro/Ultramicrosize Tabs</w:t>
      </w:r>
    </w:p>
    <w:p w14:paraId="47188874" w14:textId="77777777" w:rsidR="00DB1EE7" w:rsidRPr="00DB1EE7" w:rsidRDefault="00DB1EE7" w:rsidP="00DB1EE7">
      <w:pPr>
        <w:numPr>
          <w:ilvl w:val="0"/>
          <w:numId w:val="15"/>
        </w:numPr>
        <w:rPr>
          <w:rFonts w:cs="Arial"/>
          <w:spacing w:val="-3"/>
          <w:szCs w:val="20"/>
        </w:rPr>
      </w:pPr>
      <w:r w:rsidRPr="00DB1EE7">
        <w:rPr>
          <w:rFonts w:cs="Arial"/>
          <w:spacing w:val="-3"/>
          <w:szCs w:val="20"/>
        </w:rPr>
        <w:t>Itraconazole</w:t>
      </w:r>
    </w:p>
    <w:p w14:paraId="1337A1A9" w14:textId="77777777" w:rsidR="00DB1EE7" w:rsidRPr="00DB1EE7" w:rsidRDefault="00DB1EE7" w:rsidP="00DB1EE7">
      <w:pPr>
        <w:numPr>
          <w:ilvl w:val="0"/>
          <w:numId w:val="15"/>
        </w:numPr>
        <w:rPr>
          <w:rFonts w:cs="Arial"/>
          <w:spacing w:val="-3"/>
          <w:szCs w:val="20"/>
        </w:rPr>
      </w:pPr>
      <w:r w:rsidRPr="00DB1EE7">
        <w:rPr>
          <w:rFonts w:cs="Arial"/>
          <w:spacing w:val="-3"/>
          <w:szCs w:val="20"/>
        </w:rPr>
        <w:t>Oravig</w:t>
      </w:r>
      <w:r w:rsidRPr="00DB1EE7">
        <w:rPr>
          <w:rFonts w:cs="Arial"/>
          <w:spacing w:val="-3"/>
          <w:szCs w:val="20"/>
          <w:vertAlign w:val="superscript"/>
        </w:rPr>
        <w:t>®</w:t>
      </w:r>
    </w:p>
    <w:p w14:paraId="6D696800" w14:textId="584189DD" w:rsidR="00E23EC0" w:rsidRPr="00053CDE" w:rsidRDefault="00DB1EE7" w:rsidP="00804BB6">
      <w:pPr>
        <w:pStyle w:val="ListParagraph"/>
        <w:numPr>
          <w:ilvl w:val="0"/>
          <w:numId w:val="15"/>
        </w:numPr>
        <w:rPr>
          <w:rFonts w:cs="Arial"/>
          <w:spacing w:val="-3"/>
          <w:szCs w:val="20"/>
        </w:rPr>
      </w:pPr>
      <w:r w:rsidRPr="00804BB6">
        <w:rPr>
          <w:rFonts w:cs="Arial"/>
          <w:spacing w:val="-3"/>
          <w:szCs w:val="20"/>
        </w:rPr>
        <w:t>Sporanox</w:t>
      </w:r>
      <w:r w:rsidRPr="00804BB6">
        <w:rPr>
          <w:rFonts w:cs="Arial"/>
          <w:spacing w:val="-3"/>
          <w:szCs w:val="20"/>
          <w:vertAlign w:val="superscript"/>
        </w:rPr>
        <w:t>®</w:t>
      </w:r>
    </w:p>
    <w:p w14:paraId="2FC62D1F" w14:textId="77777777" w:rsidR="00053CDE" w:rsidRPr="00804BB6" w:rsidRDefault="00053CDE" w:rsidP="00053CDE">
      <w:pPr>
        <w:pStyle w:val="ListParagraph"/>
        <w:numPr>
          <w:ilvl w:val="0"/>
          <w:numId w:val="0"/>
        </w:numPr>
        <w:ind w:left="360"/>
        <w:rPr>
          <w:rFonts w:cs="Arial"/>
          <w:spacing w:val="-3"/>
          <w:szCs w:val="20"/>
        </w:rPr>
      </w:pPr>
    </w:p>
    <w:p w14:paraId="6413C027" w14:textId="18F824F6" w:rsidR="00AE77DB" w:rsidRPr="00C02553" w:rsidRDefault="00AE77DB" w:rsidP="00E354AA">
      <w:pPr>
        <w:pStyle w:val="Heading1"/>
        <w:rPr>
          <w:lang w:val="en-US"/>
        </w:rPr>
      </w:pPr>
      <w:r w:rsidRPr="00C02553">
        <w:rPr>
          <w:lang w:val="en-US"/>
        </w:rPr>
        <w:lastRenderedPageBreak/>
        <w:t xml:space="preserve">Setting &amp; Population </w:t>
      </w:r>
    </w:p>
    <w:p w14:paraId="04B7FBFB" w14:textId="675F195E" w:rsidR="0097028A" w:rsidRPr="0079438F" w:rsidRDefault="0097028A" w:rsidP="00696E3A">
      <w:pPr>
        <w:rPr>
          <w:b/>
        </w:rPr>
      </w:pPr>
      <w:r w:rsidRPr="00696E3A">
        <w:rPr>
          <w:b/>
          <w:bCs/>
        </w:rPr>
        <w:t>Drug class for review:</w:t>
      </w:r>
      <w:r w:rsidRPr="00C02553">
        <w:t xml:space="preserve"> </w:t>
      </w:r>
      <w:r w:rsidR="00BB075F" w:rsidRPr="00BB075F">
        <w:t>Antifungals (Onychomycosis/Candidiasis), Oral</w:t>
      </w:r>
    </w:p>
    <w:p w14:paraId="26CFE8A0" w14:textId="0FA64B60" w:rsidR="008524BA" w:rsidRDefault="0097028A" w:rsidP="00696E3A">
      <w:pPr>
        <w:rPr>
          <w:rFonts w:cs="Arial"/>
          <w:b/>
        </w:rPr>
      </w:pPr>
      <w:r w:rsidRPr="00696E3A">
        <w:rPr>
          <w:b/>
          <w:bCs/>
        </w:rPr>
        <w:t>Age range:</w:t>
      </w:r>
      <w:r w:rsidRPr="00C02553">
        <w:t xml:space="preserve"> </w:t>
      </w:r>
      <w:r w:rsidR="00551668" w:rsidRPr="00551668">
        <w:rPr>
          <w:rFonts w:cs="Arial"/>
        </w:rPr>
        <w:t>All appropriate MO HealthNet participants</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t>Approval Criteria</w:t>
      </w:r>
    </w:p>
    <w:p w14:paraId="33BEBD82" w14:textId="77777777" w:rsidR="008A1660" w:rsidRPr="008A1660" w:rsidRDefault="008A1660" w:rsidP="008A1660">
      <w:pPr>
        <w:numPr>
          <w:ilvl w:val="0"/>
          <w:numId w:val="16"/>
        </w:numPr>
        <w:jc w:val="both"/>
        <w:rPr>
          <w:rFonts w:cs="Arial"/>
          <w:szCs w:val="20"/>
        </w:rPr>
      </w:pPr>
      <w:r w:rsidRPr="008A1660">
        <w:rPr>
          <w:rFonts w:cs="Arial"/>
          <w:szCs w:val="20"/>
        </w:rPr>
        <w:t>Must meet one of the following:</w:t>
      </w:r>
    </w:p>
    <w:p w14:paraId="3778FBE5" w14:textId="4330088B" w:rsidR="008A1660" w:rsidRPr="00DA24AE" w:rsidRDefault="008A1660" w:rsidP="008A1660">
      <w:pPr>
        <w:numPr>
          <w:ilvl w:val="1"/>
          <w:numId w:val="16"/>
        </w:numPr>
        <w:jc w:val="both"/>
        <w:rPr>
          <w:rFonts w:cs="Arial"/>
          <w:szCs w:val="20"/>
        </w:rPr>
      </w:pPr>
      <w:r w:rsidRPr="008A1660">
        <w:rPr>
          <w:rFonts w:cs="Arial"/>
          <w:szCs w:val="20"/>
        </w:rPr>
        <w:t>Claim is for a preferred agent;</w:t>
      </w:r>
    </w:p>
    <w:p w14:paraId="182A2FC8" w14:textId="37074BA6" w:rsidR="00DA24AE" w:rsidRPr="002354AC" w:rsidRDefault="00E538F9" w:rsidP="008A1660">
      <w:pPr>
        <w:numPr>
          <w:ilvl w:val="1"/>
          <w:numId w:val="16"/>
        </w:numPr>
        <w:jc w:val="both"/>
        <w:rPr>
          <w:rFonts w:cs="Arial"/>
          <w:color w:val="1F497D" w:themeColor="text2"/>
          <w:szCs w:val="20"/>
        </w:rPr>
      </w:pPr>
      <w:r>
        <w:rPr>
          <w:rFonts w:cs="Arial"/>
          <w:b/>
          <w:bCs/>
          <w:color w:val="1F497D" w:themeColor="text2"/>
          <w:szCs w:val="20"/>
        </w:rPr>
        <w:t xml:space="preserve">Claim is for </w:t>
      </w:r>
      <w:r w:rsidR="002354AC" w:rsidRPr="002354AC">
        <w:rPr>
          <w:rFonts w:cs="Arial"/>
          <w:b/>
          <w:bCs/>
          <w:color w:val="1F497D" w:themeColor="text2"/>
          <w:szCs w:val="20"/>
        </w:rPr>
        <w:t xml:space="preserve">Itraconazole with a documented diagnosis of </w:t>
      </w:r>
      <w:proofErr w:type="gramStart"/>
      <w:r w:rsidR="002354AC" w:rsidRPr="002354AC">
        <w:rPr>
          <w:rFonts w:cs="Arial"/>
          <w:b/>
          <w:bCs/>
          <w:color w:val="1F497D" w:themeColor="text2"/>
          <w:szCs w:val="20"/>
        </w:rPr>
        <w:t>histoplasmosis</w:t>
      </w:r>
      <w:r w:rsidR="00FD52AB">
        <w:rPr>
          <w:rFonts w:cs="Arial"/>
          <w:b/>
          <w:bCs/>
          <w:color w:val="1F497D" w:themeColor="text2"/>
          <w:szCs w:val="20"/>
        </w:rPr>
        <w:t>;</w:t>
      </w:r>
      <w:proofErr w:type="gramEnd"/>
      <w:r w:rsidR="00FD52AB">
        <w:rPr>
          <w:rFonts w:cs="Arial"/>
          <w:b/>
          <w:bCs/>
          <w:color w:val="1F497D" w:themeColor="text2"/>
          <w:szCs w:val="20"/>
        </w:rPr>
        <w:t xml:space="preserve"> OR</w:t>
      </w:r>
    </w:p>
    <w:p w14:paraId="37644799" w14:textId="77777777" w:rsidR="008A1660" w:rsidRPr="008A1660" w:rsidRDefault="008A1660" w:rsidP="008A1660">
      <w:pPr>
        <w:numPr>
          <w:ilvl w:val="1"/>
          <w:numId w:val="16"/>
        </w:numPr>
        <w:jc w:val="both"/>
        <w:rPr>
          <w:rFonts w:cs="Arial"/>
          <w:szCs w:val="20"/>
        </w:rPr>
      </w:pPr>
      <w:r w:rsidRPr="008A1660">
        <w:rPr>
          <w:rFonts w:cs="Arial"/>
          <w:szCs w:val="20"/>
        </w:rPr>
        <w:t>Failure to achieve desired therapeutic outcomes with trial of 1 preferred agent;</w:t>
      </w:r>
    </w:p>
    <w:p w14:paraId="1D1B9665" w14:textId="77777777" w:rsidR="008A1660" w:rsidRPr="008A1660" w:rsidRDefault="008A1660" w:rsidP="008A1660">
      <w:pPr>
        <w:numPr>
          <w:ilvl w:val="2"/>
          <w:numId w:val="17"/>
        </w:numPr>
        <w:jc w:val="both"/>
        <w:rPr>
          <w:rFonts w:cs="Arial"/>
          <w:szCs w:val="20"/>
        </w:rPr>
      </w:pPr>
      <w:r w:rsidRPr="008A1660">
        <w:rPr>
          <w:rFonts w:cs="Arial"/>
          <w:szCs w:val="20"/>
        </w:rPr>
        <w:t xml:space="preserve">Documented trial period of preferred agents; </w:t>
      </w:r>
      <w:r w:rsidRPr="008A1660">
        <w:rPr>
          <w:rFonts w:cs="Arial"/>
          <w:b/>
          <w:bCs/>
          <w:szCs w:val="20"/>
        </w:rPr>
        <w:t>OR</w:t>
      </w:r>
    </w:p>
    <w:p w14:paraId="4665640D" w14:textId="77777777" w:rsidR="008A1660" w:rsidRPr="008A1660" w:rsidRDefault="008A1660" w:rsidP="008A1660">
      <w:pPr>
        <w:numPr>
          <w:ilvl w:val="2"/>
          <w:numId w:val="17"/>
        </w:numPr>
        <w:jc w:val="both"/>
        <w:rPr>
          <w:rFonts w:cs="Arial"/>
          <w:szCs w:val="20"/>
        </w:rPr>
      </w:pPr>
      <w:r w:rsidRPr="008A1660">
        <w:rPr>
          <w:rFonts w:cs="Arial"/>
          <w:szCs w:val="20"/>
        </w:rPr>
        <w:t xml:space="preserve">Documented ADE/ADR to preferred agents. </w:t>
      </w:r>
    </w:p>
    <w:p w14:paraId="3ABC2BE0" w14:textId="3B7C6287" w:rsidR="008A1660" w:rsidRPr="008A1660" w:rsidRDefault="008A1660" w:rsidP="008A1660">
      <w:pPr>
        <w:numPr>
          <w:ilvl w:val="0"/>
          <w:numId w:val="16"/>
        </w:numPr>
        <w:rPr>
          <w:rFonts w:cs="Arial"/>
          <w:szCs w:val="20"/>
        </w:rPr>
      </w:pPr>
      <w:r w:rsidRPr="008A1660">
        <w:rPr>
          <w:rFonts w:cs="Arial"/>
          <w:szCs w:val="20"/>
        </w:rPr>
        <w:t xml:space="preserve">Additional approval criteria </w:t>
      </w:r>
      <w:r w:rsidR="0024608A">
        <w:rPr>
          <w:rFonts w:cs="Arial"/>
          <w:szCs w:val="20"/>
        </w:rPr>
        <w:t>for</w:t>
      </w:r>
      <w:r w:rsidRPr="008A1660">
        <w:rPr>
          <w:rFonts w:cs="Arial"/>
          <w:szCs w:val="20"/>
        </w:rPr>
        <w:t xml:space="preserve"> itraconazole</w:t>
      </w:r>
      <w:r w:rsidR="0072266E">
        <w:rPr>
          <w:rFonts w:cs="Arial"/>
          <w:szCs w:val="20"/>
        </w:rPr>
        <w:t xml:space="preserve"> for </w:t>
      </w:r>
      <w:r w:rsidR="0072266E" w:rsidRPr="0072266E">
        <w:rPr>
          <w:rFonts w:cs="Arial"/>
          <w:b/>
          <w:bCs/>
          <w:color w:val="1F497D" w:themeColor="text2"/>
          <w:szCs w:val="20"/>
        </w:rPr>
        <w:t>onychomycosis</w:t>
      </w:r>
      <w:r w:rsidRPr="008A1660">
        <w:rPr>
          <w:rFonts w:cs="Arial"/>
          <w:szCs w:val="20"/>
        </w:rPr>
        <w:t>:</w:t>
      </w:r>
    </w:p>
    <w:p w14:paraId="5FEC1274" w14:textId="77777777" w:rsidR="008A1660" w:rsidRPr="008A1660" w:rsidRDefault="008A1660" w:rsidP="008A1660">
      <w:pPr>
        <w:numPr>
          <w:ilvl w:val="1"/>
          <w:numId w:val="16"/>
        </w:numPr>
        <w:rPr>
          <w:rFonts w:cs="Arial"/>
          <w:szCs w:val="20"/>
        </w:rPr>
      </w:pPr>
      <w:r w:rsidRPr="008A1660">
        <w:rPr>
          <w:rFonts w:cs="Arial"/>
          <w:szCs w:val="20"/>
        </w:rPr>
        <w:t>Must meet all of the following:</w:t>
      </w:r>
    </w:p>
    <w:p w14:paraId="7E8CE36C" w14:textId="77777777" w:rsidR="008A1660" w:rsidRPr="008A1660" w:rsidRDefault="008A1660" w:rsidP="008A1660">
      <w:pPr>
        <w:numPr>
          <w:ilvl w:val="2"/>
          <w:numId w:val="16"/>
        </w:numPr>
        <w:tabs>
          <w:tab w:val="num" w:pos="1080"/>
        </w:tabs>
        <w:ind w:left="1080"/>
        <w:rPr>
          <w:rFonts w:cs="Arial"/>
          <w:szCs w:val="20"/>
        </w:rPr>
      </w:pPr>
      <w:r w:rsidRPr="008A1660">
        <w:rPr>
          <w:rFonts w:cs="Arial"/>
          <w:szCs w:val="20"/>
        </w:rPr>
        <w:t xml:space="preserve">&gt; 30% nail plate involvement; </w:t>
      </w:r>
      <w:r w:rsidRPr="008A1660">
        <w:rPr>
          <w:rFonts w:cs="Arial"/>
          <w:b/>
          <w:bCs/>
          <w:szCs w:val="20"/>
        </w:rPr>
        <w:t>AND</w:t>
      </w:r>
    </w:p>
    <w:p w14:paraId="7DFDAD07" w14:textId="77777777" w:rsidR="008A1660" w:rsidRPr="008A1660" w:rsidRDefault="008A1660" w:rsidP="008A1660">
      <w:pPr>
        <w:numPr>
          <w:ilvl w:val="2"/>
          <w:numId w:val="16"/>
        </w:numPr>
        <w:tabs>
          <w:tab w:val="num" w:pos="1080"/>
        </w:tabs>
        <w:ind w:left="1080"/>
        <w:rPr>
          <w:rFonts w:cs="Arial"/>
          <w:szCs w:val="20"/>
        </w:rPr>
      </w:pPr>
      <w:r w:rsidRPr="008A1660">
        <w:rPr>
          <w:rFonts w:cs="Arial"/>
          <w:szCs w:val="20"/>
        </w:rPr>
        <w:t>Documented diagnosis of proximal or distal, white, subungual onychomycosis, identified through one of the following:</w:t>
      </w:r>
    </w:p>
    <w:p w14:paraId="07E3DD0F" w14:textId="1F34A80F" w:rsidR="008A1660" w:rsidRPr="008A1660" w:rsidRDefault="008A1660" w:rsidP="008A1660">
      <w:pPr>
        <w:numPr>
          <w:ilvl w:val="3"/>
          <w:numId w:val="16"/>
        </w:numPr>
        <w:tabs>
          <w:tab w:val="num" w:pos="1440"/>
        </w:tabs>
        <w:ind w:left="1440"/>
        <w:rPr>
          <w:rFonts w:cs="Arial"/>
          <w:szCs w:val="20"/>
        </w:rPr>
      </w:pPr>
      <w:r w:rsidRPr="008A1660">
        <w:rPr>
          <w:rFonts w:cs="Arial"/>
          <w:szCs w:val="20"/>
        </w:rPr>
        <w:t>KOH microscopic exam;</w:t>
      </w:r>
    </w:p>
    <w:p w14:paraId="4BA43123" w14:textId="77777777" w:rsidR="008A1660" w:rsidRPr="008A1660" w:rsidRDefault="008A1660" w:rsidP="008A1660">
      <w:pPr>
        <w:numPr>
          <w:ilvl w:val="3"/>
          <w:numId w:val="16"/>
        </w:numPr>
        <w:tabs>
          <w:tab w:val="num" w:pos="1440"/>
        </w:tabs>
        <w:ind w:left="1440"/>
        <w:rPr>
          <w:rFonts w:cs="Arial"/>
          <w:szCs w:val="20"/>
        </w:rPr>
      </w:pPr>
      <w:r w:rsidRPr="008A1660">
        <w:rPr>
          <w:rFonts w:cs="Arial"/>
          <w:szCs w:val="20"/>
        </w:rPr>
        <w:t>Periodic Acid Schiff (PAS);</w:t>
      </w:r>
    </w:p>
    <w:p w14:paraId="74FDD764" w14:textId="77777777" w:rsidR="008A1660" w:rsidRPr="008A1660" w:rsidRDefault="008A1660" w:rsidP="008A1660">
      <w:pPr>
        <w:numPr>
          <w:ilvl w:val="3"/>
          <w:numId w:val="16"/>
        </w:numPr>
        <w:tabs>
          <w:tab w:val="num" w:pos="1440"/>
        </w:tabs>
        <w:ind w:left="1440"/>
        <w:rPr>
          <w:rFonts w:cs="Arial"/>
          <w:szCs w:val="20"/>
        </w:rPr>
      </w:pPr>
      <w:r w:rsidRPr="008A1660">
        <w:rPr>
          <w:rFonts w:cs="Arial"/>
          <w:szCs w:val="20"/>
        </w:rPr>
        <w:t xml:space="preserve">Fungal culture; </w:t>
      </w:r>
      <w:r w:rsidRPr="008A1660">
        <w:rPr>
          <w:rFonts w:cs="Arial"/>
          <w:b/>
          <w:bCs/>
          <w:szCs w:val="20"/>
        </w:rPr>
        <w:t>OR</w:t>
      </w:r>
    </w:p>
    <w:p w14:paraId="493D02B3" w14:textId="77777777" w:rsidR="008A1660" w:rsidRPr="008A1660" w:rsidRDefault="008A1660" w:rsidP="008A1660">
      <w:pPr>
        <w:numPr>
          <w:ilvl w:val="3"/>
          <w:numId w:val="16"/>
        </w:numPr>
        <w:tabs>
          <w:tab w:val="num" w:pos="1440"/>
        </w:tabs>
        <w:ind w:left="1440"/>
        <w:rPr>
          <w:rFonts w:cs="Arial"/>
          <w:b/>
          <w:bCs/>
          <w:szCs w:val="20"/>
        </w:rPr>
      </w:pPr>
      <w:r w:rsidRPr="008A1660">
        <w:rPr>
          <w:rFonts w:cs="Arial"/>
          <w:szCs w:val="20"/>
        </w:rPr>
        <w:t>Nail biopsy</w:t>
      </w:r>
    </w:p>
    <w:p w14:paraId="449D721B" w14:textId="77777777" w:rsidR="008A1660" w:rsidRPr="008A1660" w:rsidRDefault="008A1660" w:rsidP="008A1660">
      <w:pPr>
        <w:numPr>
          <w:ilvl w:val="0"/>
          <w:numId w:val="16"/>
        </w:numPr>
        <w:rPr>
          <w:rFonts w:cs="Arial"/>
          <w:szCs w:val="20"/>
        </w:rPr>
      </w:pPr>
      <w:bookmarkStart w:id="1" w:name="_Hlk50121476"/>
      <w:r w:rsidRPr="008A1660">
        <w:rPr>
          <w:rFonts w:cs="Arial"/>
          <w:szCs w:val="20"/>
        </w:rPr>
        <w:t>Additional approval criteria for griseofulvin suspension:</w:t>
      </w:r>
    </w:p>
    <w:p w14:paraId="0B0C0D72" w14:textId="672F50EB" w:rsidR="005328B2" w:rsidRPr="00774C09" w:rsidRDefault="008A1660" w:rsidP="00032B4A">
      <w:pPr>
        <w:pStyle w:val="ListParagraph"/>
        <w:numPr>
          <w:ilvl w:val="1"/>
          <w:numId w:val="16"/>
        </w:numPr>
        <w:rPr>
          <w:rFonts w:cs="Arial"/>
          <w:szCs w:val="20"/>
        </w:rPr>
      </w:pPr>
      <w:r w:rsidRPr="009248C6">
        <w:rPr>
          <w:rFonts w:cs="Arial"/>
          <w:bCs/>
          <w:szCs w:val="20"/>
        </w:rPr>
        <w:t>Clinical Consultant Review for participants aged 10 years or older</w:t>
      </w:r>
      <w:bookmarkEnd w:id="1"/>
      <w:r w:rsidRPr="009248C6">
        <w:rPr>
          <w:rFonts w:cs="Arial"/>
          <w:bCs/>
          <w:szCs w:val="20"/>
        </w:rPr>
        <w:t>.</w:t>
      </w:r>
    </w:p>
    <w:p w14:paraId="78F33E09" w14:textId="77777777" w:rsidR="00774C09" w:rsidRPr="009248C6" w:rsidRDefault="00774C09" w:rsidP="00774C09">
      <w:pPr>
        <w:pStyle w:val="ListParagraph"/>
        <w:numPr>
          <w:ilvl w:val="0"/>
          <w:numId w:val="0"/>
        </w:numPr>
        <w:ind w:left="720"/>
        <w:rPr>
          <w:rFonts w:cs="Arial"/>
          <w:szCs w:val="20"/>
        </w:rPr>
      </w:pPr>
    </w:p>
    <w:p w14:paraId="6413C03A" w14:textId="77777777" w:rsidR="00AE77DB" w:rsidRPr="00C02553" w:rsidRDefault="00AE77DB" w:rsidP="005A2F1E">
      <w:pPr>
        <w:pStyle w:val="Heading1"/>
        <w:rPr>
          <w:lang w:val="en-US"/>
        </w:rPr>
      </w:pPr>
      <w:r w:rsidRPr="00C02553">
        <w:rPr>
          <w:lang w:val="en-US"/>
        </w:rPr>
        <w:t>Denial Criteria</w:t>
      </w:r>
    </w:p>
    <w:p w14:paraId="259F8647" w14:textId="77777777" w:rsidR="0094768C" w:rsidRPr="0094768C" w:rsidRDefault="0094768C" w:rsidP="0094768C">
      <w:pPr>
        <w:numPr>
          <w:ilvl w:val="0"/>
          <w:numId w:val="18"/>
        </w:numPr>
        <w:rPr>
          <w:rFonts w:cs="Arial"/>
          <w:szCs w:val="20"/>
        </w:rPr>
      </w:pPr>
      <w:r w:rsidRPr="0094768C">
        <w:rPr>
          <w:rFonts w:cs="Arial"/>
          <w:szCs w:val="20"/>
        </w:rPr>
        <w:t>Therapy will deny with presence of one of the following:</w:t>
      </w:r>
    </w:p>
    <w:p w14:paraId="73EF0B43" w14:textId="77777777" w:rsidR="0094768C" w:rsidRPr="0094768C" w:rsidRDefault="0094768C" w:rsidP="0094768C">
      <w:pPr>
        <w:numPr>
          <w:ilvl w:val="1"/>
          <w:numId w:val="18"/>
        </w:numPr>
        <w:rPr>
          <w:rFonts w:cs="Arial"/>
          <w:b/>
          <w:bCs/>
          <w:szCs w:val="20"/>
        </w:rPr>
      </w:pPr>
      <w:r w:rsidRPr="0094768C">
        <w:rPr>
          <w:rFonts w:cs="Arial"/>
          <w:szCs w:val="20"/>
        </w:rPr>
        <w:t>Any approval criteria are not met</w:t>
      </w:r>
    </w:p>
    <w:p w14:paraId="348FEF65" w14:textId="77777777" w:rsidR="0094768C" w:rsidRPr="0094768C" w:rsidRDefault="0094768C" w:rsidP="0094768C">
      <w:pPr>
        <w:numPr>
          <w:ilvl w:val="0"/>
          <w:numId w:val="18"/>
        </w:numPr>
        <w:rPr>
          <w:rFonts w:cs="Arial"/>
          <w:szCs w:val="20"/>
        </w:rPr>
      </w:pPr>
      <w:r w:rsidRPr="0094768C">
        <w:rPr>
          <w:rFonts w:cs="Arial"/>
          <w:szCs w:val="20"/>
        </w:rPr>
        <w:t>Additional denial criteria for itraconazole:</w:t>
      </w:r>
    </w:p>
    <w:p w14:paraId="10DFB875" w14:textId="77777777" w:rsidR="0094768C" w:rsidRPr="0094768C" w:rsidRDefault="0094768C" w:rsidP="0094768C">
      <w:pPr>
        <w:numPr>
          <w:ilvl w:val="1"/>
          <w:numId w:val="18"/>
        </w:numPr>
        <w:rPr>
          <w:rFonts w:cs="Arial"/>
          <w:b/>
          <w:bCs/>
          <w:szCs w:val="20"/>
        </w:rPr>
      </w:pPr>
      <w:r w:rsidRPr="0094768C">
        <w:rPr>
          <w:rFonts w:cs="Arial"/>
          <w:szCs w:val="20"/>
        </w:rPr>
        <w:t xml:space="preserve">History of left ventricular dysfunction, such as congestive heart failure; </w:t>
      </w:r>
      <w:r w:rsidRPr="0094768C">
        <w:rPr>
          <w:rFonts w:cs="Arial"/>
          <w:b/>
          <w:bCs/>
          <w:szCs w:val="20"/>
        </w:rPr>
        <w:t>OR</w:t>
      </w:r>
    </w:p>
    <w:p w14:paraId="71B40DE8" w14:textId="68F6ADB8" w:rsidR="0094768C" w:rsidRPr="0094768C" w:rsidRDefault="0094768C" w:rsidP="0094768C">
      <w:pPr>
        <w:numPr>
          <w:ilvl w:val="1"/>
          <w:numId w:val="18"/>
        </w:numPr>
        <w:rPr>
          <w:rFonts w:cs="Arial"/>
          <w:b/>
          <w:bCs/>
          <w:szCs w:val="20"/>
        </w:rPr>
      </w:pPr>
      <w:r w:rsidRPr="0094768C">
        <w:rPr>
          <w:rFonts w:cs="Arial"/>
          <w:szCs w:val="20"/>
        </w:rPr>
        <w:t>Therapy exceeds maximum approvable durations for onychomycosis:</w:t>
      </w:r>
    </w:p>
    <w:tbl>
      <w:tblPr>
        <w:tblW w:w="873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3"/>
        <w:gridCol w:w="1924"/>
        <w:gridCol w:w="3362"/>
        <w:gridCol w:w="2061"/>
      </w:tblGrid>
      <w:tr w:rsidR="0094768C" w:rsidRPr="0094768C" w14:paraId="4A49ED3B" w14:textId="77777777" w:rsidTr="009920C8">
        <w:trPr>
          <w:trHeight w:val="20"/>
        </w:trPr>
        <w:tc>
          <w:tcPr>
            <w:tcW w:w="1383"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14:paraId="23868055" w14:textId="77777777" w:rsidR="0094768C" w:rsidRPr="0094768C" w:rsidRDefault="0094768C" w:rsidP="0094768C">
            <w:pPr>
              <w:keepNext/>
              <w:keepLines/>
              <w:jc w:val="center"/>
              <w:outlineLvl w:val="7"/>
              <w:rPr>
                <w:rFonts w:eastAsiaTheme="majorEastAsia" w:cs="Arial"/>
                <w:b/>
                <w:bCs/>
                <w:color w:val="272727" w:themeColor="text1" w:themeTint="D8"/>
                <w:szCs w:val="20"/>
              </w:rPr>
            </w:pPr>
            <w:r w:rsidRPr="0094768C">
              <w:rPr>
                <w:rFonts w:eastAsiaTheme="majorEastAsia" w:cs="Arial"/>
                <w:b/>
                <w:bCs/>
                <w:color w:val="272727" w:themeColor="text1" w:themeTint="D8"/>
                <w:szCs w:val="20"/>
              </w:rPr>
              <w:t>Product</w:t>
            </w:r>
          </w:p>
        </w:tc>
        <w:tc>
          <w:tcPr>
            <w:tcW w:w="1924"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14:paraId="79F60AE0" w14:textId="77777777" w:rsidR="0094768C" w:rsidRPr="0094768C" w:rsidRDefault="0094768C" w:rsidP="0094768C">
            <w:pPr>
              <w:jc w:val="center"/>
              <w:rPr>
                <w:rFonts w:cs="Arial"/>
                <w:b/>
                <w:bCs/>
                <w:szCs w:val="20"/>
              </w:rPr>
            </w:pPr>
            <w:r w:rsidRPr="0094768C">
              <w:rPr>
                <w:rFonts w:cs="Arial"/>
                <w:b/>
                <w:bCs/>
                <w:szCs w:val="20"/>
              </w:rPr>
              <w:t>Strength/Dose</w:t>
            </w:r>
          </w:p>
        </w:tc>
        <w:tc>
          <w:tcPr>
            <w:tcW w:w="3362"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14:paraId="6F0C36F2" w14:textId="77777777" w:rsidR="0094768C" w:rsidRPr="0094768C" w:rsidRDefault="0094768C" w:rsidP="0094768C">
            <w:pPr>
              <w:jc w:val="center"/>
              <w:rPr>
                <w:rFonts w:cs="Arial"/>
                <w:b/>
                <w:bCs/>
                <w:szCs w:val="20"/>
              </w:rPr>
            </w:pPr>
            <w:r w:rsidRPr="0094768C">
              <w:rPr>
                <w:rFonts w:cs="Arial"/>
                <w:b/>
                <w:bCs/>
                <w:szCs w:val="20"/>
              </w:rPr>
              <w:t>Duration of Therapy</w:t>
            </w:r>
          </w:p>
        </w:tc>
        <w:tc>
          <w:tcPr>
            <w:tcW w:w="2061"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14:paraId="42A4E09E" w14:textId="77777777" w:rsidR="0094768C" w:rsidRPr="0094768C" w:rsidRDefault="0094768C" w:rsidP="0094768C">
            <w:pPr>
              <w:jc w:val="center"/>
              <w:rPr>
                <w:rFonts w:cs="Arial"/>
                <w:b/>
                <w:bCs/>
                <w:szCs w:val="20"/>
              </w:rPr>
            </w:pPr>
            <w:r w:rsidRPr="0094768C">
              <w:rPr>
                <w:rFonts w:cs="Arial"/>
                <w:b/>
                <w:bCs/>
                <w:szCs w:val="20"/>
              </w:rPr>
              <w:t>Anatomic Location of Infection</w:t>
            </w:r>
          </w:p>
        </w:tc>
      </w:tr>
      <w:tr w:rsidR="0094768C" w:rsidRPr="0094768C" w14:paraId="3202BCFF" w14:textId="77777777" w:rsidTr="009920C8">
        <w:trPr>
          <w:trHeight w:val="20"/>
        </w:trPr>
        <w:tc>
          <w:tcPr>
            <w:tcW w:w="1383" w:type="dxa"/>
            <w:tcBorders>
              <w:top w:val="single" w:sz="4" w:space="0" w:color="auto"/>
              <w:left w:val="single" w:sz="4" w:space="0" w:color="auto"/>
              <w:bottom w:val="single" w:sz="4" w:space="0" w:color="auto"/>
              <w:right w:val="single" w:sz="4" w:space="0" w:color="auto"/>
            </w:tcBorders>
            <w:vAlign w:val="center"/>
            <w:hideMark/>
          </w:tcPr>
          <w:p w14:paraId="111ED67D" w14:textId="77777777" w:rsidR="0094768C" w:rsidRPr="0094768C" w:rsidRDefault="0094768C" w:rsidP="0094768C">
            <w:pPr>
              <w:jc w:val="center"/>
              <w:rPr>
                <w:rFonts w:cs="Arial"/>
                <w:szCs w:val="20"/>
              </w:rPr>
            </w:pPr>
            <w:r w:rsidRPr="0094768C">
              <w:rPr>
                <w:rFonts w:cs="Arial"/>
                <w:szCs w:val="20"/>
              </w:rPr>
              <w:t>Itraconazole</w:t>
            </w:r>
          </w:p>
        </w:tc>
        <w:tc>
          <w:tcPr>
            <w:tcW w:w="1924" w:type="dxa"/>
            <w:tcBorders>
              <w:top w:val="single" w:sz="4" w:space="0" w:color="auto"/>
              <w:left w:val="single" w:sz="4" w:space="0" w:color="auto"/>
              <w:bottom w:val="single" w:sz="4" w:space="0" w:color="auto"/>
              <w:right w:val="single" w:sz="4" w:space="0" w:color="auto"/>
            </w:tcBorders>
            <w:vAlign w:val="center"/>
            <w:hideMark/>
          </w:tcPr>
          <w:p w14:paraId="67173C05" w14:textId="77777777" w:rsidR="0094768C" w:rsidRPr="0094768C" w:rsidRDefault="0094768C" w:rsidP="0094768C">
            <w:pPr>
              <w:jc w:val="center"/>
              <w:rPr>
                <w:rFonts w:cs="Arial"/>
                <w:szCs w:val="20"/>
              </w:rPr>
            </w:pPr>
            <w:r w:rsidRPr="0094768C">
              <w:rPr>
                <w:rFonts w:cs="Arial"/>
                <w:szCs w:val="20"/>
              </w:rPr>
              <w:t>200 mg twice daily</w:t>
            </w:r>
          </w:p>
        </w:tc>
        <w:tc>
          <w:tcPr>
            <w:tcW w:w="3362" w:type="dxa"/>
            <w:tcBorders>
              <w:top w:val="single" w:sz="4" w:space="0" w:color="auto"/>
              <w:left w:val="single" w:sz="4" w:space="0" w:color="auto"/>
              <w:bottom w:val="single" w:sz="4" w:space="0" w:color="auto"/>
              <w:right w:val="single" w:sz="4" w:space="0" w:color="auto"/>
            </w:tcBorders>
            <w:vAlign w:val="center"/>
            <w:hideMark/>
          </w:tcPr>
          <w:p w14:paraId="01667804" w14:textId="77777777" w:rsidR="0094768C" w:rsidRPr="0094768C" w:rsidRDefault="0094768C" w:rsidP="0094768C">
            <w:pPr>
              <w:jc w:val="center"/>
              <w:rPr>
                <w:rFonts w:cs="Arial"/>
                <w:szCs w:val="20"/>
              </w:rPr>
            </w:pPr>
            <w:r w:rsidRPr="0094768C">
              <w:rPr>
                <w:rFonts w:cs="Arial"/>
                <w:szCs w:val="20"/>
              </w:rPr>
              <w:t>1 week (3 weeks no therapy) for 3 cycles (pulse)</w:t>
            </w:r>
          </w:p>
        </w:tc>
        <w:tc>
          <w:tcPr>
            <w:tcW w:w="2061" w:type="dxa"/>
            <w:tcBorders>
              <w:top w:val="single" w:sz="4" w:space="0" w:color="auto"/>
              <w:left w:val="single" w:sz="4" w:space="0" w:color="auto"/>
              <w:bottom w:val="single" w:sz="4" w:space="0" w:color="auto"/>
              <w:right w:val="single" w:sz="4" w:space="0" w:color="auto"/>
            </w:tcBorders>
            <w:vAlign w:val="center"/>
            <w:hideMark/>
          </w:tcPr>
          <w:p w14:paraId="5316F004" w14:textId="77777777" w:rsidR="0094768C" w:rsidRPr="0094768C" w:rsidRDefault="0094768C" w:rsidP="0094768C">
            <w:pPr>
              <w:jc w:val="center"/>
              <w:rPr>
                <w:rFonts w:cs="Arial"/>
                <w:szCs w:val="20"/>
              </w:rPr>
            </w:pPr>
            <w:r w:rsidRPr="0094768C">
              <w:rPr>
                <w:rFonts w:cs="Arial"/>
                <w:szCs w:val="20"/>
              </w:rPr>
              <w:t>Fingernails</w:t>
            </w:r>
          </w:p>
        </w:tc>
      </w:tr>
      <w:tr w:rsidR="0094768C" w:rsidRPr="0094768C" w14:paraId="18D691CE" w14:textId="77777777" w:rsidTr="009920C8">
        <w:trPr>
          <w:trHeight w:val="20"/>
        </w:trPr>
        <w:tc>
          <w:tcPr>
            <w:tcW w:w="1383" w:type="dxa"/>
            <w:tcBorders>
              <w:top w:val="single" w:sz="4" w:space="0" w:color="auto"/>
              <w:left w:val="single" w:sz="4" w:space="0" w:color="auto"/>
              <w:bottom w:val="single" w:sz="4" w:space="0" w:color="auto"/>
              <w:right w:val="single" w:sz="4" w:space="0" w:color="auto"/>
            </w:tcBorders>
            <w:vAlign w:val="center"/>
            <w:hideMark/>
          </w:tcPr>
          <w:p w14:paraId="2E194506" w14:textId="77777777" w:rsidR="0094768C" w:rsidRPr="0094768C" w:rsidRDefault="0094768C" w:rsidP="0094768C">
            <w:pPr>
              <w:jc w:val="center"/>
              <w:rPr>
                <w:rFonts w:cs="Arial"/>
                <w:szCs w:val="20"/>
              </w:rPr>
            </w:pPr>
            <w:r w:rsidRPr="0094768C">
              <w:rPr>
                <w:rFonts w:cs="Arial"/>
                <w:szCs w:val="20"/>
              </w:rPr>
              <w:t>Itraconazole</w:t>
            </w:r>
          </w:p>
        </w:tc>
        <w:tc>
          <w:tcPr>
            <w:tcW w:w="1924" w:type="dxa"/>
            <w:tcBorders>
              <w:top w:val="single" w:sz="4" w:space="0" w:color="auto"/>
              <w:left w:val="single" w:sz="4" w:space="0" w:color="auto"/>
              <w:bottom w:val="single" w:sz="4" w:space="0" w:color="auto"/>
              <w:right w:val="single" w:sz="4" w:space="0" w:color="auto"/>
            </w:tcBorders>
            <w:vAlign w:val="center"/>
            <w:hideMark/>
          </w:tcPr>
          <w:p w14:paraId="1A79CE79" w14:textId="77777777" w:rsidR="0094768C" w:rsidRPr="0094768C" w:rsidRDefault="0094768C" w:rsidP="0094768C">
            <w:pPr>
              <w:jc w:val="center"/>
              <w:rPr>
                <w:rFonts w:cs="Arial"/>
                <w:szCs w:val="20"/>
              </w:rPr>
            </w:pPr>
            <w:r w:rsidRPr="0094768C">
              <w:rPr>
                <w:rFonts w:cs="Arial"/>
                <w:szCs w:val="20"/>
              </w:rPr>
              <w:t>200 mg once daily</w:t>
            </w:r>
          </w:p>
        </w:tc>
        <w:tc>
          <w:tcPr>
            <w:tcW w:w="3362" w:type="dxa"/>
            <w:tcBorders>
              <w:top w:val="single" w:sz="4" w:space="0" w:color="auto"/>
              <w:left w:val="single" w:sz="4" w:space="0" w:color="auto"/>
              <w:bottom w:val="single" w:sz="4" w:space="0" w:color="auto"/>
              <w:right w:val="single" w:sz="4" w:space="0" w:color="auto"/>
            </w:tcBorders>
            <w:vAlign w:val="center"/>
            <w:hideMark/>
          </w:tcPr>
          <w:p w14:paraId="4DF2C2E3" w14:textId="77777777" w:rsidR="0094768C" w:rsidRPr="0094768C" w:rsidRDefault="0094768C" w:rsidP="0094768C">
            <w:pPr>
              <w:jc w:val="center"/>
              <w:rPr>
                <w:rFonts w:cs="Arial"/>
                <w:szCs w:val="20"/>
              </w:rPr>
            </w:pPr>
            <w:r w:rsidRPr="0094768C">
              <w:rPr>
                <w:rFonts w:cs="Arial"/>
                <w:szCs w:val="20"/>
              </w:rPr>
              <w:t>12 weeks (or pulse)</w:t>
            </w:r>
          </w:p>
        </w:tc>
        <w:tc>
          <w:tcPr>
            <w:tcW w:w="2061" w:type="dxa"/>
            <w:tcBorders>
              <w:top w:val="single" w:sz="4" w:space="0" w:color="auto"/>
              <w:left w:val="single" w:sz="4" w:space="0" w:color="auto"/>
              <w:bottom w:val="single" w:sz="4" w:space="0" w:color="auto"/>
              <w:right w:val="single" w:sz="4" w:space="0" w:color="auto"/>
            </w:tcBorders>
            <w:vAlign w:val="center"/>
            <w:hideMark/>
          </w:tcPr>
          <w:p w14:paraId="752B4A84" w14:textId="77777777" w:rsidR="0094768C" w:rsidRPr="0094768C" w:rsidRDefault="0094768C" w:rsidP="0094768C">
            <w:pPr>
              <w:jc w:val="center"/>
              <w:rPr>
                <w:rFonts w:cs="Arial"/>
                <w:szCs w:val="20"/>
              </w:rPr>
            </w:pPr>
            <w:r w:rsidRPr="0094768C">
              <w:rPr>
                <w:rFonts w:cs="Arial"/>
                <w:szCs w:val="20"/>
              </w:rPr>
              <w:t>Toenails</w:t>
            </w:r>
          </w:p>
        </w:tc>
      </w:tr>
    </w:tbl>
    <w:p w14:paraId="4D21EAF1" w14:textId="77777777" w:rsidR="001E4CBA" w:rsidRPr="002C2C41" w:rsidRDefault="001E4CBA" w:rsidP="001C73B1">
      <w:pPr>
        <w:pStyle w:val="ListParagraph"/>
        <w:numPr>
          <w:ilvl w:val="0"/>
          <w:numId w:val="0"/>
        </w:numPr>
        <w:ind w:left="360"/>
        <w:rPr>
          <w:rFonts w:cs="Arial"/>
          <w:szCs w:val="22"/>
        </w:rPr>
      </w:pPr>
    </w:p>
    <w:p w14:paraId="050492C1" w14:textId="77777777" w:rsidR="00BC5635" w:rsidRPr="00C02553" w:rsidRDefault="00BC5635" w:rsidP="00343D6B">
      <w:pPr>
        <w:pStyle w:val="Heading1"/>
        <w:rPr>
          <w:lang w:val="en-US"/>
        </w:rPr>
      </w:pPr>
      <w:bookmarkStart w:id="2" w:name="_Hlk34120952"/>
      <w:r w:rsidRPr="00C02553">
        <w:rPr>
          <w:lang w:val="en-US"/>
        </w:rPr>
        <w:t>Disposition of Edit</w:t>
      </w:r>
    </w:p>
    <w:p w14:paraId="2A6C8BA0" w14:textId="2F3144DB" w:rsidR="00BC5635" w:rsidRPr="00C02553" w:rsidRDefault="00C26001" w:rsidP="00696E3A">
      <w:r w:rsidRPr="00696E3A">
        <w:rPr>
          <w:b/>
          <w:bCs/>
        </w:rPr>
        <w:t>Denial:</w:t>
      </w:r>
      <w:r w:rsidR="00074464" w:rsidRPr="00C02553">
        <w:t xml:space="preserve"> </w:t>
      </w:r>
      <w:r w:rsidR="00973BD6" w:rsidRPr="00973BD6">
        <w:t>Exception Code “0</w:t>
      </w:r>
      <w:r w:rsidR="00126B60">
        <w:t>160</w:t>
      </w:r>
      <w:r w:rsidR="00973BD6" w:rsidRPr="00973BD6">
        <w:t>” (</w:t>
      </w:r>
      <w:r w:rsidR="00126B60">
        <w:t>Preferred Drug List</w:t>
      </w:r>
      <w:r w:rsidR="00973BD6" w:rsidRPr="00973BD6">
        <w:t>)</w:t>
      </w:r>
    </w:p>
    <w:p w14:paraId="297E1B37" w14:textId="7EFB55E8" w:rsidR="002A02F4" w:rsidRPr="00C02553" w:rsidRDefault="00C26001" w:rsidP="00696E3A">
      <w:r w:rsidRPr="00696E3A">
        <w:rPr>
          <w:b/>
          <w:bCs/>
        </w:rPr>
        <w:t>Rule Type:</w:t>
      </w:r>
      <w:r w:rsidR="00074464" w:rsidRPr="00C02553">
        <w:t xml:space="preserve"> </w:t>
      </w:r>
      <w:r w:rsidR="00126B60">
        <w:t>PDL</w:t>
      </w:r>
    </w:p>
    <w:p w14:paraId="5D43D3D3" w14:textId="59B2C048" w:rsidR="00343D6B" w:rsidRPr="00C02553" w:rsidRDefault="00343D6B" w:rsidP="00696E3A">
      <w:r w:rsidRPr="00696E3A">
        <w:rPr>
          <w:b/>
          <w:bCs/>
        </w:rPr>
        <w:t>Default Approval Period:</w:t>
      </w:r>
      <w:r w:rsidR="00973BD6">
        <w:t xml:space="preserve"> </w:t>
      </w:r>
      <w:r w:rsidR="00D617A1" w:rsidRPr="00D617A1">
        <w:t>6 months</w:t>
      </w:r>
    </w:p>
    <w:p w14:paraId="6649BF8C" w14:textId="77777777" w:rsidR="00343D6B" w:rsidRPr="002C2C41" w:rsidRDefault="00343D6B" w:rsidP="00343D6B">
      <w:pPr>
        <w:rPr>
          <w:rFonts w:cs="Arial"/>
          <w:szCs w:val="20"/>
        </w:rPr>
      </w:pPr>
    </w:p>
    <w:bookmarkEnd w:id="2"/>
    <w:p w14:paraId="6413C0CF" w14:textId="530C1EC9" w:rsidR="00AE77DB" w:rsidRPr="00C02553" w:rsidRDefault="00AE77DB" w:rsidP="00343D6B">
      <w:pPr>
        <w:pStyle w:val="Heading1"/>
        <w:rPr>
          <w:lang w:val="en-US"/>
        </w:rPr>
      </w:pPr>
      <w:r w:rsidRPr="00C02553">
        <w:rPr>
          <w:lang w:val="en-US"/>
        </w:rPr>
        <w:t>References</w:t>
      </w:r>
    </w:p>
    <w:p w14:paraId="132750DB" w14:textId="77777777" w:rsidR="00174EDF" w:rsidRDefault="00174EDF" w:rsidP="00174EDF">
      <w:pPr>
        <w:pStyle w:val="ListParagraph"/>
      </w:pPr>
      <w:r>
        <w:t>Evidence-Based Medicine and Fiscal Analysis: “Therapeutic Class Review: ANTI-INFECTIVES: Antifungals for Onychomycosis”, Gainwell Technologies; Last updated February 20, 2023.</w:t>
      </w:r>
    </w:p>
    <w:p w14:paraId="6655AA3D" w14:textId="77777777" w:rsidR="00174EDF" w:rsidRDefault="00174EDF" w:rsidP="00174EDF">
      <w:pPr>
        <w:pStyle w:val="ListParagraph"/>
      </w:pPr>
      <w:r>
        <w:t>Evidence-Based Medicine and Fiscal Analysis: “Therapeutic Class Review: ANTI-INFECTIVES: Antifungals for Thrush”, Gainwell Technologies; Last updated February 22, 2023.</w:t>
      </w:r>
    </w:p>
    <w:p w14:paraId="7F70C757" w14:textId="77777777" w:rsidR="00174EDF" w:rsidRDefault="00174EDF" w:rsidP="00174EDF">
      <w:pPr>
        <w:pStyle w:val="ListParagraph"/>
      </w:pPr>
      <w:r>
        <w:t>Evidence-Based Medicine Analysis: “Anti-infectives: Antifungals for Onychomycosis”, UMKC-DIC; Last updated November 2024.</w:t>
      </w:r>
    </w:p>
    <w:p w14:paraId="249C4500" w14:textId="77777777" w:rsidR="00174EDF" w:rsidRDefault="00174EDF" w:rsidP="00174EDF">
      <w:pPr>
        <w:pStyle w:val="ListParagraph"/>
      </w:pPr>
      <w:r>
        <w:lastRenderedPageBreak/>
        <w:t>Evidence-Based Medicine Analysis: “Anti-infectives: Antifungals for Thrush”, UMKC-DIC; Last updated December 2024.</w:t>
      </w:r>
    </w:p>
    <w:p w14:paraId="6DAA1052" w14:textId="65EB1F64" w:rsidR="00C95BBF" w:rsidRDefault="00C95BBF" w:rsidP="00C95BBF">
      <w:pPr>
        <w:pStyle w:val="ListParagraph"/>
      </w:pPr>
      <w:r w:rsidRPr="00A64C6E">
        <w:t xml:space="preserve">2025 clinical practice guideline update by the Infectious Diseases Society of America on histoplasmosis: Treatment of asymptomatic histoplasmapulmonary nodules (Histoplasmomas) and mild or moderate acute pulmonary histoplasmosis in adults, children, and pregnant people. Clinical Infectious Diseases, 81(Supplement_3), i27–i32. </w:t>
      </w:r>
      <w:hyperlink r:id="rId12" w:history="1">
        <w:r w:rsidRPr="0078395D">
          <w:rPr>
            <w:rStyle w:val="Hyperlink"/>
          </w:rPr>
          <w:t>https://doi.org/10.1093/cid/ciaf256</w:t>
        </w:r>
      </w:hyperlink>
    </w:p>
    <w:p w14:paraId="1A0FD629" w14:textId="4C9F191E" w:rsidR="00174EDF" w:rsidRDefault="00174EDF" w:rsidP="00174EDF">
      <w:pPr>
        <w:pStyle w:val="ListParagraph"/>
      </w:pPr>
      <w:r>
        <w:t>USPDI, Micromedex; 202</w:t>
      </w:r>
      <w:r w:rsidR="00053CDE">
        <w:t>6</w:t>
      </w:r>
      <w:r>
        <w:t>.</w:t>
      </w:r>
    </w:p>
    <w:p w14:paraId="6C97AF78" w14:textId="49923592" w:rsidR="00174EDF" w:rsidRDefault="00174EDF" w:rsidP="00174EDF">
      <w:pPr>
        <w:pStyle w:val="ListParagraph"/>
      </w:pPr>
      <w:r>
        <w:t>Facts and Comparisons eAnswers (online); 202</w:t>
      </w:r>
      <w:r w:rsidR="00053CDE">
        <w:t>6</w:t>
      </w:r>
      <w:r>
        <w:t xml:space="preserve"> Clinical Drug Information, LLC.  </w:t>
      </w:r>
    </w:p>
    <w:p w14:paraId="6C620CCB" w14:textId="77777777" w:rsidR="00A64C6E" w:rsidRDefault="00A64C6E" w:rsidP="00C95BBF">
      <w:pPr>
        <w:pStyle w:val="ListParagraph"/>
        <w:numPr>
          <w:ilvl w:val="0"/>
          <w:numId w:val="0"/>
        </w:numPr>
        <w:ind w:left="360"/>
      </w:pPr>
    </w:p>
    <w:p w14:paraId="3FA1E7DB" w14:textId="34ED6ACF" w:rsidR="00777CA4" w:rsidRDefault="00777CA4" w:rsidP="00174EDF">
      <w:pPr>
        <w:pStyle w:val="ListParagraph"/>
        <w:numPr>
          <w:ilvl w:val="0"/>
          <w:numId w:val="0"/>
        </w:numPr>
        <w:ind w:left="360"/>
      </w:pPr>
    </w:p>
    <w:sectPr w:rsidR="00777CA4" w:rsidSect="00AB0B9F">
      <w:headerReference w:type="even" r:id="rId13"/>
      <w:headerReference w:type="default" r:id="rId14"/>
      <w:footerReference w:type="even" r:id="rId15"/>
      <w:footerReference w:type="default" r:id="rId16"/>
      <w:headerReference w:type="first" r:id="rId17"/>
      <w:footerReference w:type="first" r:id="rId18"/>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3CA001" w14:textId="77777777" w:rsidR="00AA1AFB" w:rsidRPr="00C02553" w:rsidRDefault="00AA1AFB" w:rsidP="00AE77DB">
      <w:r w:rsidRPr="00C02553">
        <w:separator/>
      </w:r>
    </w:p>
  </w:endnote>
  <w:endnote w:type="continuationSeparator" w:id="0">
    <w:p w14:paraId="2441661E" w14:textId="77777777" w:rsidR="00AA1AFB" w:rsidRPr="00C02553" w:rsidRDefault="00AA1AFB" w:rsidP="00AE77DB">
      <w:r w:rsidRPr="00C02553">
        <w:continuationSeparator/>
      </w:r>
    </w:p>
  </w:endnote>
  <w:endnote w:type="continuationNotice" w:id="1">
    <w:p w14:paraId="5BD161FB" w14:textId="77777777" w:rsidR="00AA1AFB" w:rsidRPr="00C02553" w:rsidRDefault="00AA1A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r w:rsidRPr="00C02553">
      <w:rPr>
        <w:rFonts w:cs="Arial"/>
        <w:sz w:val="16"/>
        <w:szCs w:val="16"/>
      </w:rPr>
      <w:t xml:space="preserve">SmartPA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r w:rsidRPr="00C02553">
      <w:rPr>
        <w:rFonts w:cs="Arial"/>
        <w:sz w:val="16"/>
        <w:szCs w:val="16"/>
      </w:rPr>
      <w:t>SmartPA</w:t>
    </w:r>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5A04C1" w14:textId="77777777" w:rsidR="00AA1AFB" w:rsidRPr="00C02553" w:rsidRDefault="00AA1AFB" w:rsidP="00AE77DB">
      <w:r w:rsidRPr="00C02553">
        <w:separator/>
      </w:r>
    </w:p>
  </w:footnote>
  <w:footnote w:type="continuationSeparator" w:id="0">
    <w:p w14:paraId="104E2B08" w14:textId="77777777" w:rsidR="00AA1AFB" w:rsidRPr="00C02553" w:rsidRDefault="00AA1AFB" w:rsidP="00AE77DB">
      <w:r w:rsidRPr="00C02553">
        <w:continuationSeparator/>
      </w:r>
    </w:p>
  </w:footnote>
  <w:footnote w:type="continuationNotice" w:id="1">
    <w:p w14:paraId="162BC0A2" w14:textId="77777777" w:rsidR="00AA1AFB" w:rsidRPr="00C02553" w:rsidRDefault="00AA1AF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379CBC0E" w:rsidR="00006A61" w:rsidRPr="00C02553" w:rsidRDefault="0094163E">
    <w:pPr>
      <w:pStyle w:val="Header"/>
      <w:framePr w:wrap="around" w:vAnchor="text" w:hAnchor="margin" w:xAlign="right" w:y="1"/>
      <w:rPr>
        <w:rStyle w:val="PageNumber"/>
        <w:rFonts w:ascii="Times New Roman" w:hAnsi="Times New Roman"/>
      </w:rPr>
    </w:pPr>
    <w:r>
      <w:rPr>
        <w:noProof/>
      </w:rPr>
      <w:pict w14:anchorId="671F521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7" o:spid="_x0000_s1026" type="#_x0000_t136" style="position:absolute;margin-left:0;margin-top:0;width:471.3pt;height:188.5pt;rotation:315;z-index:-251658239;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r w:rsidR="00006A61" w:rsidRPr="00C02553">
      <w:rPr>
        <w:rStyle w:val="PageNumber"/>
        <w:rFonts w:ascii="Times New Roman" w:hAnsi="Times New Roman"/>
      </w:rPr>
      <w:fldChar w:fldCharType="begin"/>
    </w:r>
    <w:r w:rsidR="00006A61" w:rsidRPr="00C02553">
      <w:rPr>
        <w:rStyle w:val="PageNumber"/>
        <w:rFonts w:ascii="Times New Roman" w:hAnsi="Times New Roman"/>
      </w:rPr>
      <w:instrText xml:space="preserve">PAGE  </w:instrText>
    </w:r>
    <w:r w:rsidR="00006A61" w:rsidRPr="00C02553">
      <w:rPr>
        <w:rStyle w:val="PageNumber"/>
        <w:rFonts w:ascii="Times New Roman" w:hAnsi="Times New Roman"/>
      </w:rPr>
      <w:fldChar w:fldCharType="separate"/>
    </w:r>
    <w:r w:rsidR="00006A61" w:rsidRPr="00C02553">
      <w:rPr>
        <w:rStyle w:val="PageNumber"/>
        <w:rFonts w:ascii="Times New Roman" w:hAnsi="Times New Roman"/>
      </w:rPr>
      <w:t>2</w:t>
    </w:r>
    <w:r w:rsidR="00006A61"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54C3FB2C" w:rsidR="00596936" w:rsidRDefault="0094163E">
    <w:pPr>
      <w:pStyle w:val="Header"/>
    </w:pPr>
    <w:r>
      <w:rPr>
        <w:noProof/>
      </w:rPr>
      <w:pict w14:anchorId="3B660B1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8" o:spid="_x0000_s1027" type="#_x0000_t136" style="position:absolute;margin-left:0;margin-top:0;width:471.3pt;height:188.5pt;rotation:315;z-index:-251658238;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28841AA8" w:rsidR="00006A61" w:rsidRPr="00C02553" w:rsidRDefault="00AB0B9F">
    <w:pPr>
      <w:pStyle w:val="Header"/>
      <w:rPr>
        <w:rFonts w:ascii="Times New Roman" w:hAnsi="Times New Roman"/>
      </w:rPr>
    </w:pPr>
    <w:r w:rsidRPr="00C02553">
      <w:rPr>
        <w:noProof/>
      </w:rPr>
      <w:drawing>
        <wp:anchor distT="0" distB="0" distL="114300" distR="114300" simplePos="0" relativeHeight="251660291"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arto="http://schemas.microsoft.com/office/word/2006/arto" xmlns:adec="http://schemas.microsoft.com/office/drawing/2017/decorative"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r w:rsidR="0094163E">
      <w:rPr>
        <w:noProof/>
      </w:rPr>
      <w:pict w14:anchorId="29885B3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6" o:spid="_x0000_s1025" type="#_x0000_t136" style="position:absolute;margin-left:0;margin-top:0;width:471.3pt;height:188.5pt;rotation:315;z-index:-251658240;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0DAD4D24"/>
    <w:multiLevelType w:val="hybridMultilevel"/>
    <w:tmpl w:val="5F1419D6"/>
    <w:lvl w:ilvl="0" w:tplc="E91A3DF2">
      <w:start w:val="1"/>
      <w:numFmt w:val="bullet"/>
      <w:lvlText w:val=""/>
      <w:lvlJc w:val="left"/>
      <w:pPr>
        <w:tabs>
          <w:tab w:val="num" w:pos="1080"/>
        </w:tabs>
        <w:ind w:left="1080" w:hanging="360"/>
      </w:pPr>
      <w:rPr>
        <w:rFonts w:ascii="Symbol" w:hAnsi="Symbol" w:hint="default"/>
        <w:color w:val="auto"/>
      </w:rPr>
    </w:lvl>
    <w:lvl w:ilvl="1" w:tplc="04090003">
      <w:start w:val="1"/>
      <w:numFmt w:val="bullet"/>
      <w:lvlText w:val="o"/>
      <w:lvlJc w:val="left"/>
      <w:pPr>
        <w:tabs>
          <w:tab w:val="num" w:pos="1260"/>
        </w:tabs>
        <w:ind w:left="1260" w:hanging="360"/>
      </w:pPr>
      <w:rPr>
        <w:rFonts w:ascii="Courier New" w:hAnsi="Courier New" w:cs="Times New Roman" w:hint="default"/>
      </w:rPr>
    </w:lvl>
    <w:lvl w:ilvl="2" w:tplc="04090005">
      <w:start w:val="1"/>
      <w:numFmt w:val="bullet"/>
      <w:lvlText w:val=""/>
      <w:lvlJc w:val="left"/>
      <w:pPr>
        <w:tabs>
          <w:tab w:val="num" w:pos="1080"/>
        </w:tabs>
        <w:ind w:left="108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5F167CE"/>
    <w:multiLevelType w:val="hybridMultilevel"/>
    <w:tmpl w:val="301AD230"/>
    <w:lvl w:ilvl="0" w:tplc="7D4C661C">
      <w:start w:val="1"/>
      <w:numFmt w:val="bullet"/>
      <w:lvlText w:val=""/>
      <w:lvlJc w:val="left"/>
      <w:pPr>
        <w:tabs>
          <w:tab w:val="num" w:pos="360"/>
        </w:tabs>
        <w:ind w:left="288" w:hanging="288"/>
      </w:pPr>
      <w:rPr>
        <w:rFonts w:ascii="Symbol" w:hAnsi="Symbol" w:hint="default"/>
        <w:color w:val="auto"/>
      </w:rPr>
    </w:lvl>
    <w:lvl w:ilvl="1" w:tplc="04090003">
      <w:start w:val="1"/>
      <w:numFmt w:val="bullet"/>
      <w:lvlText w:val="o"/>
      <w:lvlJc w:val="left"/>
      <w:pPr>
        <w:tabs>
          <w:tab w:val="num" w:pos="720"/>
        </w:tabs>
        <w:ind w:left="72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D1D3F76"/>
    <w:multiLevelType w:val="hybridMultilevel"/>
    <w:tmpl w:val="91B2EBDE"/>
    <w:lvl w:ilvl="0" w:tplc="2458C6F0">
      <w:start w:val="1"/>
      <w:numFmt w:val="bullet"/>
      <w:lvlText w:val=""/>
      <w:lvlJc w:val="left"/>
      <w:pPr>
        <w:tabs>
          <w:tab w:val="num" w:pos="360"/>
        </w:tabs>
        <w:ind w:left="360" w:hanging="360"/>
      </w:pPr>
      <w:rPr>
        <w:rFonts w:ascii="Symbol" w:hAnsi="Symbol" w:hint="default"/>
        <w:color w:val="auto"/>
      </w:rPr>
    </w:lvl>
    <w:lvl w:ilvl="1" w:tplc="E91A3DF2">
      <w:start w:val="1"/>
      <w:numFmt w:val="bullet"/>
      <w:lvlText w:val=""/>
      <w:lvlJc w:val="left"/>
      <w:pPr>
        <w:tabs>
          <w:tab w:val="num" w:pos="1080"/>
        </w:tabs>
        <w:ind w:left="1080" w:hanging="360"/>
      </w:pPr>
      <w:rPr>
        <w:rFonts w:ascii="Symbol" w:hAnsi="Symbol" w:hint="default"/>
        <w:color w:val="auto"/>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D643976"/>
    <w:multiLevelType w:val="hybridMultilevel"/>
    <w:tmpl w:val="B88699D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6"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7C76C4E"/>
    <w:multiLevelType w:val="hybridMultilevel"/>
    <w:tmpl w:val="634A9804"/>
    <w:lvl w:ilvl="0" w:tplc="2458C6F0">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9" w15:restartNumberingAfterBreak="0">
    <w:nsid w:val="7E374741"/>
    <w:multiLevelType w:val="multilevel"/>
    <w:tmpl w:val="8A42B1B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367994657">
    <w:abstractNumId w:val="0"/>
  </w:num>
  <w:num w:numId="2" w16cid:durableId="517891239">
    <w:abstractNumId w:val="18"/>
  </w:num>
  <w:num w:numId="3" w16cid:durableId="1729067566">
    <w:abstractNumId w:val="4"/>
  </w:num>
  <w:num w:numId="4" w16cid:durableId="320159068">
    <w:abstractNumId w:val="9"/>
  </w:num>
  <w:num w:numId="5" w16cid:durableId="1769498754">
    <w:abstractNumId w:val="3"/>
  </w:num>
  <w:num w:numId="6" w16cid:durableId="1094596320">
    <w:abstractNumId w:val="15"/>
  </w:num>
  <w:num w:numId="7" w16cid:durableId="2110008555">
    <w:abstractNumId w:val="2"/>
  </w:num>
  <w:num w:numId="8" w16cid:durableId="489712751">
    <w:abstractNumId w:val="8"/>
  </w:num>
  <w:num w:numId="9" w16cid:durableId="1085147965">
    <w:abstractNumId w:val="12"/>
  </w:num>
  <w:num w:numId="10" w16cid:durableId="917518096">
    <w:abstractNumId w:val="10"/>
  </w:num>
  <w:num w:numId="11" w16cid:durableId="1894998475">
    <w:abstractNumId w:val="1"/>
  </w:num>
  <w:num w:numId="12" w16cid:durableId="1418215296">
    <w:abstractNumId w:val="16"/>
  </w:num>
  <w:num w:numId="13" w16cid:durableId="604729665">
    <w:abstractNumId w:val="7"/>
  </w:num>
  <w:num w:numId="14" w16cid:durableId="1805081292">
    <w:abstractNumId w:val="14"/>
  </w:num>
  <w:num w:numId="15" w16cid:durableId="440757828">
    <w:abstractNumId w:val="11"/>
  </w:num>
  <w:num w:numId="16" w16cid:durableId="1446466036">
    <w:abstractNumId w:val="6"/>
  </w:num>
  <w:num w:numId="17" w16cid:durableId="24841032">
    <w:abstractNumId w:val="5"/>
  </w:num>
  <w:num w:numId="18" w16cid:durableId="1806964769">
    <w:abstractNumId w:val="13"/>
  </w:num>
  <w:num w:numId="19" w16cid:durableId="833032395">
    <w:abstractNumId w:val="17"/>
  </w:num>
  <w:num w:numId="20" w16cid:durableId="2027443435">
    <w:abstractNumId w:val="1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6WoNcNU0Q/6mV9MRZDWij+EbHjPzjYN603WrqUKg4Ru8Rr24Sxe64MwdHgXQcS7B+2kuC/fVdAbjeN4XZ9t9rA==" w:salt="3Ji+ywDZSA1Tj2AaB0vRqA=="/>
  <w:defaultTabStop w:val="720"/>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390A"/>
    <w:rsid w:val="0000457E"/>
    <w:rsid w:val="00006A61"/>
    <w:rsid w:val="000276D9"/>
    <w:rsid w:val="00032B4A"/>
    <w:rsid w:val="000344C5"/>
    <w:rsid w:val="00040AD3"/>
    <w:rsid w:val="00053807"/>
    <w:rsid w:val="00053CDE"/>
    <w:rsid w:val="000572E5"/>
    <w:rsid w:val="00057F84"/>
    <w:rsid w:val="00061541"/>
    <w:rsid w:val="00064162"/>
    <w:rsid w:val="00065C22"/>
    <w:rsid w:val="00066885"/>
    <w:rsid w:val="00074464"/>
    <w:rsid w:val="00076030"/>
    <w:rsid w:val="00082590"/>
    <w:rsid w:val="000913C3"/>
    <w:rsid w:val="000953B9"/>
    <w:rsid w:val="000A413B"/>
    <w:rsid w:val="000A6279"/>
    <w:rsid w:val="000B496B"/>
    <w:rsid w:val="000B69DC"/>
    <w:rsid w:val="000C3940"/>
    <w:rsid w:val="000C5992"/>
    <w:rsid w:val="000C7533"/>
    <w:rsid w:val="000E1479"/>
    <w:rsid w:val="000E231E"/>
    <w:rsid w:val="000E247D"/>
    <w:rsid w:val="000E6B14"/>
    <w:rsid w:val="000E70D8"/>
    <w:rsid w:val="001062F6"/>
    <w:rsid w:val="00112FC7"/>
    <w:rsid w:val="00114794"/>
    <w:rsid w:val="00125F5F"/>
    <w:rsid w:val="00126951"/>
    <w:rsid w:val="00126B60"/>
    <w:rsid w:val="001273EB"/>
    <w:rsid w:val="00127EF6"/>
    <w:rsid w:val="001310AD"/>
    <w:rsid w:val="001314A5"/>
    <w:rsid w:val="00132C7F"/>
    <w:rsid w:val="00144DBE"/>
    <w:rsid w:val="00151950"/>
    <w:rsid w:val="00152C8B"/>
    <w:rsid w:val="0015636A"/>
    <w:rsid w:val="00167EDD"/>
    <w:rsid w:val="00172053"/>
    <w:rsid w:val="00174EDF"/>
    <w:rsid w:val="00177A80"/>
    <w:rsid w:val="001974D9"/>
    <w:rsid w:val="001A50CB"/>
    <w:rsid w:val="001A74B7"/>
    <w:rsid w:val="001B2D47"/>
    <w:rsid w:val="001C0250"/>
    <w:rsid w:val="001C6DA4"/>
    <w:rsid w:val="001C73B1"/>
    <w:rsid w:val="001D1E7D"/>
    <w:rsid w:val="001D6567"/>
    <w:rsid w:val="001E2CCB"/>
    <w:rsid w:val="001E4CBA"/>
    <w:rsid w:val="001E523C"/>
    <w:rsid w:val="001E61DF"/>
    <w:rsid w:val="001F2B9F"/>
    <w:rsid w:val="001F5954"/>
    <w:rsid w:val="00202DD3"/>
    <w:rsid w:val="00206E7D"/>
    <w:rsid w:val="00217E14"/>
    <w:rsid w:val="00217EFD"/>
    <w:rsid w:val="00222134"/>
    <w:rsid w:val="0022233F"/>
    <w:rsid w:val="00226275"/>
    <w:rsid w:val="002354AC"/>
    <w:rsid w:val="0024608A"/>
    <w:rsid w:val="00246564"/>
    <w:rsid w:val="00246A3B"/>
    <w:rsid w:val="00255404"/>
    <w:rsid w:val="0025594F"/>
    <w:rsid w:val="00270C5E"/>
    <w:rsid w:val="00290A03"/>
    <w:rsid w:val="0029159A"/>
    <w:rsid w:val="00291600"/>
    <w:rsid w:val="002A02F4"/>
    <w:rsid w:val="002C2C41"/>
    <w:rsid w:val="002C62E7"/>
    <w:rsid w:val="002E05E2"/>
    <w:rsid w:val="002E2DD6"/>
    <w:rsid w:val="002E3F28"/>
    <w:rsid w:val="002F0E52"/>
    <w:rsid w:val="002F2274"/>
    <w:rsid w:val="002F2405"/>
    <w:rsid w:val="002F690F"/>
    <w:rsid w:val="0030301F"/>
    <w:rsid w:val="00303B21"/>
    <w:rsid w:val="00313701"/>
    <w:rsid w:val="00314430"/>
    <w:rsid w:val="00316188"/>
    <w:rsid w:val="003171AF"/>
    <w:rsid w:val="00317469"/>
    <w:rsid w:val="0032215C"/>
    <w:rsid w:val="0032616B"/>
    <w:rsid w:val="00326687"/>
    <w:rsid w:val="00326FFD"/>
    <w:rsid w:val="003275F9"/>
    <w:rsid w:val="003355AC"/>
    <w:rsid w:val="00343D6B"/>
    <w:rsid w:val="00347FB5"/>
    <w:rsid w:val="00355515"/>
    <w:rsid w:val="003608B5"/>
    <w:rsid w:val="003613AF"/>
    <w:rsid w:val="003663B5"/>
    <w:rsid w:val="00374CEC"/>
    <w:rsid w:val="00377FCA"/>
    <w:rsid w:val="003878C1"/>
    <w:rsid w:val="00396C0B"/>
    <w:rsid w:val="003A630F"/>
    <w:rsid w:val="003B3958"/>
    <w:rsid w:val="003B4820"/>
    <w:rsid w:val="003B5F4B"/>
    <w:rsid w:val="003B682F"/>
    <w:rsid w:val="003C4A58"/>
    <w:rsid w:val="003C53FC"/>
    <w:rsid w:val="003C7013"/>
    <w:rsid w:val="003D60C2"/>
    <w:rsid w:val="003D641B"/>
    <w:rsid w:val="003F227C"/>
    <w:rsid w:val="004023CC"/>
    <w:rsid w:val="00407564"/>
    <w:rsid w:val="00411152"/>
    <w:rsid w:val="004156AA"/>
    <w:rsid w:val="004253A1"/>
    <w:rsid w:val="004313B6"/>
    <w:rsid w:val="00433339"/>
    <w:rsid w:val="00442AB8"/>
    <w:rsid w:val="00446BBC"/>
    <w:rsid w:val="004472C0"/>
    <w:rsid w:val="00450705"/>
    <w:rsid w:val="00451928"/>
    <w:rsid w:val="0046618B"/>
    <w:rsid w:val="0048608C"/>
    <w:rsid w:val="00494CD7"/>
    <w:rsid w:val="00496E57"/>
    <w:rsid w:val="004B3E10"/>
    <w:rsid w:val="004C0F5D"/>
    <w:rsid w:val="004C2669"/>
    <w:rsid w:val="004C2738"/>
    <w:rsid w:val="004C375A"/>
    <w:rsid w:val="004C4954"/>
    <w:rsid w:val="004C5767"/>
    <w:rsid w:val="004D1617"/>
    <w:rsid w:val="004D5322"/>
    <w:rsid w:val="004D78B0"/>
    <w:rsid w:val="004E611F"/>
    <w:rsid w:val="004E7417"/>
    <w:rsid w:val="004F2A79"/>
    <w:rsid w:val="004F4D37"/>
    <w:rsid w:val="00501A14"/>
    <w:rsid w:val="00501DE3"/>
    <w:rsid w:val="00503D06"/>
    <w:rsid w:val="005058CB"/>
    <w:rsid w:val="00507438"/>
    <w:rsid w:val="0051044D"/>
    <w:rsid w:val="005139E4"/>
    <w:rsid w:val="00515075"/>
    <w:rsid w:val="00520FE9"/>
    <w:rsid w:val="005233E7"/>
    <w:rsid w:val="005328B2"/>
    <w:rsid w:val="00535BD5"/>
    <w:rsid w:val="00540977"/>
    <w:rsid w:val="00551668"/>
    <w:rsid w:val="00554D51"/>
    <w:rsid w:val="005572D5"/>
    <w:rsid w:val="00566BE4"/>
    <w:rsid w:val="00570D21"/>
    <w:rsid w:val="00573856"/>
    <w:rsid w:val="00576113"/>
    <w:rsid w:val="00590652"/>
    <w:rsid w:val="0059235F"/>
    <w:rsid w:val="00596936"/>
    <w:rsid w:val="005A2F1E"/>
    <w:rsid w:val="005A4232"/>
    <w:rsid w:val="005B076D"/>
    <w:rsid w:val="005C2236"/>
    <w:rsid w:val="005C3616"/>
    <w:rsid w:val="005D36B2"/>
    <w:rsid w:val="005D52E7"/>
    <w:rsid w:val="005D78B5"/>
    <w:rsid w:val="005E3572"/>
    <w:rsid w:val="005E45E4"/>
    <w:rsid w:val="005E6A09"/>
    <w:rsid w:val="005F0A81"/>
    <w:rsid w:val="005F0FCF"/>
    <w:rsid w:val="0060042F"/>
    <w:rsid w:val="006008BC"/>
    <w:rsid w:val="00602CFD"/>
    <w:rsid w:val="00606B55"/>
    <w:rsid w:val="00612A7B"/>
    <w:rsid w:val="00616E5E"/>
    <w:rsid w:val="006173A4"/>
    <w:rsid w:val="00617E50"/>
    <w:rsid w:val="006205AD"/>
    <w:rsid w:val="00625C3A"/>
    <w:rsid w:val="00635DDB"/>
    <w:rsid w:val="0064149A"/>
    <w:rsid w:val="00646DFE"/>
    <w:rsid w:val="00650530"/>
    <w:rsid w:val="00650C96"/>
    <w:rsid w:val="00653788"/>
    <w:rsid w:val="0065477F"/>
    <w:rsid w:val="00656896"/>
    <w:rsid w:val="00661656"/>
    <w:rsid w:val="0066374F"/>
    <w:rsid w:val="00677C65"/>
    <w:rsid w:val="00693152"/>
    <w:rsid w:val="00694FAE"/>
    <w:rsid w:val="00696E3A"/>
    <w:rsid w:val="006A0834"/>
    <w:rsid w:val="006A2B61"/>
    <w:rsid w:val="006A4BBD"/>
    <w:rsid w:val="006A52F1"/>
    <w:rsid w:val="006B561D"/>
    <w:rsid w:val="006B6D5D"/>
    <w:rsid w:val="006C1484"/>
    <w:rsid w:val="006D2330"/>
    <w:rsid w:val="006E0F8B"/>
    <w:rsid w:val="006E12F7"/>
    <w:rsid w:val="006E29D7"/>
    <w:rsid w:val="007068A4"/>
    <w:rsid w:val="00706D67"/>
    <w:rsid w:val="00713052"/>
    <w:rsid w:val="00721367"/>
    <w:rsid w:val="0072266E"/>
    <w:rsid w:val="007231FA"/>
    <w:rsid w:val="00732C67"/>
    <w:rsid w:val="00734418"/>
    <w:rsid w:val="007366D3"/>
    <w:rsid w:val="00757826"/>
    <w:rsid w:val="007632B7"/>
    <w:rsid w:val="0076382F"/>
    <w:rsid w:val="00765768"/>
    <w:rsid w:val="00765D10"/>
    <w:rsid w:val="00766AC8"/>
    <w:rsid w:val="00767486"/>
    <w:rsid w:val="0077070E"/>
    <w:rsid w:val="0077296A"/>
    <w:rsid w:val="00774C09"/>
    <w:rsid w:val="00777CA4"/>
    <w:rsid w:val="00792DF0"/>
    <w:rsid w:val="0079438F"/>
    <w:rsid w:val="00797B12"/>
    <w:rsid w:val="007A3034"/>
    <w:rsid w:val="007A527E"/>
    <w:rsid w:val="007A53E7"/>
    <w:rsid w:val="007A78F7"/>
    <w:rsid w:val="007B3333"/>
    <w:rsid w:val="007B379F"/>
    <w:rsid w:val="007B37D6"/>
    <w:rsid w:val="007B5D30"/>
    <w:rsid w:val="007D2920"/>
    <w:rsid w:val="007D42DD"/>
    <w:rsid w:val="007E6A37"/>
    <w:rsid w:val="007F1774"/>
    <w:rsid w:val="007F50D3"/>
    <w:rsid w:val="007F6915"/>
    <w:rsid w:val="00804BB6"/>
    <w:rsid w:val="00811A70"/>
    <w:rsid w:val="0081406E"/>
    <w:rsid w:val="00814A89"/>
    <w:rsid w:val="0082639E"/>
    <w:rsid w:val="00832211"/>
    <w:rsid w:val="008325F4"/>
    <w:rsid w:val="00832AC8"/>
    <w:rsid w:val="00844981"/>
    <w:rsid w:val="00846FA4"/>
    <w:rsid w:val="008524BA"/>
    <w:rsid w:val="00852B74"/>
    <w:rsid w:val="0085508A"/>
    <w:rsid w:val="00856928"/>
    <w:rsid w:val="00865538"/>
    <w:rsid w:val="00870875"/>
    <w:rsid w:val="0088225C"/>
    <w:rsid w:val="00884026"/>
    <w:rsid w:val="00884C78"/>
    <w:rsid w:val="008859E1"/>
    <w:rsid w:val="00896264"/>
    <w:rsid w:val="008A1660"/>
    <w:rsid w:val="008A5D88"/>
    <w:rsid w:val="008B2851"/>
    <w:rsid w:val="008C000E"/>
    <w:rsid w:val="008D0F2F"/>
    <w:rsid w:val="008D237F"/>
    <w:rsid w:val="008D6B05"/>
    <w:rsid w:val="008E7D2D"/>
    <w:rsid w:val="008F44C0"/>
    <w:rsid w:val="008F5999"/>
    <w:rsid w:val="00900D20"/>
    <w:rsid w:val="00903AD6"/>
    <w:rsid w:val="00904D7A"/>
    <w:rsid w:val="00906245"/>
    <w:rsid w:val="00915332"/>
    <w:rsid w:val="009204BB"/>
    <w:rsid w:val="009248C6"/>
    <w:rsid w:val="00935918"/>
    <w:rsid w:val="00935EC3"/>
    <w:rsid w:val="0094163E"/>
    <w:rsid w:val="0094768C"/>
    <w:rsid w:val="00951097"/>
    <w:rsid w:val="00953C1E"/>
    <w:rsid w:val="0096210F"/>
    <w:rsid w:val="00962633"/>
    <w:rsid w:val="00963187"/>
    <w:rsid w:val="00963ACF"/>
    <w:rsid w:val="00963D1C"/>
    <w:rsid w:val="00964284"/>
    <w:rsid w:val="0097028A"/>
    <w:rsid w:val="00973BD6"/>
    <w:rsid w:val="00980A2B"/>
    <w:rsid w:val="00984549"/>
    <w:rsid w:val="00984DBE"/>
    <w:rsid w:val="00985D28"/>
    <w:rsid w:val="0098734F"/>
    <w:rsid w:val="00991BF0"/>
    <w:rsid w:val="009920C8"/>
    <w:rsid w:val="00992135"/>
    <w:rsid w:val="009A0FB1"/>
    <w:rsid w:val="009A1FAC"/>
    <w:rsid w:val="009B001A"/>
    <w:rsid w:val="009B1A62"/>
    <w:rsid w:val="009B59DF"/>
    <w:rsid w:val="009C3CC7"/>
    <w:rsid w:val="009D2057"/>
    <w:rsid w:val="009D3D6C"/>
    <w:rsid w:val="009D5551"/>
    <w:rsid w:val="009D62DB"/>
    <w:rsid w:val="009E3B42"/>
    <w:rsid w:val="009E6CC6"/>
    <w:rsid w:val="00A05B60"/>
    <w:rsid w:val="00A13266"/>
    <w:rsid w:val="00A14FA6"/>
    <w:rsid w:val="00A15D64"/>
    <w:rsid w:val="00A20575"/>
    <w:rsid w:val="00A276AB"/>
    <w:rsid w:val="00A32452"/>
    <w:rsid w:val="00A32BBF"/>
    <w:rsid w:val="00A37444"/>
    <w:rsid w:val="00A4281A"/>
    <w:rsid w:val="00A459CF"/>
    <w:rsid w:val="00A47327"/>
    <w:rsid w:val="00A5014D"/>
    <w:rsid w:val="00A53E96"/>
    <w:rsid w:val="00A56F18"/>
    <w:rsid w:val="00A628F8"/>
    <w:rsid w:val="00A62BAA"/>
    <w:rsid w:val="00A64C6E"/>
    <w:rsid w:val="00A66172"/>
    <w:rsid w:val="00A72AA2"/>
    <w:rsid w:val="00A744C3"/>
    <w:rsid w:val="00A92AF0"/>
    <w:rsid w:val="00A96735"/>
    <w:rsid w:val="00A96AE4"/>
    <w:rsid w:val="00AA1AFB"/>
    <w:rsid w:val="00AA70AB"/>
    <w:rsid w:val="00AB0B9F"/>
    <w:rsid w:val="00AB1713"/>
    <w:rsid w:val="00AB63BE"/>
    <w:rsid w:val="00AC1EBC"/>
    <w:rsid w:val="00AC2599"/>
    <w:rsid w:val="00AC2DE9"/>
    <w:rsid w:val="00AD2304"/>
    <w:rsid w:val="00AD2C5F"/>
    <w:rsid w:val="00AE1481"/>
    <w:rsid w:val="00AE27F9"/>
    <w:rsid w:val="00AE77DB"/>
    <w:rsid w:val="00AF7453"/>
    <w:rsid w:val="00B00FFF"/>
    <w:rsid w:val="00B02622"/>
    <w:rsid w:val="00B06084"/>
    <w:rsid w:val="00B16735"/>
    <w:rsid w:val="00B17EDE"/>
    <w:rsid w:val="00B22585"/>
    <w:rsid w:val="00B31062"/>
    <w:rsid w:val="00B33693"/>
    <w:rsid w:val="00B34C53"/>
    <w:rsid w:val="00B507A5"/>
    <w:rsid w:val="00B52475"/>
    <w:rsid w:val="00B535DA"/>
    <w:rsid w:val="00B56DCC"/>
    <w:rsid w:val="00B56F54"/>
    <w:rsid w:val="00B638C2"/>
    <w:rsid w:val="00B758AB"/>
    <w:rsid w:val="00B76277"/>
    <w:rsid w:val="00B772AB"/>
    <w:rsid w:val="00B80395"/>
    <w:rsid w:val="00B80B56"/>
    <w:rsid w:val="00B86372"/>
    <w:rsid w:val="00BA1C17"/>
    <w:rsid w:val="00BA1D65"/>
    <w:rsid w:val="00BB075F"/>
    <w:rsid w:val="00BB3B4D"/>
    <w:rsid w:val="00BC351E"/>
    <w:rsid w:val="00BC3F77"/>
    <w:rsid w:val="00BC5635"/>
    <w:rsid w:val="00BC5675"/>
    <w:rsid w:val="00BD081C"/>
    <w:rsid w:val="00BD277B"/>
    <w:rsid w:val="00BD47CA"/>
    <w:rsid w:val="00BD4DC4"/>
    <w:rsid w:val="00BD62C7"/>
    <w:rsid w:val="00BE020D"/>
    <w:rsid w:val="00BE354A"/>
    <w:rsid w:val="00BF5EEF"/>
    <w:rsid w:val="00C002DB"/>
    <w:rsid w:val="00C02553"/>
    <w:rsid w:val="00C03299"/>
    <w:rsid w:val="00C04EB6"/>
    <w:rsid w:val="00C056F9"/>
    <w:rsid w:val="00C1018C"/>
    <w:rsid w:val="00C1150E"/>
    <w:rsid w:val="00C14D52"/>
    <w:rsid w:val="00C2586C"/>
    <w:rsid w:val="00C26001"/>
    <w:rsid w:val="00C33A40"/>
    <w:rsid w:val="00C34E72"/>
    <w:rsid w:val="00C36E4F"/>
    <w:rsid w:val="00C40340"/>
    <w:rsid w:val="00C4685B"/>
    <w:rsid w:val="00C56B1F"/>
    <w:rsid w:val="00C61B52"/>
    <w:rsid w:val="00C62745"/>
    <w:rsid w:val="00C654CA"/>
    <w:rsid w:val="00C722C9"/>
    <w:rsid w:val="00C763BD"/>
    <w:rsid w:val="00C779A8"/>
    <w:rsid w:val="00C82E19"/>
    <w:rsid w:val="00C912C7"/>
    <w:rsid w:val="00C95BBF"/>
    <w:rsid w:val="00C96873"/>
    <w:rsid w:val="00CA1735"/>
    <w:rsid w:val="00CA3C4B"/>
    <w:rsid w:val="00CA7252"/>
    <w:rsid w:val="00CB2C5A"/>
    <w:rsid w:val="00CE0C1C"/>
    <w:rsid w:val="00CE34AF"/>
    <w:rsid w:val="00CE4A1B"/>
    <w:rsid w:val="00CE6B98"/>
    <w:rsid w:val="00CF00A4"/>
    <w:rsid w:val="00CF25FB"/>
    <w:rsid w:val="00CF614C"/>
    <w:rsid w:val="00D02F34"/>
    <w:rsid w:val="00D13D87"/>
    <w:rsid w:val="00D141BF"/>
    <w:rsid w:val="00D16590"/>
    <w:rsid w:val="00D16E4A"/>
    <w:rsid w:val="00D20720"/>
    <w:rsid w:val="00D23C94"/>
    <w:rsid w:val="00D250D9"/>
    <w:rsid w:val="00D27533"/>
    <w:rsid w:val="00D42DA3"/>
    <w:rsid w:val="00D4546D"/>
    <w:rsid w:val="00D47996"/>
    <w:rsid w:val="00D61118"/>
    <w:rsid w:val="00D614F1"/>
    <w:rsid w:val="00D617A1"/>
    <w:rsid w:val="00D70D50"/>
    <w:rsid w:val="00D71917"/>
    <w:rsid w:val="00D73550"/>
    <w:rsid w:val="00DA24AE"/>
    <w:rsid w:val="00DA26DC"/>
    <w:rsid w:val="00DA3A0F"/>
    <w:rsid w:val="00DA4E62"/>
    <w:rsid w:val="00DA6990"/>
    <w:rsid w:val="00DB1EE7"/>
    <w:rsid w:val="00DB27BA"/>
    <w:rsid w:val="00DB337A"/>
    <w:rsid w:val="00DB685E"/>
    <w:rsid w:val="00DB70F3"/>
    <w:rsid w:val="00DC2045"/>
    <w:rsid w:val="00DC51CB"/>
    <w:rsid w:val="00DD4819"/>
    <w:rsid w:val="00DD4B8A"/>
    <w:rsid w:val="00DD5403"/>
    <w:rsid w:val="00DE1388"/>
    <w:rsid w:val="00DE7501"/>
    <w:rsid w:val="00DF3146"/>
    <w:rsid w:val="00DF57C3"/>
    <w:rsid w:val="00E008D9"/>
    <w:rsid w:val="00E02FE0"/>
    <w:rsid w:val="00E07ABE"/>
    <w:rsid w:val="00E11A3F"/>
    <w:rsid w:val="00E1386E"/>
    <w:rsid w:val="00E22801"/>
    <w:rsid w:val="00E2369B"/>
    <w:rsid w:val="00E23EC0"/>
    <w:rsid w:val="00E24171"/>
    <w:rsid w:val="00E354AA"/>
    <w:rsid w:val="00E364E5"/>
    <w:rsid w:val="00E43D54"/>
    <w:rsid w:val="00E442FB"/>
    <w:rsid w:val="00E47D63"/>
    <w:rsid w:val="00E529DB"/>
    <w:rsid w:val="00E538F9"/>
    <w:rsid w:val="00E53A5E"/>
    <w:rsid w:val="00E6466A"/>
    <w:rsid w:val="00E72221"/>
    <w:rsid w:val="00E81F5F"/>
    <w:rsid w:val="00E83428"/>
    <w:rsid w:val="00E84C58"/>
    <w:rsid w:val="00E873A5"/>
    <w:rsid w:val="00E8766F"/>
    <w:rsid w:val="00E90D11"/>
    <w:rsid w:val="00E915E5"/>
    <w:rsid w:val="00EB0367"/>
    <w:rsid w:val="00EB4FB9"/>
    <w:rsid w:val="00EB5BC8"/>
    <w:rsid w:val="00EC2738"/>
    <w:rsid w:val="00EC6CBE"/>
    <w:rsid w:val="00ED7B42"/>
    <w:rsid w:val="00EE3EA5"/>
    <w:rsid w:val="00EE613F"/>
    <w:rsid w:val="00EE6BD1"/>
    <w:rsid w:val="00EF0262"/>
    <w:rsid w:val="00EF0828"/>
    <w:rsid w:val="00EF4672"/>
    <w:rsid w:val="00EF6F8B"/>
    <w:rsid w:val="00F03898"/>
    <w:rsid w:val="00F1527A"/>
    <w:rsid w:val="00F2696B"/>
    <w:rsid w:val="00F27821"/>
    <w:rsid w:val="00F27AF5"/>
    <w:rsid w:val="00F4092A"/>
    <w:rsid w:val="00F41F69"/>
    <w:rsid w:val="00F43E41"/>
    <w:rsid w:val="00F4790C"/>
    <w:rsid w:val="00F50C4B"/>
    <w:rsid w:val="00F54C08"/>
    <w:rsid w:val="00F553A2"/>
    <w:rsid w:val="00F6068C"/>
    <w:rsid w:val="00F62F33"/>
    <w:rsid w:val="00F63A52"/>
    <w:rsid w:val="00F730BA"/>
    <w:rsid w:val="00F903BE"/>
    <w:rsid w:val="00F95D04"/>
    <w:rsid w:val="00F97308"/>
    <w:rsid w:val="00FA16EC"/>
    <w:rsid w:val="00FA2811"/>
    <w:rsid w:val="00FA4837"/>
    <w:rsid w:val="00FB1D33"/>
    <w:rsid w:val="00FB5E96"/>
    <w:rsid w:val="00FC05A0"/>
    <w:rsid w:val="00FC6758"/>
    <w:rsid w:val="00FD3014"/>
    <w:rsid w:val="00FD34EA"/>
    <w:rsid w:val="00FD3A28"/>
    <w:rsid w:val="00FD52AB"/>
    <w:rsid w:val="00FE3F3E"/>
    <w:rsid w:val="00FE4D52"/>
    <w:rsid w:val="00FE5AEE"/>
    <w:rsid w:val="00FF0EBB"/>
    <w:rsid w:val="00FF106B"/>
    <w:rsid w:val="6EB7A09E"/>
    <w:rsid w:val="70E341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474DC3D9-3E32-46A9-B0F4-7115DB588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character" w:styleId="CommentReference">
    <w:name w:val="annotation reference"/>
    <w:basedOn w:val="DefaultParagraphFont"/>
    <w:uiPriority w:val="99"/>
    <w:semiHidden/>
    <w:unhideWhenUsed/>
    <w:rsid w:val="004C2738"/>
    <w:rPr>
      <w:sz w:val="16"/>
      <w:szCs w:val="16"/>
    </w:rPr>
  </w:style>
  <w:style w:type="paragraph" w:styleId="CommentSubject">
    <w:name w:val="annotation subject"/>
    <w:basedOn w:val="CommentText"/>
    <w:next w:val="CommentText"/>
    <w:link w:val="CommentSubjectChar"/>
    <w:uiPriority w:val="99"/>
    <w:semiHidden/>
    <w:unhideWhenUsed/>
    <w:rsid w:val="004C2738"/>
    <w:rPr>
      <w:b/>
      <w:bCs/>
    </w:rPr>
  </w:style>
  <w:style w:type="character" w:customStyle="1" w:styleId="CommentTextChar">
    <w:name w:val="Comment Text Char"/>
    <w:basedOn w:val="DefaultParagraphFont"/>
    <w:link w:val="CommentText"/>
    <w:semiHidden/>
    <w:rsid w:val="004C2738"/>
    <w:rPr>
      <w:rFonts w:ascii="Arial" w:hAnsi="Arial"/>
    </w:rPr>
  </w:style>
  <w:style w:type="character" w:customStyle="1" w:styleId="CommentSubjectChar">
    <w:name w:val="Comment Subject Char"/>
    <w:basedOn w:val="CommentTextChar"/>
    <w:link w:val="CommentSubject"/>
    <w:uiPriority w:val="99"/>
    <w:semiHidden/>
    <w:rsid w:val="004C2738"/>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1749108382">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477067656">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doi.org/10.1093/cid/ciaf256"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urldefense.com/v3/__https:/mydss.mo.gov/mhd/pharmacy-clinical-edits-pdl__;!!Mh0G0HQJXw!DKMmdI7SDTo7jBREg-qRm6B0GI94P2JU4hRfudWQPXe3dIKJggBJ9AcCA4NjRnnKmqffVe86trQ2Jb0f1EVAdQO95cWOigkqkw$"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de390def39a4db9ef69de04daecb8dd4">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11fef7f73cac9dabe8a63254546dce04"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customXml/itemProps2.xml><?xml version="1.0" encoding="utf-8"?>
<ds:datastoreItem xmlns:ds="http://schemas.openxmlformats.org/officeDocument/2006/customXml" ds:itemID="{20443CD0-BAC0-4286-8661-ED5329119F53}">
  <ds:schemaRefs>
    <ds:schemaRef ds:uri="http://schemas.microsoft.com/sharepoint/v3/contenttype/forms"/>
  </ds:schemaRefs>
</ds:datastoreItem>
</file>

<file path=customXml/itemProps3.xml><?xml version="1.0" encoding="utf-8"?>
<ds:datastoreItem xmlns:ds="http://schemas.openxmlformats.org/officeDocument/2006/customXml" ds:itemID="{0F9992BC-7C11-4A83-A97F-D2E41AE80BFC}">
  <ds:schemaRefs>
    <ds:schemaRef ds:uri="http://schemas.microsoft.com/sharepoint/v3"/>
    <ds:schemaRef ds:uri="http://schemas.microsoft.com/office/infopath/2007/PartnerControls"/>
    <ds:schemaRef ds:uri="http://purl.org/dc/terms/"/>
    <ds:schemaRef ds:uri="http://schemas.openxmlformats.org/package/2006/metadata/core-properties"/>
    <ds:schemaRef ds:uri="http://schemas.microsoft.com/office/2006/documentManagement/types"/>
    <ds:schemaRef ds:uri="f5eefb00-5952-4f7e-8cf8-96f81cfadd01"/>
    <ds:schemaRef ds:uri="http://purl.org/dc/elements/1.1/"/>
    <ds:schemaRef ds:uri="http://schemas.microsoft.com/office/2006/metadata/properties"/>
    <ds:schemaRef ds:uri="aba01ddc-ae9a-4c9e-819c-7140b4239cde"/>
    <ds:schemaRef ds:uri="http://www.w3.org/XML/1998/namespace"/>
    <ds:schemaRef ds:uri="http://purl.org/dc/dcmitype/"/>
  </ds:schemaRefs>
</ds:datastoreItem>
</file>

<file path=customXml/itemProps4.xml><?xml version="1.0" encoding="utf-8"?>
<ds:datastoreItem xmlns:ds="http://schemas.openxmlformats.org/officeDocument/2006/customXml" ds:itemID="{B6C5CAA8-765B-457E-8E0A-9B10B61500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1094</TotalTime>
  <Pages>3</Pages>
  <Words>656</Words>
  <Characters>4698</Characters>
  <Application>Microsoft Office Word</Application>
  <DocSecurity>10</DocSecurity>
  <Lines>39</Lines>
  <Paragraphs>10</Paragraphs>
  <ScaleCrop>false</ScaleCrop>
  <HeadingPairs>
    <vt:vector size="2" baseType="variant">
      <vt:variant>
        <vt:lpstr>Title</vt:lpstr>
      </vt:variant>
      <vt:variant>
        <vt:i4>1</vt:i4>
      </vt:variant>
    </vt:vector>
  </HeadingPairs>
  <TitlesOfParts>
    <vt:vector size="1" baseType="lpstr">
      <vt:lpstr>Antifungals-Oral</vt:lpstr>
    </vt:vector>
  </TitlesOfParts>
  <Company>DSS</Company>
  <LinksUpToDate>false</LinksUpToDate>
  <CharactersWithSpaces>5344</CharactersWithSpaces>
  <SharedDoc>false</SharedDoc>
  <HLinks>
    <vt:vector size="6" baseType="variant">
      <vt:variant>
        <vt:i4>1704013</vt:i4>
      </vt:variant>
      <vt:variant>
        <vt:i4>0</vt:i4>
      </vt:variant>
      <vt:variant>
        <vt:i4>0</vt:i4>
      </vt:variant>
      <vt:variant>
        <vt:i4>5</vt:i4>
      </vt:variant>
      <vt:variant>
        <vt:lpwstr>https://mydss.mo.gov/media/pdf/antifungals-systemic-clinical-edit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Antifungals-Oral</dc:title>
  <dc:creator>DMS</dc:creator>
  <cp:lastModifiedBy>Heriford, Katherine</cp:lastModifiedBy>
  <cp:revision>65</cp:revision>
  <cp:lastPrinted>2018-10-31T20:17:00Z</cp:lastPrinted>
  <dcterms:created xsi:type="dcterms:W3CDTF">2026-02-27T19:42:00Z</dcterms:created>
  <dcterms:modified xsi:type="dcterms:W3CDTF">2026-04-06T16:00:00Z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