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B4A5829" w:rsidR="004C5767" w:rsidRPr="006560B3" w:rsidRDefault="004C5767" w:rsidP="00D27533">
      <w:pPr>
        <w:pStyle w:val="tbody"/>
        <w:rPr>
          <w:b w:val="0"/>
        </w:rPr>
      </w:pPr>
      <w:r w:rsidRPr="00C02553">
        <w:t>Drug/Drug Class:</w:t>
      </w:r>
      <w:r w:rsidR="006560B3">
        <w:rPr>
          <w:b w:val="0"/>
        </w:rPr>
        <w:t xml:space="preserve"> </w:t>
      </w:r>
      <w:r w:rsidR="00807BCD" w:rsidRPr="00807BCD">
        <w:rPr>
          <w:b w:val="0"/>
        </w:rPr>
        <w:t>Continuous Glucose Monitors (CGMs) Clinical Edit</w:t>
      </w:r>
    </w:p>
    <w:p w14:paraId="7AD7FFCE" w14:textId="219DB8A7" w:rsidR="004C5767" w:rsidRPr="006560B3" w:rsidRDefault="004C5767" w:rsidP="00D27533">
      <w:pPr>
        <w:pStyle w:val="tbody"/>
        <w:rPr>
          <w:b w:val="0"/>
        </w:rPr>
      </w:pPr>
      <w:r w:rsidRPr="00C02553">
        <w:t>First Implementation Date:</w:t>
      </w:r>
      <w:r w:rsidR="006560B3">
        <w:rPr>
          <w:b w:val="0"/>
        </w:rPr>
        <w:t xml:space="preserve"> </w:t>
      </w:r>
      <w:r w:rsidR="00DE4CAD" w:rsidRPr="00DE4CAD">
        <w:rPr>
          <w:b w:val="0"/>
        </w:rPr>
        <w:t>Continuous Glucose Monitors (CGMs) Clinical Edit</w:t>
      </w:r>
    </w:p>
    <w:p w14:paraId="4B7D760D" w14:textId="49AC4F27" w:rsidR="004C5767" w:rsidRPr="00D232D9" w:rsidRDefault="004540E3" w:rsidP="15EB50BA">
      <w:pPr>
        <w:pStyle w:val="tbody"/>
        <w:rPr>
          <w:b w:val="0"/>
        </w:rPr>
      </w:pPr>
      <w:r>
        <w:t>Revised</w:t>
      </w:r>
      <w:r w:rsidR="004C5767">
        <w:t xml:space="preserve"> Date:</w:t>
      </w:r>
      <w:r w:rsidR="00065C22">
        <w:t xml:space="preserve"> </w:t>
      </w:r>
      <w:r w:rsidR="00DE4CAD">
        <w:rPr>
          <w:b w:val="0"/>
        </w:rPr>
        <w:t>April</w:t>
      </w:r>
      <w:r w:rsidR="00D232D9">
        <w:rPr>
          <w:b w:val="0"/>
        </w:rPr>
        <w:t xml:space="preserve"> </w:t>
      </w:r>
      <w:r w:rsidR="00DE4CAD">
        <w:rPr>
          <w:b w:val="0"/>
        </w:rPr>
        <w:t>2</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D636987" w:rsidR="004C5767" w:rsidRPr="00D27533" w:rsidRDefault="004C5767" w:rsidP="00D27533">
      <w:pPr>
        <w:pStyle w:val="tbody"/>
        <w:rPr>
          <w:b w:val="0"/>
          <w:bCs/>
          <w:spacing w:val="-3"/>
        </w:rPr>
      </w:pPr>
      <w:r w:rsidRPr="00C02553">
        <w:t xml:space="preserve">Criteria Status: </w:t>
      </w:r>
      <w:r w:rsidR="008E64A3" w:rsidRPr="008E64A3">
        <w:rPr>
          <w:b w:val="0"/>
          <w:bCs/>
        </w:rPr>
        <w:t>Revision of</w:t>
      </w:r>
      <w:r w:rsidR="008E64A3">
        <w:t xml:space="preserve"> </w:t>
      </w:r>
      <w:r w:rsidR="00566BE4" w:rsidRPr="00906C9E">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801D328" w:rsidR="00D47996" w:rsidRDefault="79EEA449" w:rsidP="00696E3A">
      <w:r>
        <w:t>Ensure appropriate utilization and control of</w:t>
      </w:r>
      <w:r w:rsidR="00D47996">
        <w:t xml:space="preserve"> </w:t>
      </w:r>
      <w:r w:rsidR="003A4B6F" w:rsidRPr="00E87C9A">
        <w:rPr>
          <w:rFonts w:cs="Arial"/>
          <w:spacing w:val="-3"/>
        </w:rPr>
        <w:t>Continuous Glucose Monitors (CGMs)</w:t>
      </w:r>
      <w:r w:rsidR="003A4B6F">
        <w:rPr>
          <w:rFonts w:cs="Arial"/>
          <w:spacing w:val="-3"/>
        </w:rPr>
        <w:t>.</w:t>
      </w:r>
    </w:p>
    <w:p w14:paraId="2320C114" w14:textId="4452B466"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44A4E87B" w14:textId="1E11F382" w:rsidR="003A4B6F" w:rsidRPr="00696E3A" w:rsidRDefault="00375A06" w:rsidP="00696E3A">
      <w:pPr>
        <w:rPr>
          <w:b/>
          <w:bCs/>
        </w:rPr>
      </w:pPr>
      <w:r w:rsidRPr="0094243D">
        <w:rPr>
          <w:rFonts w:cs="Arial"/>
          <w:spacing w:val="-3"/>
        </w:rPr>
        <w:t xml:space="preserve">Continuous Glucose Monitors (CGMs) are devices which can monitor a patient’s glucose levels in the interstitial fluid consistently (every 5 to 15 minutes) versus traditional self-monitoring of blood glucose which is patient initiated at prescribed intervals throughout the day. CGMs allow patients and providers to respond to changing glucose readings more quickly, provide alarms to indicate when glucose levels are outside of threshold levels, and can indicate trends in glucose levels over time.  CGMs may also lead to modest improvements in A1C and intensification of glucose control without increasing the risk of hypoglycemia.  The 2021 American Association of Clinical Endocrinology Clinical Practice Guideline recommends CGMs for all persons with diabetes treated with intensive insulin therapy, defined as 3 or more injections of insulin per day or the use of an insulin pump, as well as for all individuals with problematic hypoglycemia.  MO HealthNet </w:t>
      </w:r>
      <w:r>
        <w:rPr>
          <w:rFonts w:cs="Arial"/>
          <w:spacing w:val="-3"/>
        </w:rPr>
        <w:t xml:space="preserve">will impose clinical criteria to ensure appropriate utilization of </w:t>
      </w:r>
      <w:r w:rsidRPr="0094243D">
        <w:rPr>
          <w:rFonts w:cs="Arial"/>
          <w:spacing w:val="-3"/>
        </w:rPr>
        <w:t xml:space="preserve">Dexcom G6 </w:t>
      </w:r>
      <w:r>
        <w:rPr>
          <w:rFonts w:cs="Arial"/>
          <w:spacing w:val="-3"/>
        </w:rPr>
        <w:t xml:space="preserve">and G7 </w:t>
      </w:r>
      <w:r w:rsidRPr="0094243D">
        <w:rPr>
          <w:rFonts w:cs="Arial"/>
          <w:spacing w:val="-3"/>
        </w:rPr>
        <w:t>products for select participants</w:t>
      </w:r>
      <w:r>
        <w:rPr>
          <w:rFonts w:cs="Arial"/>
          <w:spacing w:val="-3"/>
        </w:rPr>
        <w:t xml:space="preserve"> who desire to utilize CGMs.</w:t>
      </w:r>
    </w:p>
    <w:p w14:paraId="7ACECC9F" w14:textId="77777777" w:rsidR="00B56DCC" w:rsidRDefault="00B56DCC" w:rsidP="00696E3A"/>
    <w:p w14:paraId="5B5260CF" w14:textId="544B4233" w:rsidR="003D4704" w:rsidRPr="00AD17B7" w:rsidRDefault="003D4704" w:rsidP="003D4704">
      <w:r>
        <w:rPr>
          <w:b/>
          <w:bCs/>
        </w:rPr>
        <w:t xml:space="preserve">Program-Specific Information: </w:t>
      </w:r>
      <w:r>
        <w:t>Dat</w:t>
      </w:r>
      <w:r w:rsidR="00ED760F">
        <w:t>e</w:t>
      </w:r>
      <w:r>
        <w:t xml:space="preserve"> Ranges FFS </w:t>
      </w:r>
      <w:r w:rsidR="008366D9" w:rsidRPr="008366D9">
        <w:t>10-01-202</w:t>
      </w:r>
      <w:r w:rsidR="00BF1F2A">
        <w:t>4</w:t>
      </w:r>
      <w:r w:rsidR="008366D9" w:rsidRPr="008366D9">
        <w:t xml:space="preserve"> to 9-30-202</w:t>
      </w:r>
      <w:r w:rsidR="00B75C33">
        <w:t>5</w:t>
      </w:r>
    </w:p>
    <w:tbl>
      <w:tblPr>
        <w:tblW w:w="8226" w:type="dxa"/>
        <w:jc w:val="center"/>
        <w:tblLayout w:type="fixed"/>
        <w:tblLook w:val="04A0" w:firstRow="1" w:lastRow="0" w:firstColumn="1" w:lastColumn="0" w:noHBand="0" w:noVBand="1"/>
      </w:tblPr>
      <w:tblGrid>
        <w:gridCol w:w="3506"/>
        <w:gridCol w:w="1112"/>
        <w:gridCol w:w="1857"/>
        <w:gridCol w:w="1751"/>
      </w:tblGrid>
      <w:tr w:rsidR="003D4704" w:rsidRPr="00902CF9" w14:paraId="7E639B47" w14:textId="77777777" w:rsidTr="007846DD">
        <w:trPr>
          <w:trHeight w:val="232"/>
          <w:jc w:val="center"/>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8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17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7846DD" w:rsidRPr="00902CF9" w14:paraId="29C2C6B5" w14:textId="77777777" w:rsidTr="007846DD">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4E48F17F" w14:textId="7E7F815F" w:rsidR="007846DD" w:rsidRPr="00902CF9" w:rsidRDefault="007846DD" w:rsidP="007846DD">
            <w:pPr>
              <w:rPr>
                <w:rFonts w:cs="Arial"/>
                <w:szCs w:val="20"/>
              </w:rPr>
            </w:pPr>
            <w:r w:rsidRPr="00CE0741">
              <w:rPr>
                <w:rFonts w:cs="Arial"/>
                <w:bCs/>
                <w:spacing w:val="-3"/>
                <w:szCs w:val="20"/>
              </w:rPr>
              <w:t>DEXCOM G6 RECEIVER</w:t>
            </w:r>
          </w:p>
        </w:tc>
        <w:tc>
          <w:tcPr>
            <w:tcW w:w="1112" w:type="dxa"/>
            <w:tcBorders>
              <w:top w:val="single" w:sz="4" w:space="0" w:color="auto"/>
              <w:left w:val="single" w:sz="4" w:space="0" w:color="auto"/>
              <w:bottom w:val="single" w:sz="4" w:space="0" w:color="auto"/>
              <w:right w:val="single" w:sz="4" w:space="0" w:color="auto"/>
            </w:tcBorders>
            <w:vAlign w:val="center"/>
          </w:tcPr>
          <w:p w14:paraId="5F6574F8" w14:textId="7F704B3A" w:rsidR="007846DD" w:rsidRPr="00902CF9" w:rsidRDefault="000F4ED6" w:rsidP="007846DD">
            <w:pPr>
              <w:jc w:val="center"/>
              <w:rPr>
                <w:rFonts w:cs="Arial"/>
                <w:szCs w:val="20"/>
              </w:rPr>
            </w:pPr>
            <w:r>
              <w:rPr>
                <w:rFonts w:cs="Arial"/>
                <w:bCs/>
                <w:spacing w:val="-3"/>
                <w:szCs w:val="20"/>
              </w:rPr>
              <w:t>803</w:t>
            </w:r>
          </w:p>
        </w:tc>
        <w:tc>
          <w:tcPr>
            <w:tcW w:w="1857" w:type="dxa"/>
            <w:tcBorders>
              <w:top w:val="single" w:sz="4" w:space="0" w:color="auto"/>
              <w:left w:val="single" w:sz="4" w:space="0" w:color="auto"/>
              <w:bottom w:val="single" w:sz="4" w:space="0" w:color="auto"/>
              <w:right w:val="single" w:sz="4" w:space="0" w:color="auto"/>
            </w:tcBorders>
            <w:vAlign w:val="center"/>
          </w:tcPr>
          <w:p w14:paraId="52453425" w14:textId="27193BAF" w:rsidR="007846DD" w:rsidRPr="00902CF9" w:rsidRDefault="000F4ED6" w:rsidP="007846DD">
            <w:pPr>
              <w:jc w:val="right"/>
              <w:rPr>
                <w:rFonts w:cs="Arial"/>
                <w:szCs w:val="20"/>
              </w:rPr>
            </w:pPr>
            <w:r>
              <w:rPr>
                <w:rFonts w:cs="Arial"/>
                <w:szCs w:val="20"/>
              </w:rPr>
              <w:t>$</w:t>
            </w:r>
            <w:r w:rsidR="000359D0">
              <w:rPr>
                <w:rFonts w:cs="Arial"/>
                <w:szCs w:val="20"/>
              </w:rPr>
              <w:t>294,609.70</w:t>
            </w:r>
          </w:p>
        </w:tc>
        <w:tc>
          <w:tcPr>
            <w:tcW w:w="1751" w:type="dxa"/>
            <w:tcBorders>
              <w:top w:val="single" w:sz="4" w:space="0" w:color="auto"/>
              <w:left w:val="single" w:sz="4" w:space="0" w:color="auto"/>
              <w:bottom w:val="single" w:sz="4" w:space="0" w:color="auto"/>
              <w:right w:val="single" w:sz="4" w:space="0" w:color="auto"/>
            </w:tcBorders>
            <w:vAlign w:val="center"/>
          </w:tcPr>
          <w:p w14:paraId="43EE586B" w14:textId="7BA6538A" w:rsidR="007846DD" w:rsidRPr="00902CF9" w:rsidRDefault="007846DD" w:rsidP="007846DD">
            <w:pPr>
              <w:jc w:val="right"/>
              <w:rPr>
                <w:rFonts w:cs="Arial"/>
                <w:szCs w:val="20"/>
              </w:rPr>
            </w:pPr>
            <w:r w:rsidRPr="00CE0741">
              <w:rPr>
                <w:rFonts w:cs="Arial"/>
                <w:szCs w:val="20"/>
              </w:rPr>
              <w:t>$3</w:t>
            </w:r>
            <w:r>
              <w:rPr>
                <w:rFonts w:cs="Arial"/>
                <w:szCs w:val="20"/>
              </w:rPr>
              <w:t>66.</w:t>
            </w:r>
            <w:r w:rsidR="000359D0">
              <w:rPr>
                <w:rFonts w:cs="Arial"/>
                <w:szCs w:val="20"/>
              </w:rPr>
              <w:t>87</w:t>
            </w:r>
          </w:p>
        </w:tc>
      </w:tr>
      <w:tr w:rsidR="007846DD" w:rsidRPr="00902CF9" w14:paraId="0A1EF85E" w14:textId="77777777" w:rsidTr="007846DD">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77B43C05" w14:textId="3F0AECDC" w:rsidR="007846DD" w:rsidRPr="00902CF9" w:rsidRDefault="007846DD" w:rsidP="007846DD">
            <w:pPr>
              <w:rPr>
                <w:rFonts w:cs="Arial"/>
                <w:szCs w:val="20"/>
              </w:rPr>
            </w:pPr>
            <w:r w:rsidRPr="00E87C9A">
              <w:rPr>
                <w:rFonts w:cs="Arial"/>
                <w:bCs/>
                <w:spacing w:val="-3"/>
                <w:szCs w:val="20"/>
              </w:rPr>
              <w:t>DEXCOM G6 TRANSMITTER</w:t>
            </w:r>
          </w:p>
        </w:tc>
        <w:tc>
          <w:tcPr>
            <w:tcW w:w="1112" w:type="dxa"/>
            <w:tcBorders>
              <w:top w:val="single" w:sz="4" w:space="0" w:color="auto"/>
              <w:left w:val="single" w:sz="4" w:space="0" w:color="auto"/>
              <w:bottom w:val="single" w:sz="4" w:space="0" w:color="auto"/>
              <w:right w:val="single" w:sz="4" w:space="0" w:color="auto"/>
            </w:tcBorders>
            <w:vAlign w:val="center"/>
          </w:tcPr>
          <w:p w14:paraId="586F93BC" w14:textId="31BEB31D" w:rsidR="007846DD" w:rsidRPr="00902CF9" w:rsidRDefault="000359D0" w:rsidP="007846DD">
            <w:pPr>
              <w:jc w:val="center"/>
              <w:rPr>
                <w:rFonts w:cs="Arial"/>
                <w:szCs w:val="20"/>
              </w:rPr>
            </w:pPr>
            <w:r>
              <w:rPr>
                <w:rFonts w:cs="Arial"/>
                <w:bCs/>
                <w:spacing w:val="-3"/>
                <w:szCs w:val="20"/>
              </w:rPr>
              <w:t>8,367</w:t>
            </w:r>
          </w:p>
        </w:tc>
        <w:tc>
          <w:tcPr>
            <w:tcW w:w="1857" w:type="dxa"/>
            <w:tcBorders>
              <w:top w:val="single" w:sz="4" w:space="0" w:color="auto"/>
              <w:left w:val="single" w:sz="4" w:space="0" w:color="auto"/>
              <w:bottom w:val="single" w:sz="4" w:space="0" w:color="auto"/>
              <w:right w:val="single" w:sz="4" w:space="0" w:color="auto"/>
            </w:tcBorders>
            <w:vAlign w:val="center"/>
          </w:tcPr>
          <w:p w14:paraId="4B838051" w14:textId="0961394D" w:rsidR="007846DD" w:rsidRPr="00902CF9" w:rsidRDefault="007846DD" w:rsidP="007846DD">
            <w:pPr>
              <w:jc w:val="right"/>
              <w:rPr>
                <w:rFonts w:cs="Arial"/>
                <w:szCs w:val="20"/>
              </w:rPr>
            </w:pPr>
            <w:r w:rsidRPr="00835893">
              <w:rPr>
                <w:rFonts w:cs="Arial"/>
                <w:szCs w:val="20"/>
              </w:rPr>
              <w:t>$</w:t>
            </w:r>
            <w:r w:rsidR="000359D0">
              <w:rPr>
                <w:rFonts w:cs="Arial"/>
                <w:szCs w:val="20"/>
              </w:rPr>
              <w:t>2,030,688.00</w:t>
            </w:r>
          </w:p>
        </w:tc>
        <w:tc>
          <w:tcPr>
            <w:tcW w:w="1751" w:type="dxa"/>
            <w:tcBorders>
              <w:top w:val="single" w:sz="4" w:space="0" w:color="auto"/>
              <w:left w:val="single" w:sz="4" w:space="0" w:color="auto"/>
              <w:bottom w:val="single" w:sz="4" w:space="0" w:color="auto"/>
              <w:right w:val="single" w:sz="4" w:space="0" w:color="auto"/>
            </w:tcBorders>
            <w:vAlign w:val="center"/>
          </w:tcPr>
          <w:p w14:paraId="0EDE8848" w14:textId="394DA177" w:rsidR="007846DD" w:rsidRPr="00902CF9" w:rsidRDefault="007846DD" w:rsidP="007846DD">
            <w:pPr>
              <w:jc w:val="right"/>
              <w:rPr>
                <w:rFonts w:cs="Arial"/>
                <w:szCs w:val="20"/>
              </w:rPr>
            </w:pPr>
            <w:r w:rsidRPr="00835893">
              <w:rPr>
                <w:rFonts w:cs="Arial"/>
                <w:szCs w:val="20"/>
              </w:rPr>
              <w:t>$242.</w:t>
            </w:r>
            <w:r w:rsidR="000359D0">
              <w:rPr>
                <w:rFonts w:cs="Arial"/>
                <w:szCs w:val="20"/>
              </w:rPr>
              <w:t>7</w:t>
            </w:r>
            <w:r w:rsidRPr="00835893">
              <w:rPr>
                <w:rFonts w:cs="Arial"/>
                <w:szCs w:val="20"/>
              </w:rPr>
              <w:t>0</w:t>
            </w:r>
          </w:p>
        </w:tc>
      </w:tr>
      <w:tr w:rsidR="007846DD" w:rsidRPr="00902CF9" w14:paraId="5A77BEA3" w14:textId="77777777" w:rsidTr="007846DD">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5692DA97" w14:textId="1C48F905" w:rsidR="007846DD" w:rsidRPr="00902CF9" w:rsidRDefault="007846DD" w:rsidP="007846DD">
            <w:pPr>
              <w:rPr>
                <w:rFonts w:cs="Arial"/>
                <w:szCs w:val="20"/>
              </w:rPr>
            </w:pPr>
            <w:r w:rsidRPr="00F51C3E">
              <w:rPr>
                <w:rFonts w:cs="Arial"/>
                <w:bCs/>
                <w:spacing w:val="-3"/>
                <w:szCs w:val="20"/>
              </w:rPr>
              <w:t>DEXCOM G6 SENSOR</w:t>
            </w:r>
          </w:p>
        </w:tc>
        <w:tc>
          <w:tcPr>
            <w:tcW w:w="1112" w:type="dxa"/>
            <w:tcBorders>
              <w:top w:val="single" w:sz="4" w:space="0" w:color="auto"/>
              <w:left w:val="single" w:sz="4" w:space="0" w:color="auto"/>
              <w:bottom w:val="single" w:sz="4" w:space="0" w:color="auto"/>
              <w:right w:val="single" w:sz="4" w:space="0" w:color="auto"/>
            </w:tcBorders>
            <w:vAlign w:val="center"/>
          </w:tcPr>
          <w:p w14:paraId="5AD8BBAE" w14:textId="6734A2D8" w:rsidR="007846DD" w:rsidRPr="00902CF9" w:rsidRDefault="000359D0" w:rsidP="007846DD">
            <w:pPr>
              <w:jc w:val="center"/>
              <w:rPr>
                <w:rFonts w:cs="Arial"/>
                <w:szCs w:val="20"/>
              </w:rPr>
            </w:pPr>
            <w:r>
              <w:rPr>
                <w:rFonts w:cs="Arial"/>
                <w:bCs/>
                <w:spacing w:val="-3"/>
                <w:szCs w:val="20"/>
              </w:rPr>
              <w:t>23,382</w:t>
            </w:r>
          </w:p>
        </w:tc>
        <w:tc>
          <w:tcPr>
            <w:tcW w:w="1857" w:type="dxa"/>
            <w:tcBorders>
              <w:top w:val="single" w:sz="4" w:space="0" w:color="auto"/>
              <w:left w:val="single" w:sz="4" w:space="0" w:color="auto"/>
              <w:bottom w:val="single" w:sz="4" w:space="0" w:color="auto"/>
              <w:right w:val="single" w:sz="4" w:space="0" w:color="auto"/>
            </w:tcBorders>
            <w:vAlign w:val="center"/>
          </w:tcPr>
          <w:p w14:paraId="47A4EEDB" w14:textId="6E1892EF" w:rsidR="007846DD" w:rsidRPr="00902CF9" w:rsidRDefault="007846DD" w:rsidP="007846DD">
            <w:pPr>
              <w:jc w:val="right"/>
              <w:rPr>
                <w:rFonts w:cs="Arial"/>
                <w:szCs w:val="20"/>
              </w:rPr>
            </w:pPr>
            <w:r w:rsidRPr="00F51C3E">
              <w:rPr>
                <w:rFonts w:cs="Arial"/>
                <w:szCs w:val="20"/>
              </w:rPr>
              <w:t>$</w:t>
            </w:r>
            <w:r w:rsidR="000359D0">
              <w:rPr>
                <w:rFonts w:cs="Arial"/>
                <w:szCs w:val="20"/>
              </w:rPr>
              <w:t>8,482,959.08</w:t>
            </w:r>
          </w:p>
        </w:tc>
        <w:tc>
          <w:tcPr>
            <w:tcW w:w="1751" w:type="dxa"/>
            <w:tcBorders>
              <w:top w:val="single" w:sz="4" w:space="0" w:color="auto"/>
              <w:left w:val="single" w:sz="4" w:space="0" w:color="auto"/>
              <w:bottom w:val="single" w:sz="4" w:space="0" w:color="auto"/>
              <w:right w:val="single" w:sz="4" w:space="0" w:color="auto"/>
            </w:tcBorders>
            <w:vAlign w:val="center"/>
          </w:tcPr>
          <w:p w14:paraId="1D6C2FF0" w14:textId="5E137E22" w:rsidR="007846DD" w:rsidRPr="00902CF9" w:rsidRDefault="007846DD" w:rsidP="007846DD">
            <w:pPr>
              <w:jc w:val="right"/>
              <w:rPr>
                <w:rFonts w:cs="Arial"/>
                <w:szCs w:val="20"/>
              </w:rPr>
            </w:pPr>
            <w:r w:rsidRPr="00F51C3E">
              <w:rPr>
                <w:rFonts w:cs="Arial"/>
                <w:szCs w:val="20"/>
              </w:rPr>
              <w:t>$</w:t>
            </w:r>
            <w:r>
              <w:rPr>
                <w:rFonts w:cs="Arial"/>
                <w:szCs w:val="20"/>
              </w:rPr>
              <w:t>36</w:t>
            </w:r>
            <w:r w:rsidR="000359D0">
              <w:rPr>
                <w:rFonts w:cs="Arial"/>
                <w:szCs w:val="20"/>
              </w:rPr>
              <w:t>2.80</w:t>
            </w:r>
          </w:p>
        </w:tc>
      </w:tr>
      <w:tr w:rsidR="007846DD" w:rsidRPr="00902CF9" w14:paraId="79836731" w14:textId="77777777" w:rsidTr="007846DD">
        <w:trPr>
          <w:trHeight w:val="232"/>
          <w:jc w:val="center"/>
        </w:trPr>
        <w:tc>
          <w:tcPr>
            <w:tcW w:w="3506" w:type="dxa"/>
            <w:tcBorders>
              <w:top w:val="single" w:sz="4" w:space="0" w:color="auto"/>
              <w:left w:val="single" w:sz="4" w:space="0" w:color="auto"/>
              <w:bottom w:val="single" w:sz="4" w:space="0" w:color="auto"/>
              <w:right w:val="single" w:sz="4" w:space="0" w:color="auto"/>
            </w:tcBorders>
          </w:tcPr>
          <w:p w14:paraId="3E051B99" w14:textId="411AAC4D" w:rsidR="007846DD" w:rsidRPr="00F51C3E" w:rsidRDefault="007846DD" w:rsidP="007846DD">
            <w:pPr>
              <w:rPr>
                <w:rFonts w:cs="Arial"/>
                <w:bCs/>
                <w:spacing w:val="-3"/>
                <w:szCs w:val="20"/>
              </w:rPr>
            </w:pPr>
            <w:r w:rsidRPr="00F0797A">
              <w:rPr>
                <w:rFonts w:cs="Arial"/>
                <w:szCs w:val="20"/>
              </w:rPr>
              <w:t>DEXCOM G7 RECEIVER</w:t>
            </w:r>
          </w:p>
        </w:tc>
        <w:tc>
          <w:tcPr>
            <w:tcW w:w="1112" w:type="dxa"/>
            <w:tcBorders>
              <w:top w:val="single" w:sz="4" w:space="0" w:color="auto"/>
              <w:left w:val="single" w:sz="4" w:space="0" w:color="auto"/>
              <w:bottom w:val="single" w:sz="4" w:space="0" w:color="auto"/>
              <w:right w:val="single" w:sz="4" w:space="0" w:color="auto"/>
            </w:tcBorders>
            <w:vAlign w:val="bottom"/>
          </w:tcPr>
          <w:p w14:paraId="65008303" w14:textId="1B1B9354" w:rsidR="007846DD" w:rsidRDefault="007846DD" w:rsidP="007846DD">
            <w:pPr>
              <w:jc w:val="center"/>
              <w:rPr>
                <w:rFonts w:cs="Arial"/>
                <w:bCs/>
                <w:spacing w:val="-3"/>
                <w:szCs w:val="20"/>
              </w:rPr>
            </w:pPr>
            <w:r w:rsidRPr="00782C7B">
              <w:rPr>
                <w:rFonts w:cs="Arial"/>
                <w:szCs w:val="20"/>
              </w:rPr>
              <w:t>4,</w:t>
            </w:r>
            <w:r w:rsidR="00F078C2">
              <w:rPr>
                <w:rFonts w:cs="Arial"/>
                <w:szCs w:val="20"/>
              </w:rPr>
              <w:t>398</w:t>
            </w:r>
          </w:p>
        </w:tc>
        <w:tc>
          <w:tcPr>
            <w:tcW w:w="1857" w:type="dxa"/>
            <w:tcBorders>
              <w:top w:val="single" w:sz="4" w:space="0" w:color="auto"/>
              <w:left w:val="single" w:sz="4" w:space="0" w:color="auto"/>
              <w:bottom w:val="single" w:sz="4" w:space="0" w:color="auto"/>
              <w:right w:val="single" w:sz="4" w:space="0" w:color="auto"/>
            </w:tcBorders>
            <w:vAlign w:val="bottom"/>
          </w:tcPr>
          <w:p w14:paraId="5FAF0066" w14:textId="3ED746DC" w:rsidR="007846DD" w:rsidRPr="00F51C3E" w:rsidRDefault="007846DD" w:rsidP="007846DD">
            <w:pPr>
              <w:jc w:val="right"/>
              <w:rPr>
                <w:rFonts w:cs="Arial"/>
                <w:szCs w:val="20"/>
              </w:rPr>
            </w:pPr>
            <w:r w:rsidRPr="008A1E3A">
              <w:rPr>
                <w:rFonts w:cs="Arial"/>
                <w:szCs w:val="20"/>
              </w:rPr>
              <w:t>$</w:t>
            </w:r>
            <w:r w:rsidR="00C73C4E">
              <w:rPr>
                <w:rFonts w:cs="Arial"/>
                <w:szCs w:val="20"/>
              </w:rPr>
              <w:t>1,336,279.50</w:t>
            </w:r>
          </w:p>
        </w:tc>
        <w:tc>
          <w:tcPr>
            <w:tcW w:w="1751" w:type="dxa"/>
            <w:tcBorders>
              <w:top w:val="single" w:sz="4" w:space="0" w:color="auto"/>
              <w:left w:val="single" w:sz="4" w:space="0" w:color="auto"/>
              <w:bottom w:val="single" w:sz="4" w:space="0" w:color="auto"/>
              <w:right w:val="single" w:sz="4" w:space="0" w:color="auto"/>
            </w:tcBorders>
            <w:vAlign w:val="bottom"/>
          </w:tcPr>
          <w:p w14:paraId="57AF41FD" w14:textId="32D818A6" w:rsidR="007846DD" w:rsidRPr="00F51C3E" w:rsidRDefault="007846DD" w:rsidP="007846DD">
            <w:pPr>
              <w:jc w:val="right"/>
              <w:rPr>
                <w:rFonts w:cs="Arial"/>
                <w:szCs w:val="20"/>
              </w:rPr>
            </w:pPr>
            <w:r w:rsidRPr="008A1E3A">
              <w:rPr>
                <w:rFonts w:cs="Arial"/>
                <w:szCs w:val="20"/>
              </w:rPr>
              <w:t>$</w:t>
            </w:r>
            <w:r w:rsidR="00C73C4E">
              <w:rPr>
                <w:rFonts w:cs="Arial"/>
                <w:szCs w:val="20"/>
              </w:rPr>
              <w:t>303.84</w:t>
            </w:r>
          </w:p>
        </w:tc>
      </w:tr>
      <w:tr w:rsidR="007846DD" w:rsidRPr="00902CF9" w14:paraId="00A1F3CF" w14:textId="77777777" w:rsidTr="007846DD">
        <w:trPr>
          <w:trHeight w:val="232"/>
          <w:jc w:val="center"/>
        </w:trPr>
        <w:tc>
          <w:tcPr>
            <w:tcW w:w="3506" w:type="dxa"/>
            <w:tcBorders>
              <w:top w:val="single" w:sz="4" w:space="0" w:color="auto"/>
              <w:left w:val="single" w:sz="4" w:space="0" w:color="auto"/>
              <w:bottom w:val="single" w:sz="4" w:space="0" w:color="auto"/>
              <w:right w:val="single" w:sz="4" w:space="0" w:color="auto"/>
            </w:tcBorders>
          </w:tcPr>
          <w:p w14:paraId="08CD4351" w14:textId="6012ED64" w:rsidR="007846DD" w:rsidRPr="00401833" w:rsidRDefault="007846DD" w:rsidP="007846DD">
            <w:pPr>
              <w:rPr>
                <w:rFonts w:cs="Arial"/>
                <w:szCs w:val="20"/>
              </w:rPr>
            </w:pPr>
            <w:r w:rsidRPr="00401833">
              <w:rPr>
                <w:rFonts w:cs="Arial"/>
                <w:szCs w:val="20"/>
              </w:rPr>
              <w:t>DEXCOM G7 SENSOR</w:t>
            </w:r>
          </w:p>
        </w:tc>
        <w:tc>
          <w:tcPr>
            <w:tcW w:w="1112" w:type="dxa"/>
            <w:tcBorders>
              <w:top w:val="single" w:sz="4" w:space="0" w:color="auto"/>
              <w:left w:val="single" w:sz="4" w:space="0" w:color="auto"/>
              <w:bottom w:val="single" w:sz="4" w:space="0" w:color="auto"/>
              <w:right w:val="single" w:sz="4" w:space="0" w:color="auto"/>
            </w:tcBorders>
            <w:vAlign w:val="bottom"/>
          </w:tcPr>
          <w:p w14:paraId="459C201D" w14:textId="5F394035" w:rsidR="007846DD" w:rsidRPr="00401833" w:rsidRDefault="00401833" w:rsidP="007846DD">
            <w:pPr>
              <w:jc w:val="center"/>
              <w:rPr>
                <w:rFonts w:cs="Arial"/>
                <w:szCs w:val="20"/>
              </w:rPr>
            </w:pPr>
            <w:r w:rsidRPr="00401833">
              <w:rPr>
                <w:rFonts w:cs="Arial"/>
                <w:szCs w:val="20"/>
              </w:rPr>
              <w:t>79,038</w:t>
            </w:r>
          </w:p>
        </w:tc>
        <w:tc>
          <w:tcPr>
            <w:tcW w:w="1857" w:type="dxa"/>
            <w:tcBorders>
              <w:top w:val="single" w:sz="4" w:space="0" w:color="auto"/>
              <w:left w:val="single" w:sz="4" w:space="0" w:color="auto"/>
              <w:bottom w:val="single" w:sz="4" w:space="0" w:color="auto"/>
              <w:right w:val="single" w:sz="4" w:space="0" w:color="auto"/>
            </w:tcBorders>
            <w:vAlign w:val="bottom"/>
          </w:tcPr>
          <w:p w14:paraId="1188E064" w14:textId="69D4B321" w:rsidR="007846DD" w:rsidRPr="00401833" w:rsidRDefault="007846DD" w:rsidP="007846DD">
            <w:pPr>
              <w:jc w:val="right"/>
              <w:rPr>
                <w:rFonts w:cs="Arial"/>
                <w:szCs w:val="20"/>
              </w:rPr>
            </w:pPr>
            <w:r w:rsidRPr="00401833">
              <w:rPr>
                <w:rFonts w:cs="Arial"/>
                <w:szCs w:val="20"/>
              </w:rPr>
              <w:t>$</w:t>
            </w:r>
            <w:r w:rsidR="00401833" w:rsidRPr="00401833">
              <w:rPr>
                <w:rFonts w:cs="Arial"/>
                <w:szCs w:val="20"/>
              </w:rPr>
              <w:t>27,938,317.90</w:t>
            </w:r>
          </w:p>
        </w:tc>
        <w:tc>
          <w:tcPr>
            <w:tcW w:w="1751" w:type="dxa"/>
            <w:tcBorders>
              <w:top w:val="single" w:sz="4" w:space="0" w:color="auto"/>
              <w:left w:val="single" w:sz="4" w:space="0" w:color="auto"/>
              <w:bottom w:val="single" w:sz="4" w:space="0" w:color="auto"/>
              <w:right w:val="single" w:sz="4" w:space="0" w:color="auto"/>
            </w:tcBorders>
            <w:vAlign w:val="bottom"/>
          </w:tcPr>
          <w:p w14:paraId="4B15065D" w14:textId="361431BA" w:rsidR="007846DD" w:rsidRPr="008A1E3A" w:rsidRDefault="007846DD" w:rsidP="007846DD">
            <w:pPr>
              <w:jc w:val="right"/>
              <w:rPr>
                <w:rFonts w:cs="Arial"/>
                <w:szCs w:val="20"/>
              </w:rPr>
            </w:pPr>
            <w:r w:rsidRPr="00401833">
              <w:rPr>
                <w:rFonts w:cs="Arial"/>
                <w:szCs w:val="20"/>
              </w:rPr>
              <w:t>$35</w:t>
            </w:r>
            <w:r w:rsidR="00401833" w:rsidRPr="00401833">
              <w:rPr>
                <w:rFonts w:cs="Arial"/>
                <w:szCs w:val="20"/>
              </w:rPr>
              <w:t>3.48</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2937D3" w:rsidR="0097028A" w:rsidRPr="0079438F" w:rsidRDefault="0097028A" w:rsidP="00696E3A">
      <w:pPr>
        <w:rPr>
          <w:b/>
        </w:rPr>
      </w:pPr>
      <w:r w:rsidRPr="00696E3A">
        <w:rPr>
          <w:b/>
          <w:bCs/>
        </w:rPr>
        <w:t>Drug class for review:</w:t>
      </w:r>
      <w:r w:rsidRPr="00C02553">
        <w:t xml:space="preserve"> </w:t>
      </w:r>
      <w:r w:rsidR="00924D81" w:rsidRPr="00924D81">
        <w:t>Continuous Glucose Monitors (CGMs)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AC6570F" w14:textId="77777777" w:rsidR="00EB7054" w:rsidRDefault="00EB7054" w:rsidP="00EB7054">
      <w:pPr>
        <w:pStyle w:val="ListParagraph"/>
        <w:numPr>
          <w:ilvl w:val="0"/>
          <w:numId w:val="16"/>
        </w:numPr>
        <w:rPr>
          <w:rFonts w:cs="Arial"/>
          <w:bCs/>
          <w:szCs w:val="20"/>
        </w:rPr>
      </w:pPr>
      <w:r>
        <w:rPr>
          <w:rFonts w:cs="Arial"/>
          <w:bCs/>
          <w:szCs w:val="20"/>
        </w:rPr>
        <w:t>Must meet one of the following:</w:t>
      </w:r>
    </w:p>
    <w:p w14:paraId="2606CD17" w14:textId="77777777" w:rsidR="00EB7054" w:rsidRPr="00530850" w:rsidRDefault="00EB7054" w:rsidP="00EB7054">
      <w:pPr>
        <w:pStyle w:val="ListParagraph"/>
        <w:numPr>
          <w:ilvl w:val="1"/>
          <w:numId w:val="16"/>
        </w:numPr>
        <w:rPr>
          <w:rFonts w:cs="Arial"/>
          <w:bCs/>
          <w:szCs w:val="20"/>
        </w:rPr>
      </w:pPr>
      <w:r>
        <w:rPr>
          <w:rFonts w:cs="Arial"/>
          <w:bCs/>
          <w:szCs w:val="20"/>
        </w:rPr>
        <w:t xml:space="preserve">Participant requires </w:t>
      </w:r>
      <w:r w:rsidRPr="0052545B">
        <w:rPr>
          <w:rFonts w:cs="Arial"/>
          <w:bCs/>
          <w:szCs w:val="20"/>
        </w:rPr>
        <w:t>any</w:t>
      </w:r>
      <w:r>
        <w:rPr>
          <w:rFonts w:cs="Arial"/>
          <w:b/>
          <w:color w:val="0070C0"/>
          <w:szCs w:val="20"/>
        </w:rPr>
        <w:t xml:space="preserve"> </w:t>
      </w:r>
      <w:r>
        <w:rPr>
          <w:rFonts w:cs="Arial"/>
          <w:bCs/>
          <w:szCs w:val="20"/>
        </w:rPr>
        <w:t xml:space="preserve">insulin </w:t>
      </w:r>
      <w:proofErr w:type="gramStart"/>
      <w:r>
        <w:rPr>
          <w:rFonts w:cs="Arial"/>
          <w:bCs/>
          <w:szCs w:val="20"/>
        </w:rPr>
        <w:t>administration</w:t>
      </w:r>
      <w:r>
        <w:rPr>
          <w:rFonts w:cs="Arial"/>
          <w:b/>
          <w:szCs w:val="20"/>
        </w:rPr>
        <w:t>;</w:t>
      </w:r>
      <w:proofErr w:type="gramEnd"/>
    </w:p>
    <w:p w14:paraId="6DF6C1E5" w14:textId="77777777" w:rsidR="00EB7054" w:rsidRPr="00D05214" w:rsidRDefault="00EB7054" w:rsidP="00EB7054">
      <w:pPr>
        <w:pStyle w:val="ListParagraph"/>
        <w:numPr>
          <w:ilvl w:val="1"/>
          <w:numId w:val="16"/>
        </w:numPr>
        <w:rPr>
          <w:rFonts w:cs="Arial"/>
          <w:bCs/>
          <w:szCs w:val="20"/>
        </w:rPr>
      </w:pPr>
      <w:r w:rsidRPr="00D05214">
        <w:rPr>
          <w:rFonts w:cs="Arial"/>
          <w:bCs/>
          <w:szCs w:val="20"/>
        </w:rPr>
        <w:t>Participant has a history of hypoglycemia, a hypoglycemic event, or a comorbidity that poses an unusual challenge with concomitant hypoglycemia or hyperglycemia (e.g., uncontrolled epilepsy</w:t>
      </w:r>
      <w:proofErr w:type="gramStart"/>
      <w:r w:rsidRPr="00D05214">
        <w:rPr>
          <w:rFonts w:cs="Arial"/>
          <w:bCs/>
          <w:szCs w:val="20"/>
        </w:rPr>
        <w:t>)</w:t>
      </w:r>
      <w:r>
        <w:rPr>
          <w:rFonts w:cs="Arial"/>
          <w:bCs/>
          <w:szCs w:val="20"/>
        </w:rPr>
        <w:t>;</w:t>
      </w:r>
      <w:proofErr w:type="gramEnd"/>
      <w:r w:rsidRPr="00D05214">
        <w:rPr>
          <w:rFonts w:cs="Arial"/>
          <w:bCs/>
          <w:szCs w:val="20"/>
        </w:rPr>
        <w:t xml:space="preserve"> </w:t>
      </w:r>
    </w:p>
    <w:p w14:paraId="2E796687" w14:textId="77777777" w:rsidR="00EB7054" w:rsidRPr="00535AF2" w:rsidRDefault="00EB7054" w:rsidP="00EB7054">
      <w:pPr>
        <w:pStyle w:val="ListParagraph"/>
        <w:numPr>
          <w:ilvl w:val="1"/>
          <w:numId w:val="16"/>
        </w:numPr>
        <w:rPr>
          <w:rFonts w:cs="Arial"/>
          <w:bCs/>
          <w:szCs w:val="20"/>
        </w:rPr>
      </w:pPr>
      <w:r w:rsidRPr="00D05214">
        <w:rPr>
          <w:rFonts w:cs="Arial"/>
          <w:bCs/>
          <w:szCs w:val="20"/>
        </w:rPr>
        <w:t xml:space="preserve">Participant is visually </w:t>
      </w:r>
      <w:proofErr w:type="gramStart"/>
      <w:r w:rsidRPr="00D05214">
        <w:rPr>
          <w:rFonts w:cs="Arial"/>
          <w:bCs/>
          <w:szCs w:val="20"/>
        </w:rPr>
        <w:t>impaired</w:t>
      </w:r>
      <w:r>
        <w:rPr>
          <w:rFonts w:cs="Arial"/>
          <w:bCs/>
          <w:szCs w:val="20"/>
        </w:rPr>
        <w:t>;</w:t>
      </w:r>
      <w:proofErr w:type="gramEnd"/>
      <w:r>
        <w:rPr>
          <w:rFonts w:cs="Arial"/>
          <w:bCs/>
          <w:szCs w:val="20"/>
        </w:rPr>
        <w:t xml:space="preserve"> </w:t>
      </w:r>
      <w:r>
        <w:rPr>
          <w:rFonts w:cs="Arial"/>
          <w:b/>
          <w:szCs w:val="20"/>
        </w:rPr>
        <w:t>OR</w:t>
      </w:r>
    </w:p>
    <w:p w14:paraId="025F1819" w14:textId="77777777" w:rsidR="00EB7054" w:rsidRPr="00535AF2" w:rsidRDefault="00EB7054" w:rsidP="00EB7054">
      <w:pPr>
        <w:pStyle w:val="ListParagraph"/>
        <w:numPr>
          <w:ilvl w:val="1"/>
          <w:numId w:val="16"/>
        </w:numPr>
        <w:rPr>
          <w:rFonts w:cs="Arial"/>
          <w:bCs/>
          <w:szCs w:val="20"/>
        </w:rPr>
      </w:pPr>
      <w:r w:rsidRPr="00535AF2">
        <w:rPr>
          <w:rFonts w:cs="Arial"/>
          <w:bCs/>
          <w:szCs w:val="20"/>
        </w:rPr>
        <w:lastRenderedPageBreak/>
        <w:t>Participant has a diagnosis of gestational diabetes</w:t>
      </w:r>
      <w:r w:rsidRPr="00535AF2">
        <w:rPr>
          <w:rFonts w:cs="Arial"/>
          <w:b/>
          <w:szCs w:val="20"/>
        </w:rPr>
        <w:t xml:space="preserve"> </w:t>
      </w:r>
      <w:r w:rsidRPr="00EB7054">
        <w:rPr>
          <w:rFonts w:cs="Arial"/>
          <w:bCs/>
          <w:szCs w:val="20"/>
        </w:rPr>
        <w:t xml:space="preserve">or pre-existing diabetes in pregnancy </w:t>
      </w:r>
      <w:r w:rsidRPr="00535AF2">
        <w:rPr>
          <w:rFonts w:cs="Arial"/>
          <w:bCs/>
          <w:szCs w:val="20"/>
        </w:rPr>
        <w:t>in the past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489B2307" w14:textId="77777777" w:rsidR="00CC6937" w:rsidRPr="007769BB" w:rsidRDefault="00CC6937" w:rsidP="00CC6937">
      <w:pPr>
        <w:pStyle w:val="ListParagraph"/>
        <w:numPr>
          <w:ilvl w:val="1"/>
          <w:numId w:val="6"/>
        </w:numPr>
        <w:rPr>
          <w:rFonts w:cs="Arial"/>
          <w:noProof/>
          <w:szCs w:val="20"/>
        </w:rPr>
      </w:pPr>
      <w:r>
        <w:rPr>
          <w:rFonts w:cs="Arial"/>
          <w:noProof/>
          <w:szCs w:val="20"/>
        </w:rPr>
        <w:t xml:space="preserve">Any approval criteria are not met; </w:t>
      </w:r>
      <w:r>
        <w:rPr>
          <w:rFonts w:cs="Arial"/>
          <w:b/>
          <w:bCs/>
          <w:noProof/>
          <w:szCs w:val="20"/>
        </w:rPr>
        <w:t>OR</w:t>
      </w:r>
    </w:p>
    <w:p w14:paraId="029B9C56" w14:textId="77777777" w:rsidR="00CC6937" w:rsidRPr="007769BB" w:rsidRDefault="00CC6937" w:rsidP="00CC6937">
      <w:pPr>
        <w:pStyle w:val="ListParagraph"/>
        <w:numPr>
          <w:ilvl w:val="1"/>
          <w:numId w:val="6"/>
        </w:numPr>
        <w:rPr>
          <w:rFonts w:cs="Arial"/>
          <w:noProof/>
          <w:szCs w:val="20"/>
        </w:rPr>
      </w:pPr>
      <w:r w:rsidRPr="007769BB">
        <w:rPr>
          <w:rFonts w:cs="Arial"/>
          <w:noProof/>
          <w:szCs w:val="20"/>
        </w:rPr>
        <w:t>Claim exceeds quantity limitations:</w:t>
      </w:r>
    </w:p>
    <w:p w14:paraId="26C94C16" w14:textId="77777777" w:rsidR="00CC6937" w:rsidRPr="005E29C0" w:rsidRDefault="00CC6937" w:rsidP="00CC6937">
      <w:pPr>
        <w:pStyle w:val="ListParagraph"/>
        <w:numPr>
          <w:ilvl w:val="2"/>
          <w:numId w:val="6"/>
        </w:numPr>
        <w:rPr>
          <w:rFonts w:cs="Arial"/>
          <w:noProof/>
          <w:szCs w:val="20"/>
        </w:rPr>
      </w:pPr>
      <w:r>
        <w:rPr>
          <w:rFonts w:cs="Arial"/>
          <w:noProof/>
          <w:szCs w:val="20"/>
        </w:rPr>
        <w:t>1 r</w:t>
      </w:r>
      <w:r w:rsidRPr="005E29C0">
        <w:rPr>
          <w:rFonts w:cs="Arial"/>
          <w:noProof/>
          <w:szCs w:val="20"/>
        </w:rPr>
        <w:t>e</w:t>
      </w:r>
      <w:r>
        <w:rPr>
          <w:rFonts w:cs="Arial"/>
          <w:noProof/>
          <w:szCs w:val="20"/>
        </w:rPr>
        <w:t>ceiver</w:t>
      </w:r>
      <w:r w:rsidRPr="005E29C0">
        <w:rPr>
          <w:rFonts w:cs="Arial"/>
          <w:noProof/>
          <w:szCs w:val="20"/>
        </w:rPr>
        <w:t xml:space="preserve"> every 3</w:t>
      </w:r>
      <w:r>
        <w:rPr>
          <w:rFonts w:cs="Arial"/>
          <w:noProof/>
          <w:szCs w:val="20"/>
        </w:rPr>
        <w:t>10</w:t>
      </w:r>
      <w:r w:rsidRPr="005E29C0">
        <w:rPr>
          <w:rFonts w:cs="Arial"/>
          <w:noProof/>
          <w:szCs w:val="20"/>
        </w:rPr>
        <w:t xml:space="preserve"> days</w:t>
      </w:r>
    </w:p>
    <w:p w14:paraId="1378AE5B" w14:textId="77777777" w:rsidR="00CC6937" w:rsidRPr="005E29C0" w:rsidRDefault="00CC6937" w:rsidP="00CC6937">
      <w:pPr>
        <w:pStyle w:val="ListParagraph"/>
        <w:numPr>
          <w:ilvl w:val="2"/>
          <w:numId w:val="6"/>
        </w:numPr>
        <w:rPr>
          <w:rFonts w:cs="Arial"/>
          <w:noProof/>
          <w:szCs w:val="20"/>
        </w:rPr>
      </w:pPr>
      <w:r>
        <w:rPr>
          <w:rFonts w:cs="Arial"/>
          <w:noProof/>
          <w:szCs w:val="20"/>
        </w:rPr>
        <w:t>1 tr</w:t>
      </w:r>
      <w:r w:rsidRPr="005E29C0">
        <w:rPr>
          <w:rFonts w:cs="Arial"/>
          <w:noProof/>
          <w:szCs w:val="20"/>
        </w:rPr>
        <w:t xml:space="preserve">ansmitter every </w:t>
      </w:r>
      <w:r>
        <w:rPr>
          <w:rFonts w:cs="Arial"/>
          <w:noProof/>
          <w:szCs w:val="20"/>
        </w:rPr>
        <w:t>76</w:t>
      </w:r>
      <w:r w:rsidRPr="005E29C0">
        <w:rPr>
          <w:rFonts w:cs="Arial"/>
          <w:noProof/>
          <w:szCs w:val="20"/>
        </w:rPr>
        <w:t xml:space="preserve"> days</w:t>
      </w:r>
    </w:p>
    <w:p w14:paraId="17C592AE" w14:textId="0D8BF0B0" w:rsidR="00CC6937" w:rsidRPr="008E64A3" w:rsidRDefault="00CC6937" w:rsidP="00CC6937">
      <w:pPr>
        <w:pStyle w:val="ListParagraph"/>
        <w:numPr>
          <w:ilvl w:val="2"/>
          <w:numId w:val="6"/>
        </w:numPr>
        <w:rPr>
          <w:rFonts w:cs="Arial"/>
          <w:b/>
          <w:bCs/>
          <w:noProof/>
          <w:color w:val="1F497D" w:themeColor="text2"/>
          <w:szCs w:val="20"/>
        </w:rPr>
      </w:pPr>
      <w:r w:rsidRPr="005E29C0">
        <w:rPr>
          <w:rFonts w:cs="Arial"/>
          <w:noProof/>
          <w:szCs w:val="20"/>
        </w:rPr>
        <w:t xml:space="preserve">3 sensors every </w:t>
      </w:r>
      <w:r>
        <w:rPr>
          <w:rFonts w:cs="Arial"/>
          <w:noProof/>
          <w:szCs w:val="20"/>
        </w:rPr>
        <w:t>25</w:t>
      </w:r>
      <w:r w:rsidRPr="005E29C0">
        <w:rPr>
          <w:rFonts w:cs="Arial"/>
          <w:noProof/>
          <w:szCs w:val="20"/>
        </w:rPr>
        <w:t xml:space="preserve"> days</w:t>
      </w:r>
      <w:r w:rsidR="008E64A3">
        <w:rPr>
          <w:rFonts w:cs="Arial"/>
          <w:noProof/>
          <w:szCs w:val="20"/>
        </w:rPr>
        <w:t xml:space="preserve"> </w:t>
      </w:r>
      <w:r w:rsidR="008E64A3" w:rsidRPr="008E64A3">
        <w:rPr>
          <w:rFonts w:cs="Arial"/>
          <w:b/>
          <w:bCs/>
          <w:noProof/>
          <w:color w:val="1F497D" w:themeColor="text2"/>
          <w:szCs w:val="20"/>
        </w:rPr>
        <w:t>(Dexcom G7 Sensor – 10day)</w:t>
      </w:r>
    </w:p>
    <w:p w14:paraId="4943FEC4" w14:textId="2557CD4B" w:rsidR="008E64A3" w:rsidRPr="008E64A3" w:rsidRDefault="008E64A3" w:rsidP="00CC6937">
      <w:pPr>
        <w:pStyle w:val="ListParagraph"/>
        <w:numPr>
          <w:ilvl w:val="2"/>
          <w:numId w:val="6"/>
        </w:numPr>
        <w:rPr>
          <w:rFonts w:cs="Arial"/>
          <w:b/>
          <w:bCs/>
          <w:noProof/>
          <w:color w:val="1F497D" w:themeColor="text2"/>
          <w:szCs w:val="20"/>
        </w:rPr>
      </w:pPr>
      <w:r w:rsidRPr="008E64A3">
        <w:rPr>
          <w:rFonts w:cs="Arial"/>
          <w:b/>
          <w:bCs/>
          <w:noProof/>
          <w:color w:val="1F497D" w:themeColor="text2"/>
          <w:szCs w:val="20"/>
        </w:rPr>
        <w:t>2 sensors every 25 days (Dexcom G7 Sensor – 15day)</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0CC950F4" w:rsidR="005F6104" w:rsidRPr="00C02553" w:rsidRDefault="005F6104" w:rsidP="005F6104">
      <w:r w:rsidRPr="00696E3A">
        <w:rPr>
          <w:b/>
          <w:bCs/>
        </w:rPr>
        <w:t>Rule Type:</w:t>
      </w:r>
      <w:r w:rsidRPr="00C02553">
        <w:t xml:space="preserve"> </w:t>
      </w:r>
      <w:r w:rsidR="00CC6937">
        <w:t>N</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1B0B998" w14:textId="619FBEBD" w:rsidR="00970CFB" w:rsidRPr="008E178A" w:rsidRDefault="00970CFB" w:rsidP="00970CFB">
      <w:pPr>
        <w:pStyle w:val="ListParagraph"/>
      </w:pPr>
      <w:r w:rsidRPr="008E178A">
        <w:t xml:space="preserve">DEXCOM.  </w:t>
      </w:r>
      <w:hyperlink r:id="rId11" w:history="1">
        <w:r w:rsidRPr="008E178A">
          <w:rPr>
            <w:rStyle w:val="Hyperlink"/>
            <w:rFonts w:cs="Arial"/>
            <w:sz w:val="18"/>
            <w:szCs w:val="18"/>
          </w:rPr>
          <w:t>Continuous Glucose Monitoring for Healthcare Professionals | Dexcom Provider</w:t>
        </w:r>
      </w:hyperlink>
      <w:r w:rsidRPr="008E178A">
        <w:t>.  Accessed</w:t>
      </w:r>
      <w:r>
        <w:t xml:space="preserve"> </w:t>
      </w:r>
      <w:r w:rsidR="008E64A3">
        <w:t>March</w:t>
      </w:r>
      <w:r>
        <w:t xml:space="preserve"> </w:t>
      </w:r>
      <w:r w:rsidR="008E64A3">
        <w:t>3</w:t>
      </w:r>
      <w:r>
        <w:t>, 202</w:t>
      </w:r>
      <w:r w:rsidR="008E64A3">
        <w:t>6</w:t>
      </w:r>
      <w:r w:rsidRPr="008E178A">
        <w:t>.</w:t>
      </w:r>
    </w:p>
    <w:p w14:paraId="3FA1E7DB" w14:textId="33701C6E" w:rsidR="00777CA4" w:rsidRDefault="00970CFB" w:rsidP="000840C6">
      <w:pPr>
        <w:pStyle w:val="ListParagraph"/>
      </w:pPr>
      <w:r w:rsidRPr="008E178A">
        <w:t xml:space="preserve">Grunberger G, Sherr J, Allende M, et al. American Association of Clinical Endocrinology Clinical Practice Guideline: The Use of Advanced Technology in the Management of Persons </w:t>
      </w:r>
      <w:proofErr w:type="gramStart"/>
      <w:r w:rsidRPr="008E178A">
        <w:t>With</w:t>
      </w:r>
      <w:proofErr w:type="gramEnd"/>
      <w:r w:rsidRPr="008E178A">
        <w:t xml:space="preserve"> Diabetes Mellitus. </w:t>
      </w:r>
      <w:proofErr w:type="spellStart"/>
      <w:r w:rsidRPr="008E178A">
        <w:t>Endocr</w:t>
      </w:r>
      <w:proofErr w:type="spellEnd"/>
      <w:r w:rsidRPr="008E178A">
        <w:t xml:space="preserve"> </w:t>
      </w:r>
      <w:proofErr w:type="spellStart"/>
      <w:r w:rsidRPr="008E178A">
        <w:t>Pract</w:t>
      </w:r>
      <w:proofErr w:type="spellEnd"/>
      <w:r w:rsidRPr="008E178A">
        <w:t xml:space="preserve">. 2021;27(6):505-537. </w:t>
      </w:r>
      <w:hyperlink r:id="rId12" w:history="1">
        <w:r w:rsidRPr="00970CFB">
          <w:rPr>
            <w:color w:val="0000FF"/>
            <w:u w:val="single"/>
          </w:rPr>
          <w:t>American Association of Clinical Endocrinology Clinical Practice Guideline: The Use of Advanced Technology in the Management of Persons With Diabetes Mellitus (endocrinepractice.org)</w:t>
        </w:r>
      </w:hyperlink>
      <w:r w:rsidRPr="008E178A">
        <w:t xml:space="preserve"> </w:t>
      </w:r>
      <w:proofErr w:type="gramStart"/>
      <w:r w:rsidRPr="008E178A">
        <w:t>doi:10.1016/j.eprac</w:t>
      </w:r>
      <w:proofErr w:type="gramEnd"/>
      <w:r w:rsidRPr="008E178A">
        <w:t>.2021.04.008</w:t>
      </w:r>
      <w:r w:rsidR="00777CA4">
        <w:t>.</w:t>
      </w: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5421" w14:textId="77777777" w:rsidR="00FC2CB6" w:rsidRPr="00C02553" w:rsidRDefault="00FC2CB6" w:rsidP="00AE77DB">
      <w:r w:rsidRPr="00C02553">
        <w:separator/>
      </w:r>
    </w:p>
  </w:endnote>
  <w:endnote w:type="continuationSeparator" w:id="0">
    <w:p w14:paraId="110250D2" w14:textId="77777777" w:rsidR="00FC2CB6" w:rsidRPr="00C02553" w:rsidRDefault="00FC2CB6" w:rsidP="00AE77DB">
      <w:r w:rsidRPr="00C02553">
        <w:continuationSeparator/>
      </w:r>
    </w:p>
  </w:endnote>
  <w:endnote w:type="continuationNotice" w:id="1">
    <w:p w14:paraId="48E01B38" w14:textId="77777777" w:rsidR="00FC2CB6" w:rsidRPr="00C02553" w:rsidRDefault="00FC2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CD09" w14:textId="77777777" w:rsidR="00FC2CB6" w:rsidRPr="00C02553" w:rsidRDefault="00FC2CB6" w:rsidP="00AE77DB">
      <w:r w:rsidRPr="00C02553">
        <w:separator/>
      </w:r>
    </w:p>
  </w:footnote>
  <w:footnote w:type="continuationSeparator" w:id="0">
    <w:p w14:paraId="069D4B28" w14:textId="77777777" w:rsidR="00FC2CB6" w:rsidRPr="00C02553" w:rsidRDefault="00FC2CB6" w:rsidP="00AE77DB">
      <w:r w:rsidRPr="00C02553">
        <w:continuationSeparator/>
      </w:r>
    </w:p>
  </w:footnote>
  <w:footnote w:type="continuationNotice" w:id="1">
    <w:p w14:paraId="0019B4C5" w14:textId="77777777" w:rsidR="00FC2CB6" w:rsidRPr="00C02553" w:rsidRDefault="00FC2C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643D52"/>
    <w:multiLevelType w:val="hybridMultilevel"/>
    <w:tmpl w:val="455C4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399593373">
    <w:abstractNumId w:val="13"/>
  </w:num>
  <w:num w:numId="17" w16cid:durableId="1874802072">
    <w:abstractNumId w:val="16"/>
  </w:num>
  <w:num w:numId="18" w16cid:durableId="144673111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EOLwszUiNHoeAGdomkiRTtuAvEk3iMDvMkZ8inz8qVpbtLEadSQPyN02O4Pqg5NPiC6ZYMEs0SrvEL2Vd7ZLg==" w:salt="8VJYtZUvlWuldewwCNKfm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359D0"/>
    <w:rsid w:val="00040AD3"/>
    <w:rsid w:val="000435F0"/>
    <w:rsid w:val="00053807"/>
    <w:rsid w:val="000572E5"/>
    <w:rsid w:val="00061541"/>
    <w:rsid w:val="00064162"/>
    <w:rsid w:val="00065C22"/>
    <w:rsid w:val="00074464"/>
    <w:rsid w:val="00076030"/>
    <w:rsid w:val="00082590"/>
    <w:rsid w:val="000913C3"/>
    <w:rsid w:val="000953B9"/>
    <w:rsid w:val="000A2D17"/>
    <w:rsid w:val="000A413B"/>
    <w:rsid w:val="000A4EA5"/>
    <w:rsid w:val="000A6279"/>
    <w:rsid w:val="000B496B"/>
    <w:rsid w:val="000C3940"/>
    <w:rsid w:val="000C5992"/>
    <w:rsid w:val="000E1479"/>
    <w:rsid w:val="000E231E"/>
    <w:rsid w:val="000E247D"/>
    <w:rsid w:val="000E6B14"/>
    <w:rsid w:val="000E70D8"/>
    <w:rsid w:val="000F4ED6"/>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94921"/>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5A06"/>
    <w:rsid w:val="003878C1"/>
    <w:rsid w:val="00396C0B"/>
    <w:rsid w:val="003A4B6F"/>
    <w:rsid w:val="003A630F"/>
    <w:rsid w:val="003B3958"/>
    <w:rsid w:val="003B4820"/>
    <w:rsid w:val="003B5F4B"/>
    <w:rsid w:val="003B682F"/>
    <w:rsid w:val="003C53FC"/>
    <w:rsid w:val="003C7013"/>
    <w:rsid w:val="003D4704"/>
    <w:rsid w:val="003D641B"/>
    <w:rsid w:val="003F227C"/>
    <w:rsid w:val="00401833"/>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0724D"/>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742"/>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846DD"/>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07BCD"/>
    <w:rsid w:val="00811A70"/>
    <w:rsid w:val="0081406E"/>
    <w:rsid w:val="00824254"/>
    <w:rsid w:val="00832211"/>
    <w:rsid w:val="008325F4"/>
    <w:rsid w:val="00832AC8"/>
    <w:rsid w:val="008366D9"/>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64A3"/>
    <w:rsid w:val="008E7D2D"/>
    <w:rsid w:val="008F44C0"/>
    <w:rsid w:val="008F5999"/>
    <w:rsid w:val="00903AD6"/>
    <w:rsid w:val="00904D7A"/>
    <w:rsid w:val="00906C9E"/>
    <w:rsid w:val="00915332"/>
    <w:rsid w:val="009204BB"/>
    <w:rsid w:val="00924D81"/>
    <w:rsid w:val="00935918"/>
    <w:rsid w:val="00935EC3"/>
    <w:rsid w:val="00951097"/>
    <w:rsid w:val="00953C1E"/>
    <w:rsid w:val="0096210F"/>
    <w:rsid w:val="00962633"/>
    <w:rsid w:val="00963187"/>
    <w:rsid w:val="00963ACF"/>
    <w:rsid w:val="00963D1C"/>
    <w:rsid w:val="00964284"/>
    <w:rsid w:val="0097028A"/>
    <w:rsid w:val="00970CFB"/>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3D5A"/>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47EF"/>
    <w:rsid w:val="00B758AB"/>
    <w:rsid w:val="00B75C33"/>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1F2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3C4E"/>
    <w:rsid w:val="00C763BD"/>
    <w:rsid w:val="00C779A8"/>
    <w:rsid w:val="00C82E19"/>
    <w:rsid w:val="00C96873"/>
    <w:rsid w:val="00CA1735"/>
    <w:rsid w:val="00CA207E"/>
    <w:rsid w:val="00CA3C4B"/>
    <w:rsid w:val="00CA7252"/>
    <w:rsid w:val="00CB2C5A"/>
    <w:rsid w:val="00CB63EB"/>
    <w:rsid w:val="00CC6937"/>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4CAD"/>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B7054"/>
    <w:rsid w:val="00EC2738"/>
    <w:rsid w:val="00ED760F"/>
    <w:rsid w:val="00ED7B42"/>
    <w:rsid w:val="00EE3EA5"/>
    <w:rsid w:val="00EE613F"/>
    <w:rsid w:val="00EE6BD1"/>
    <w:rsid w:val="00EF0262"/>
    <w:rsid w:val="00EF0828"/>
    <w:rsid w:val="00EF6F8B"/>
    <w:rsid w:val="00F03898"/>
    <w:rsid w:val="00F03FC7"/>
    <w:rsid w:val="00F078C2"/>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1AF0"/>
    <w:rsid w:val="00FA2811"/>
    <w:rsid w:val="00FA4837"/>
    <w:rsid w:val="00FB1D33"/>
    <w:rsid w:val="00FB5E96"/>
    <w:rsid w:val="00FC05A0"/>
    <w:rsid w:val="00FC2CB6"/>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8E64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docrinepractice.org/article/S1530-891X(21)00165-8/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vider.dexcom.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27C1-DB40-40AF-A2C1-68CDDAC80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elements/1.1/"/>
    <ds:schemaRef ds:uri="http://purl.org/dc/terms/"/>
    <ds:schemaRef ds:uri="http://purl.org/dc/dcmitype/"/>
    <ds:schemaRef ds:uri="http://schemas.microsoft.com/office/infopath/2007/PartnerControls"/>
    <ds:schemaRef ds:uri="f5eefb00-5952-4f7e-8cf8-96f81cfadd01"/>
    <ds:schemaRef ds:uri="http://schemas.microsoft.com/office/2006/metadata/properties"/>
    <ds:schemaRef ds:uri="http://schemas.openxmlformats.org/package/2006/metadata/core-propertie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3099</Characters>
  <Application>Microsoft Office Word</Application>
  <DocSecurity>10</DocSecurity>
  <Lines>25</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2026-04-01T20:59:00Z</dcterms:created>
  <dcterms:modified xsi:type="dcterms:W3CDTF">2026-04-01T20:59:00Z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