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917E390" w:rsidR="004C5767" w:rsidRPr="008859E1" w:rsidRDefault="004C5767" w:rsidP="00D27533">
      <w:pPr>
        <w:pStyle w:val="tbody"/>
        <w:rPr>
          <w:b w:val="0"/>
          <w:bCs/>
        </w:rPr>
      </w:pPr>
      <w:r w:rsidRPr="00C02553">
        <w:t>Drug/Drug Class:</w:t>
      </w:r>
      <w:r w:rsidR="003B4820" w:rsidRPr="00573856">
        <w:rPr>
          <w:b w:val="0"/>
          <w:bCs/>
        </w:rPr>
        <w:t xml:space="preserve"> </w:t>
      </w:r>
      <w:r w:rsidR="0045238C" w:rsidRPr="0045238C">
        <w:rPr>
          <w:b w:val="0"/>
          <w:bCs/>
        </w:rPr>
        <w:t>Inflammatory Bowel Disease Agents, Rectal PDL Edit</w:t>
      </w:r>
    </w:p>
    <w:p w14:paraId="7AD7FFCE" w14:textId="3E86E41D" w:rsidR="004C5767" w:rsidRPr="00C02553" w:rsidRDefault="004C5767" w:rsidP="00D27533">
      <w:pPr>
        <w:pStyle w:val="tbody"/>
      </w:pPr>
      <w:r w:rsidRPr="00C02553">
        <w:t>First Implementation Date:</w:t>
      </w:r>
      <w:r w:rsidRPr="00573856">
        <w:rPr>
          <w:b w:val="0"/>
          <w:bCs/>
        </w:rPr>
        <w:t xml:space="preserve"> </w:t>
      </w:r>
      <w:r w:rsidR="00004DDC" w:rsidRPr="00004DDC">
        <w:rPr>
          <w:b w:val="0"/>
          <w:bCs/>
        </w:rPr>
        <w:t>June 18, 2009</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7E9F4D7" w:rsidR="004C5767" w:rsidRPr="00D27533" w:rsidRDefault="004C5767" w:rsidP="00D27533">
      <w:pPr>
        <w:pStyle w:val="tbody"/>
        <w:rPr>
          <w:b w:val="0"/>
          <w:bCs/>
          <w:spacing w:val="-3"/>
        </w:rPr>
      </w:pPr>
      <w:r w:rsidRPr="00C02553">
        <w:t xml:space="preserve">Criteria Status: </w:t>
      </w:r>
      <w:r w:rsidR="00566BE4" w:rsidRPr="009F5762">
        <w:rPr>
          <w:b w:val="0"/>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126AB8CB" w:rsidR="00B56DCC" w:rsidRDefault="00DB4D00" w:rsidP="00696E3A">
      <w:r w:rsidRPr="00DB4D00">
        <w:t>Inflammatory Bowel Disease (IBD) describes disorders such as ulcerative colitis (UC) and Crohn’s disease (CD) which involve chronic inflammation in the digestive tract. IBD affects between 2.4 – 2.8 million people in the United States. UC is characterized by recurring inflammation and ulcers in the lining of the colon and rectum. CD is also characterized by inflammation but may involve any portion of the digestive tract, from the oral cavity to the perianal area. Inflammation in CD can affect the entire thickness of the bowel wall and may skip or leave normal areas in between patches of inflammation. Both UC and CD are typically characterized by diarrhea, rectal bleeding, abdominal pain, fatigue, and weight loss. The goals of IBD therapy are to reduce inflammation, leading to symptom relief and reduced risk of further complications from disease.</w:t>
      </w:r>
    </w:p>
    <w:p w14:paraId="0E62A873" w14:textId="77777777" w:rsidR="00DB4D00" w:rsidRDefault="00DB4D00"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0CC44D2" w14:textId="77777777" w:rsidR="0037239E" w:rsidRDefault="0037239E" w:rsidP="0037239E">
      <w:pPr>
        <w:numPr>
          <w:ilvl w:val="0"/>
          <w:numId w:val="15"/>
        </w:numPr>
        <w:rPr>
          <w:rFonts w:cs="Arial"/>
          <w:bCs/>
          <w:spacing w:val="-3"/>
          <w:szCs w:val="20"/>
        </w:rPr>
      </w:pPr>
      <w:r w:rsidRPr="00BB65E1">
        <w:rPr>
          <w:rFonts w:cs="Arial"/>
          <w:bCs/>
          <w:iCs/>
          <w:spacing w:val="-3"/>
          <w:szCs w:val="20"/>
        </w:rPr>
        <w:t>Mesalamine Kit/Supp</w:t>
      </w:r>
    </w:p>
    <w:p w14:paraId="47320590" w14:textId="79C7CB39" w:rsidR="00FD34EA" w:rsidRPr="0037239E" w:rsidRDefault="0037239E" w:rsidP="0037239E">
      <w:pPr>
        <w:numPr>
          <w:ilvl w:val="0"/>
          <w:numId w:val="15"/>
        </w:numPr>
        <w:rPr>
          <w:rFonts w:cs="Arial"/>
          <w:spacing w:val="-3"/>
          <w:szCs w:val="20"/>
        </w:rPr>
      </w:pPr>
      <w:r w:rsidRPr="0037239E">
        <w:rPr>
          <w:rFonts w:cs="Arial"/>
          <w:bCs/>
          <w:iCs/>
          <w:spacing w:val="-3"/>
          <w:szCs w:val="20"/>
        </w:rPr>
        <w:t>Mesalamine (gen sfRowasa</w:t>
      </w:r>
      <w:r w:rsidRPr="0037239E">
        <w:rPr>
          <w:rFonts w:cs="Arial"/>
          <w:bCs/>
          <w:iCs/>
          <w:spacing w:val="-3"/>
          <w:szCs w:val="20"/>
          <w:vertAlign w:val="superscript"/>
        </w:rPr>
        <w:t>®</w:t>
      </w:r>
      <w:r w:rsidRPr="0037239E">
        <w:rPr>
          <w:rFonts w:cs="Arial"/>
          <w:bCs/>
          <w:iCs/>
          <w:spacing w:val="-3"/>
          <w:szCs w:val="20"/>
        </w:rPr>
        <w:t>)</w:t>
      </w:r>
    </w:p>
    <w:p w14:paraId="2FF15920" w14:textId="77777777" w:rsidR="0037239E" w:rsidRPr="0037239E" w:rsidRDefault="0037239E" w:rsidP="0037239E">
      <w:pPr>
        <w:ind w:left="360"/>
        <w:rPr>
          <w:rFonts w:cs="Arial"/>
          <w:bCs/>
          <w:spacing w:val="-3"/>
          <w:szCs w:val="20"/>
        </w:rPr>
      </w:pPr>
    </w:p>
    <w:p w14:paraId="56404718" w14:textId="252714AD" w:rsidR="00846FA4" w:rsidRDefault="00846FA4" w:rsidP="00846FA4">
      <w:pPr>
        <w:rPr>
          <w:b/>
          <w:bCs/>
        </w:rPr>
      </w:pPr>
      <w:r>
        <w:rPr>
          <w:b/>
          <w:bCs/>
        </w:rPr>
        <w:t>Non-Preferred Agents:</w:t>
      </w:r>
    </w:p>
    <w:p w14:paraId="107D9658" w14:textId="77777777" w:rsidR="009D2320" w:rsidRPr="00265ECB" w:rsidRDefault="009D2320" w:rsidP="009D2320">
      <w:pPr>
        <w:numPr>
          <w:ilvl w:val="0"/>
          <w:numId w:val="15"/>
        </w:numPr>
        <w:rPr>
          <w:rFonts w:cs="Arial"/>
          <w:bCs/>
        </w:rPr>
      </w:pPr>
      <w:r w:rsidRPr="00265ECB">
        <w:rPr>
          <w:rFonts w:cs="Arial"/>
          <w:bCs/>
        </w:rPr>
        <w:t>Budesonide Foam (gen Uceris</w:t>
      </w:r>
      <w:r w:rsidRPr="00265ECB">
        <w:rPr>
          <w:rFonts w:cs="Arial"/>
          <w:bCs/>
          <w:vertAlign w:val="superscript"/>
        </w:rPr>
        <w:t>®</w:t>
      </w:r>
      <w:r w:rsidRPr="00265ECB">
        <w:rPr>
          <w:rFonts w:cs="Arial"/>
          <w:bCs/>
        </w:rPr>
        <w:t>)</w:t>
      </w:r>
    </w:p>
    <w:p w14:paraId="3CFD5861" w14:textId="77777777" w:rsidR="009D2320" w:rsidRPr="00BB65E1" w:rsidRDefault="009D2320" w:rsidP="009D2320">
      <w:pPr>
        <w:numPr>
          <w:ilvl w:val="0"/>
          <w:numId w:val="15"/>
        </w:numPr>
        <w:rPr>
          <w:rFonts w:cs="Arial"/>
          <w:bCs/>
          <w:iCs/>
          <w:spacing w:val="-3"/>
          <w:szCs w:val="20"/>
        </w:rPr>
      </w:pPr>
      <w:r w:rsidRPr="00BB65E1">
        <w:rPr>
          <w:rFonts w:cs="Arial"/>
          <w:bCs/>
          <w:iCs/>
          <w:spacing w:val="-3"/>
          <w:szCs w:val="20"/>
        </w:rPr>
        <w:t>Canasa</w:t>
      </w:r>
      <w:r w:rsidRPr="00BB65E1">
        <w:rPr>
          <w:rFonts w:cs="Arial"/>
          <w:bCs/>
          <w:iCs/>
          <w:spacing w:val="-3"/>
          <w:szCs w:val="20"/>
          <w:vertAlign w:val="superscript"/>
        </w:rPr>
        <w:t>®</w:t>
      </w:r>
      <w:r w:rsidRPr="00BB65E1">
        <w:rPr>
          <w:rFonts w:cs="Arial"/>
          <w:bCs/>
          <w:iCs/>
          <w:spacing w:val="-3"/>
          <w:szCs w:val="20"/>
        </w:rPr>
        <w:t xml:space="preserve"> </w:t>
      </w:r>
    </w:p>
    <w:p w14:paraId="5E3453BC" w14:textId="77777777" w:rsidR="009D2320" w:rsidRPr="00BB65E1" w:rsidRDefault="009D2320" w:rsidP="009D2320">
      <w:pPr>
        <w:numPr>
          <w:ilvl w:val="0"/>
          <w:numId w:val="15"/>
        </w:numPr>
        <w:rPr>
          <w:rFonts w:cs="Arial"/>
          <w:bCs/>
          <w:iCs/>
          <w:spacing w:val="-3"/>
          <w:szCs w:val="20"/>
        </w:rPr>
      </w:pPr>
      <w:r w:rsidRPr="00BB65E1">
        <w:rPr>
          <w:rFonts w:cs="Arial"/>
          <w:bCs/>
          <w:iCs/>
          <w:spacing w:val="-3"/>
          <w:szCs w:val="20"/>
        </w:rPr>
        <w:t>Rowasa</w:t>
      </w:r>
      <w:r w:rsidRPr="00BB65E1">
        <w:rPr>
          <w:rFonts w:cs="Arial"/>
          <w:bCs/>
          <w:iCs/>
          <w:spacing w:val="-3"/>
          <w:szCs w:val="20"/>
          <w:vertAlign w:val="superscript"/>
        </w:rPr>
        <w:t>®</w:t>
      </w:r>
      <w:r w:rsidRPr="00BB65E1">
        <w:rPr>
          <w:rFonts w:cs="Arial"/>
          <w:bCs/>
          <w:iCs/>
          <w:spacing w:val="-3"/>
          <w:szCs w:val="20"/>
        </w:rPr>
        <w:t xml:space="preserve"> Enema/Kit</w:t>
      </w:r>
    </w:p>
    <w:p w14:paraId="29FBC9EC" w14:textId="77777777" w:rsidR="009D2320" w:rsidRDefault="009D2320" w:rsidP="009D2320">
      <w:pPr>
        <w:numPr>
          <w:ilvl w:val="0"/>
          <w:numId w:val="15"/>
        </w:numPr>
        <w:rPr>
          <w:rFonts w:cs="Arial"/>
          <w:bCs/>
          <w:iCs/>
          <w:spacing w:val="-3"/>
          <w:szCs w:val="20"/>
        </w:rPr>
      </w:pPr>
      <w:r w:rsidRPr="00BB65E1">
        <w:rPr>
          <w:rFonts w:cs="Arial"/>
          <w:bCs/>
          <w:iCs/>
          <w:spacing w:val="-3"/>
          <w:szCs w:val="20"/>
        </w:rPr>
        <w:t>sfRowasa</w:t>
      </w:r>
      <w:r w:rsidRPr="00BB65E1">
        <w:rPr>
          <w:rFonts w:cs="Arial"/>
          <w:bCs/>
          <w:iCs/>
          <w:spacing w:val="-3"/>
          <w:szCs w:val="20"/>
          <w:vertAlign w:val="superscript"/>
        </w:rPr>
        <w:t>®</w:t>
      </w:r>
      <w:r w:rsidRPr="00BB65E1">
        <w:rPr>
          <w:rFonts w:cs="Arial"/>
          <w:bCs/>
          <w:iCs/>
          <w:spacing w:val="-3"/>
          <w:szCs w:val="20"/>
        </w:rPr>
        <w:t xml:space="preserve"> Enema</w:t>
      </w:r>
    </w:p>
    <w:p w14:paraId="1BC610E2" w14:textId="77777777" w:rsidR="009D2320" w:rsidRPr="009D2320" w:rsidRDefault="009D2320" w:rsidP="00764E91">
      <w:pPr>
        <w:rPr>
          <w:rFonts w:cs="Arial"/>
          <w:bCs/>
          <w:iCs/>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4DA6544" w:rsidR="0097028A" w:rsidRPr="0079438F" w:rsidRDefault="0097028A" w:rsidP="00696E3A">
      <w:pPr>
        <w:rPr>
          <w:b/>
        </w:rPr>
      </w:pPr>
      <w:r w:rsidRPr="00696E3A">
        <w:rPr>
          <w:b/>
          <w:bCs/>
        </w:rPr>
        <w:t>Drug class for review:</w:t>
      </w:r>
      <w:r w:rsidRPr="00C02553">
        <w:t xml:space="preserve"> </w:t>
      </w:r>
      <w:r w:rsidR="00117FD0" w:rsidRPr="00BB65E1">
        <w:rPr>
          <w:rFonts w:cs="Arial"/>
          <w:szCs w:val="20"/>
        </w:rPr>
        <w:t>Inflammatory Bowel Disease Agents</w:t>
      </w:r>
      <w:r w:rsidR="00117FD0">
        <w:rPr>
          <w:rFonts w:cs="Arial"/>
          <w:szCs w:val="20"/>
        </w:rPr>
        <w:t>,</w:t>
      </w:r>
      <w:r w:rsidR="00117FD0" w:rsidRPr="00513A4F">
        <w:rPr>
          <w:rFonts w:cs="Arial"/>
          <w:szCs w:val="20"/>
        </w:rPr>
        <w:t xml:space="preserve"> Rectal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2E8382F" w14:textId="77777777" w:rsidR="00015FB9" w:rsidRPr="0092322A" w:rsidRDefault="00015FB9" w:rsidP="00015FB9">
      <w:pPr>
        <w:numPr>
          <w:ilvl w:val="0"/>
          <w:numId w:val="16"/>
        </w:numPr>
        <w:rPr>
          <w:rFonts w:cs="Arial"/>
          <w:b/>
          <w:szCs w:val="20"/>
        </w:rPr>
      </w:pPr>
      <w:r>
        <w:rPr>
          <w:rFonts w:cs="Arial"/>
          <w:bCs/>
          <w:szCs w:val="20"/>
        </w:rPr>
        <w:t>Must meet one of the following:</w:t>
      </w:r>
    </w:p>
    <w:p w14:paraId="01C04D41" w14:textId="77777777" w:rsidR="00015FB9" w:rsidRDefault="00015FB9" w:rsidP="00015FB9">
      <w:pPr>
        <w:numPr>
          <w:ilvl w:val="1"/>
          <w:numId w:val="16"/>
        </w:numPr>
        <w:ind w:left="720"/>
        <w:rPr>
          <w:rFonts w:cs="Arial"/>
          <w:b/>
          <w:szCs w:val="20"/>
        </w:rPr>
      </w:pPr>
      <w:r>
        <w:rPr>
          <w:rFonts w:cs="Arial"/>
          <w:bCs/>
          <w:szCs w:val="20"/>
        </w:rPr>
        <w:t xml:space="preserve">Claim is for a preferred agent; </w:t>
      </w:r>
      <w:r w:rsidRPr="00C254BD">
        <w:rPr>
          <w:rFonts w:cs="Arial"/>
          <w:b/>
          <w:szCs w:val="20"/>
        </w:rPr>
        <w:t>OR</w:t>
      </w:r>
    </w:p>
    <w:p w14:paraId="4960697D" w14:textId="77777777" w:rsidR="00015FB9" w:rsidRPr="00A22E97" w:rsidRDefault="00015FB9" w:rsidP="00015FB9">
      <w:pPr>
        <w:numPr>
          <w:ilvl w:val="1"/>
          <w:numId w:val="16"/>
        </w:numPr>
        <w:ind w:left="720"/>
        <w:rPr>
          <w:rFonts w:cs="Arial"/>
          <w:b/>
          <w:szCs w:val="20"/>
        </w:rPr>
      </w:pPr>
      <w:r w:rsidRPr="00A22E97">
        <w:rPr>
          <w:rFonts w:cs="Arial"/>
          <w:szCs w:val="20"/>
        </w:rPr>
        <w:t>Failure to achieve desired therapeutic outcomes with trial o</w:t>
      </w:r>
      <w:r>
        <w:rPr>
          <w:rFonts w:cs="Arial"/>
          <w:szCs w:val="20"/>
        </w:rPr>
        <w:t>f</w:t>
      </w:r>
      <w:r w:rsidRPr="00A22E97">
        <w:rPr>
          <w:rFonts w:cs="Arial"/>
          <w:szCs w:val="20"/>
        </w:rPr>
        <w:t xml:space="preserve"> </w:t>
      </w:r>
      <w:r w:rsidRPr="0090530A">
        <w:rPr>
          <w:rFonts w:cs="Arial"/>
          <w:bCs/>
          <w:szCs w:val="20"/>
        </w:rPr>
        <w:t xml:space="preserve">1 </w:t>
      </w:r>
      <w:r>
        <w:rPr>
          <w:rFonts w:cs="Arial"/>
          <w:bCs/>
          <w:szCs w:val="20"/>
        </w:rPr>
        <w:t>or more</w:t>
      </w:r>
      <w:r w:rsidRPr="00A22E97">
        <w:rPr>
          <w:rFonts w:cs="Arial"/>
          <w:bCs/>
          <w:szCs w:val="20"/>
        </w:rPr>
        <w:t xml:space="preserve"> </w:t>
      </w:r>
      <w:r w:rsidRPr="00A22E97">
        <w:rPr>
          <w:rFonts w:cs="Arial"/>
          <w:szCs w:val="20"/>
        </w:rPr>
        <w:t>preferred agent</w:t>
      </w:r>
      <w:r>
        <w:rPr>
          <w:rFonts w:cs="Arial"/>
          <w:szCs w:val="20"/>
        </w:rPr>
        <w:t>s:</w:t>
      </w:r>
    </w:p>
    <w:p w14:paraId="12BBC711" w14:textId="77777777" w:rsidR="00015FB9" w:rsidRPr="003040AE" w:rsidRDefault="00015FB9" w:rsidP="00015FB9">
      <w:pPr>
        <w:numPr>
          <w:ilvl w:val="2"/>
          <w:numId w:val="16"/>
        </w:numPr>
        <w:ind w:left="1080"/>
        <w:jc w:val="both"/>
        <w:rPr>
          <w:rFonts w:cs="Arial"/>
          <w:szCs w:val="20"/>
        </w:rPr>
      </w:pPr>
      <w:r w:rsidRPr="003040AE">
        <w:rPr>
          <w:rFonts w:cs="Arial"/>
          <w:szCs w:val="20"/>
        </w:rPr>
        <w:t>Documented trial period of preferred agents</w:t>
      </w:r>
      <w:r>
        <w:rPr>
          <w:rFonts w:cs="Arial"/>
          <w:szCs w:val="20"/>
        </w:rPr>
        <w:t xml:space="preserve">; </w:t>
      </w:r>
      <w:r w:rsidRPr="00AF2E62">
        <w:rPr>
          <w:rFonts w:cs="Arial"/>
          <w:b/>
          <w:bCs/>
          <w:szCs w:val="20"/>
        </w:rPr>
        <w:t>OR</w:t>
      </w:r>
    </w:p>
    <w:p w14:paraId="48D09BCF" w14:textId="77777777" w:rsidR="00015FB9" w:rsidRPr="003040AE" w:rsidRDefault="00015FB9" w:rsidP="00015FB9">
      <w:pPr>
        <w:numPr>
          <w:ilvl w:val="2"/>
          <w:numId w:val="16"/>
        </w:numPr>
        <w:ind w:left="1080"/>
        <w:jc w:val="both"/>
        <w:rPr>
          <w:rFonts w:cs="Arial"/>
          <w:szCs w:val="20"/>
        </w:rPr>
      </w:pPr>
      <w:r w:rsidRPr="003040AE">
        <w:rPr>
          <w:rFonts w:cs="Arial"/>
          <w:szCs w:val="20"/>
        </w:rPr>
        <w:lastRenderedPageBreak/>
        <w:t xml:space="preserve">Documented ADE/ADR to preferred agents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67EEA99" w14:textId="77777777" w:rsidR="00904D7A" w:rsidRDefault="00904D7A" w:rsidP="00FB78AE">
      <w:pPr>
        <w:numPr>
          <w:ilvl w:val="0"/>
          <w:numId w:val="16"/>
        </w:numPr>
        <w:rPr>
          <w:rFonts w:cs="Arial"/>
          <w:szCs w:val="20"/>
        </w:rPr>
      </w:pPr>
      <w:r>
        <w:rPr>
          <w:rFonts w:cs="Arial"/>
          <w:szCs w:val="20"/>
        </w:rPr>
        <w:t>Therapy will deny with presence of one of the following:</w:t>
      </w:r>
    </w:p>
    <w:p w14:paraId="6DFAAA53" w14:textId="77777777" w:rsidR="00FB78AE" w:rsidRPr="00DB3A6B" w:rsidRDefault="00FB78AE" w:rsidP="00FB78AE">
      <w:pPr>
        <w:numPr>
          <w:ilvl w:val="1"/>
          <w:numId w:val="16"/>
        </w:numPr>
        <w:ind w:left="720"/>
        <w:rPr>
          <w:rFonts w:cs="Arial"/>
          <w:noProof/>
        </w:rPr>
      </w:pPr>
      <w:r>
        <w:rPr>
          <w:rFonts w:cs="Arial"/>
          <w:szCs w:val="20"/>
        </w:rPr>
        <w:t>Any approval criteria are not 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A5A54BA" w14:textId="77777777" w:rsidR="003B7539" w:rsidRPr="004610D8" w:rsidRDefault="003B7539" w:rsidP="003B7539">
      <w:pPr>
        <w:numPr>
          <w:ilvl w:val="0"/>
          <w:numId w:val="17"/>
        </w:numPr>
        <w:rPr>
          <w:rFonts w:cs="Arial"/>
          <w:szCs w:val="20"/>
        </w:rPr>
      </w:pPr>
      <w:r w:rsidRPr="004610D8">
        <w:rPr>
          <w:rFonts w:cs="Arial"/>
          <w:szCs w:val="20"/>
        </w:rPr>
        <w:t>Evidence-Based Medicine and Fiscal Analysis: “Ulcerative Colitis Agents, Rectal – Therapeutic Class Review”, Conduent Business Services, L.L.C., Richmond, VA; January 2022.</w:t>
      </w:r>
    </w:p>
    <w:p w14:paraId="46711F10" w14:textId="0277330D" w:rsidR="003B7539" w:rsidRPr="00685E7D" w:rsidRDefault="003B7539" w:rsidP="003B7539">
      <w:pPr>
        <w:numPr>
          <w:ilvl w:val="0"/>
          <w:numId w:val="17"/>
        </w:numPr>
        <w:rPr>
          <w:rFonts w:cs="Arial"/>
          <w:szCs w:val="20"/>
        </w:rPr>
      </w:pPr>
      <w:r w:rsidRPr="00685E7D">
        <w:rPr>
          <w:rFonts w:cs="Arial"/>
          <w:szCs w:val="20"/>
        </w:rPr>
        <w:t>Evidence-Based Medicine Analysis: “</w:t>
      </w:r>
      <w:r>
        <w:rPr>
          <w:rFonts w:cs="Arial"/>
          <w:szCs w:val="20"/>
        </w:rPr>
        <w:t>Inflammatory Bowel Disease</w:t>
      </w:r>
      <w:r w:rsidRPr="00685E7D">
        <w:rPr>
          <w:rFonts w:cs="Arial"/>
          <w:szCs w:val="20"/>
        </w:rPr>
        <w:t xml:space="preserve"> Agents (Rectal)”, UMKC-DIC; Last updated</w:t>
      </w:r>
      <w:r w:rsidR="000016B1">
        <w:rPr>
          <w:rFonts w:cs="Arial"/>
          <w:szCs w:val="20"/>
        </w:rPr>
        <w:t xml:space="preserve"> February</w:t>
      </w:r>
      <w:r w:rsidRPr="00685E7D">
        <w:rPr>
          <w:rFonts w:cs="Arial"/>
          <w:szCs w:val="20"/>
        </w:rPr>
        <w:t xml:space="preserve"> 202</w:t>
      </w:r>
      <w:r w:rsidR="000016B1">
        <w:rPr>
          <w:rFonts w:cs="Arial"/>
          <w:szCs w:val="20"/>
        </w:rPr>
        <w:t>6</w:t>
      </w:r>
      <w:r w:rsidRPr="00685E7D">
        <w:rPr>
          <w:rFonts w:cs="Arial"/>
          <w:szCs w:val="20"/>
        </w:rPr>
        <w:t>.</w:t>
      </w:r>
    </w:p>
    <w:p w14:paraId="7CC18B31" w14:textId="77777777" w:rsidR="003B7539" w:rsidRPr="006A0503" w:rsidRDefault="003B7539" w:rsidP="003B7539">
      <w:pPr>
        <w:pStyle w:val="ListParagraph"/>
        <w:numPr>
          <w:ilvl w:val="0"/>
          <w:numId w:val="17"/>
        </w:numPr>
        <w:rPr>
          <w:rFonts w:cs="Arial"/>
          <w:szCs w:val="20"/>
        </w:rPr>
      </w:pPr>
      <w:bookmarkStart w:id="2" w:name="_Hlk128490961"/>
      <w:bookmarkStart w:id="3" w:name="_Hlk34121003"/>
      <w:r w:rsidRPr="006A0503">
        <w:rPr>
          <w:rFonts w:cs="Arial"/>
          <w:szCs w:val="20"/>
        </w:rPr>
        <w:t>Lewis JD, Parlett LE, Jonsson Funk ML, et al. Incidence, prevalence, and racial and ethnic distribution of inflammatory bowel disease in the United States. Gastroenterology. 2023;165(5):1197–1205.e2. doi:10.1053/j.gastro.2023.07.003</w:t>
      </w:r>
    </w:p>
    <w:bookmarkEnd w:id="2"/>
    <w:p w14:paraId="2805C399" w14:textId="2547352E" w:rsidR="003B7539" w:rsidRDefault="003B7539" w:rsidP="003B7539">
      <w:pPr>
        <w:numPr>
          <w:ilvl w:val="0"/>
          <w:numId w:val="17"/>
        </w:numPr>
        <w:rPr>
          <w:rFonts w:cs="Arial"/>
          <w:szCs w:val="20"/>
        </w:rPr>
      </w:pPr>
      <w:r>
        <w:rPr>
          <w:rFonts w:cs="Arial"/>
          <w:szCs w:val="20"/>
        </w:rPr>
        <w:t xml:space="preserve">USPDI, Micromedex; 2026. </w:t>
      </w:r>
    </w:p>
    <w:p w14:paraId="002D9489" w14:textId="0637538D" w:rsidR="003B7539" w:rsidRDefault="003B7539" w:rsidP="003B7539">
      <w:pPr>
        <w:numPr>
          <w:ilvl w:val="0"/>
          <w:numId w:val="17"/>
        </w:numPr>
        <w:rPr>
          <w:rFonts w:cs="Arial"/>
          <w:szCs w:val="20"/>
        </w:rPr>
      </w:pPr>
      <w:r>
        <w:rPr>
          <w:rFonts w:cs="Arial"/>
          <w:szCs w:val="20"/>
        </w:rPr>
        <w:t xml:space="preserve">Facts and Comparisons eAnswers (online); 2026 Clinical Drug Information, LLC. </w:t>
      </w:r>
      <w:bookmarkEnd w:id="3"/>
    </w:p>
    <w:p w14:paraId="3FA1E7DB" w14:textId="5A40FDED" w:rsidR="00777CA4" w:rsidRDefault="00777CA4" w:rsidP="003B7539">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7B5" w14:textId="77777777" w:rsidR="00293DA6" w:rsidRPr="00C02553" w:rsidRDefault="00293DA6" w:rsidP="00AE77DB">
      <w:r w:rsidRPr="00C02553">
        <w:separator/>
      </w:r>
    </w:p>
  </w:endnote>
  <w:endnote w:type="continuationSeparator" w:id="0">
    <w:p w14:paraId="716A7728" w14:textId="77777777" w:rsidR="00293DA6" w:rsidRPr="00C02553" w:rsidRDefault="00293DA6" w:rsidP="00AE77DB">
      <w:r w:rsidRPr="00C02553">
        <w:continuationSeparator/>
      </w:r>
    </w:p>
  </w:endnote>
  <w:endnote w:type="continuationNotice" w:id="1">
    <w:p w14:paraId="3207B51D" w14:textId="77777777" w:rsidR="00293DA6" w:rsidRPr="00C02553" w:rsidRDefault="00293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1CF0" w14:textId="77777777" w:rsidR="00293DA6" w:rsidRPr="00C02553" w:rsidRDefault="00293DA6" w:rsidP="00AE77DB">
      <w:r w:rsidRPr="00C02553">
        <w:separator/>
      </w:r>
    </w:p>
  </w:footnote>
  <w:footnote w:type="continuationSeparator" w:id="0">
    <w:p w14:paraId="4908ED9C" w14:textId="77777777" w:rsidR="00293DA6" w:rsidRPr="00C02553" w:rsidRDefault="00293DA6" w:rsidP="00AE77DB">
      <w:r w:rsidRPr="00C02553">
        <w:continuationSeparator/>
      </w:r>
    </w:p>
  </w:footnote>
  <w:footnote w:type="continuationNotice" w:id="1">
    <w:p w14:paraId="1842ACE3" w14:textId="77777777" w:rsidR="00293DA6" w:rsidRPr="00C02553" w:rsidRDefault="00293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961C3E">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961C3E">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961C3E">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D64201"/>
    <w:multiLevelType w:val="hybridMultilevel"/>
    <w:tmpl w:val="A664D1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4"/>
  </w:num>
  <w:num w:numId="13" w16cid:durableId="604729665">
    <w:abstractNumId w:val="5"/>
  </w:num>
  <w:num w:numId="14" w16cid:durableId="1805081292">
    <w:abstractNumId w:val="12"/>
  </w:num>
  <w:num w:numId="15" w16cid:durableId="16582398">
    <w:abstractNumId w:val="9"/>
  </w:num>
  <w:num w:numId="16" w16cid:durableId="27222730">
    <w:abstractNumId w:val="11"/>
  </w:num>
  <w:num w:numId="17" w16cid:durableId="132135215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cScjwfsdBYf58+jjzwlo0j5r4RkzBRLNtQkIMo/LDjREOGI28U+9GKKO96bLIF0L4n7SDbwvqNWJyY5+dOW8iQ==" w:salt="perlL9yB/8/hqjUhX5emq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16B1"/>
    <w:rsid w:val="0000390A"/>
    <w:rsid w:val="0000457E"/>
    <w:rsid w:val="00004DDC"/>
    <w:rsid w:val="00006A61"/>
    <w:rsid w:val="00015FB9"/>
    <w:rsid w:val="000276D9"/>
    <w:rsid w:val="000344C5"/>
    <w:rsid w:val="00040AD3"/>
    <w:rsid w:val="0004277B"/>
    <w:rsid w:val="00051167"/>
    <w:rsid w:val="00053807"/>
    <w:rsid w:val="000572E5"/>
    <w:rsid w:val="00057F84"/>
    <w:rsid w:val="00061541"/>
    <w:rsid w:val="00064162"/>
    <w:rsid w:val="00065C22"/>
    <w:rsid w:val="0007199C"/>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17FD0"/>
    <w:rsid w:val="00125F5F"/>
    <w:rsid w:val="00126951"/>
    <w:rsid w:val="00126B60"/>
    <w:rsid w:val="00127EF6"/>
    <w:rsid w:val="001310AD"/>
    <w:rsid w:val="001314A5"/>
    <w:rsid w:val="00132C7F"/>
    <w:rsid w:val="00133537"/>
    <w:rsid w:val="00144DBE"/>
    <w:rsid w:val="00152C8B"/>
    <w:rsid w:val="00155A7E"/>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93DA6"/>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7239E"/>
    <w:rsid w:val="0038401F"/>
    <w:rsid w:val="003878C1"/>
    <w:rsid w:val="00396C0B"/>
    <w:rsid w:val="003A630F"/>
    <w:rsid w:val="003B3958"/>
    <w:rsid w:val="003B4820"/>
    <w:rsid w:val="003B5F4B"/>
    <w:rsid w:val="003B682F"/>
    <w:rsid w:val="003B7539"/>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5238C"/>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321E"/>
    <w:rsid w:val="005A39A3"/>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64349"/>
    <w:rsid w:val="00677C65"/>
    <w:rsid w:val="00693152"/>
    <w:rsid w:val="00694FAE"/>
    <w:rsid w:val="00696E3A"/>
    <w:rsid w:val="006A0834"/>
    <w:rsid w:val="006A4BBD"/>
    <w:rsid w:val="006A52F1"/>
    <w:rsid w:val="006B561D"/>
    <w:rsid w:val="006B6D5D"/>
    <w:rsid w:val="006C1D9A"/>
    <w:rsid w:val="006C6C9E"/>
    <w:rsid w:val="006D2330"/>
    <w:rsid w:val="006E0F8B"/>
    <w:rsid w:val="006E12F7"/>
    <w:rsid w:val="006E29D7"/>
    <w:rsid w:val="007068A4"/>
    <w:rsid w:val="00706D67"/>
    <w:rsid w:val="007102B8"/>
    <w:rsid w:val="00713052"/>
    <w:rsid w:val="00721367"/>
    <w:rsid w:val="007231FA"/>
    <w:rsid w:val="00732C67"/>
    <w:rsid w:val="00734418"/>
    <w:rsid w:val="00757826"/>
    <w:rsid w:val="007632B7"/>
    <w:rsid w:val="0076382F"/>
    <w:rsid w:val="00764E91"/>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258"/>
    <w:rsid w:val="008859E1"/>
    <w:rsid w:val="00896264"/>
    <w:rsid w:val="008A5D88"/>
    <w:rsid w:val="008B2851"/>
    <w:rsid w:val="008C000E"/>
    <w:rsid w:val="008D0F2F"/>
    <w:rsid w:val="008D237F"/>
    <w:rsid w:val="008D6B05"/>
    <w:rsid w:val="008E7D2D"/>
    <w:rsid w:val="008F44C0"/>
    <w:rsid w:val="008F5999"/>
    <w:rsid w:val="00903AD6"/>
    <w:rsid w:val="00904D7A"/>
    <w:rsid w:val="00914BF6"/>
    <w:rsid w:val="00915332"/>
    <w:rsid w:val="009204BB"/>
    <w:rsid w:val="00935918"/>
    <w:rsid w:val="00935EC3"/>
    <w:rsid w:val="00951097"/>
    <w:rsid w:val="00953C1E"/>
    <w:rsid w:val="009575DF"/>
    <w:rsid w:val="00961C3E"/>
    <w:rsid w:val="0096210F"/>
    <w:rsid w:val="00962633"/>
    <w:rsid w:val="00963187"/>
    <w:rsid w:val="00963ACF"/>
    <w:rsid w:val="00963D1C"/>
    <w:rsid w:val="00964284"/>
    <w:rsid w:val="0097028A"/>
    <w:rsid w:val="00973BD6"/>
    <w:rsid w:val="00984549"/>
    <w:rsid w:val="00985D28"/>
    <w:rsid w:val="00990687"/>
    <w:rsid w:val="00991BF0"/>
    <w:rsid w:val="009A0FB1"/>
    <w:rsid w:val="009A1FAC"/>
    <w:rsid w:val="009B001A"/>
    <w:rsid w:val="009B1A62"/>
    <w:rsid w:val="009C3CC7"/>
    <w:rsid w:val="009D2057"/>
    <w:rsid w:val="009D2320"/>
    <w:rsid w:val="009D3D6C"/>
    <w:rsid w:val="009D5551"/>
    <w:rsid w:val="009D62DB"/>
    <w:rsid w:val="009E3B42"/>
    <w:rsid w:val="009F576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7EC9"/>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AC1"/>
    <w:rsid w:val="00B34C53"/>
    <w:rsid w:val="00B507A5"/>
    <w:rsid w:val="00B52475"/>
    <w:rsid w:val="00B535DA"/>
    <w:rsid w:val="00B56DCC"/>
    <w:rsid w:val="00B56F54"/>
    <w:rsid w:val="00B638C2"/>
    <w:rsid w:val="00B64DEA"/>
    <w:rsid w:val="00B758AB"/>
    <w:rsid w:val="00B76277"/>
    <w:rsid w:val="00B772AB"/>
    <w:rsid w:val="00B80395"/>
    <w:rsid w:val="00B80B56"/>
    <w:rsid w:val="00B85D25"/>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536BD"/>
    <w:rsid w:val="00D61118"/>
    <w:rsid w:val="00D614F1"/>
    <w:rsid w:val="00D70D50"/>
    <w:rsid w:val="00D71917"/>
    <w:rsid w:val="00DA3A0F"/>
    <w:rsid w:val="00DA4E62"/>
    <w:rsid w:val="00DA6990"/>
    <w:rsid w:val="00DB27BA"/>
    <w:rsid w:val="00DB337A"/>
    <w:rsid w:val="00DB4D00"/>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0709"/>
    <w:rsid w:val="00ED7B42"/>
    <w:rsid w:val="00EE3EA5"/>
    <w:rsid w:val="00EE613F"/>
    <w:rsid w:val="00EE6BD1"/>
    <w:rsid w:val="00EF0262"/>
    <w:rsid w:val="00EF0828"/>
    <w:rsid w:val="00EF6F8B"/>
    <w:rsid w:val="00F03898"/>
    <w:rsid w:val="00F1527A"/>
    <w:rsid w:val="00F15714"/>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B78AE"/>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7102B8"/>
    <w:rPr>
      <w:sz w:val="16"/>
      <w:szCs w:val="16"/>
    </w:rPr>
  </w:style>
  <w:style w:type="paragraph" w:styleId="CommentSubject">
    <w:name w:val="annotation subject"/>
    <w:basedOn w:val="CommentText"/>
    <w:next w:val="CommentText"/>
    <w:link w:val="CommentSubjectChar"/>
    <w:uiPriority w:val="99"/>
    <w:semiHidden/>
    <w:unhideWhenUsed/>
    <w:rsid w:val="007102B8"/>
    <w:rPr>
      <w:b/>
      <w:bCs/>
    </w:rPr>
  </w:style>
  <w:style w:type="character" w:customStyle="1" w:styleId="CommentTextChar">
    <w:name w:val="Comment Text Char"/>
    <w:basedOn w:val="DefaultParagraphFont"/>
    <w:link w:val="CommentText"/>
    <w:semiHidden/>
    <w:rsid w:val="007102B8"/>
    <w:rPr>
      <w:rFonts w:ascii="Arial" w:hAnsi="Arial"/>
    </w:rPr>
  </w:style>
  <w:style w:type="character" w:customStyle="1" w:styleId="CommentSubjectChar">
    <w:name w:val="Comment Subject Char"/>
    <w:basedOn w:val="CommentTextChar"/>
    <w:link w:val="CommentSubject"/>
    <w:uiPriority w:val="99"/>
    <w:semiHidden/>
    <w:rsid w:val="007102B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schemas.microsoft.com/office/2006/documentManagement/types"/>
    <ds:schemaRef ds:uri="http://schemas.microsoft.com/office/2006/metadata/properties"/>
    <ds:schemaRef ds:uri="http://schemas.microsoft.com/office/infopath/2007/PartnerControls"/>
    <ds:schemaRef ds:uri="aba01ddc-ae9a-4c9e-819c-7140b4239cde"/>
    <ds:schemaRef ds:uri="http://www.w3.org/XML/1998/namespace"/>
    <ds:schemaRef ds:uri="http://purl.org/dc/elements/1.1/"/>
  </ds:schemaRefs>
</ds:datastoreItem>
</file>

<file path=customXml/itemProps2.xml><?xml version="1.0" encoding="utf-8"?>
<ds:datastoreItem xmlns:ds="http://schemas.openxmlformats.org/officeDocument/2006/customXml" ds:itemID="{107DCA84-41E5-417C-AD28-D538FFC7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2381</Characters>
  <Application>Microsoft Office Word</Application>
  <DocSecurity>10</DocSecurity>
  <Lines>19</Lines>
  <Paragraphs>5</Paragraphs>
  <ScaleCrop>false</ScaleCrop>
  <HeadingPairs>
    <vt:vector size="2" baseType="variant">
      <vt:variant>
        <vt:lpstr>Title</vt:lpstr>
      </vt:variant>
      <vt:variant>
        <vt:i4>1</vt:i4>
      </vt:variant>
    </vt:vector>
  </HeadingPairs>
  <TitlesOfParts>
    <vt:vector size="1" baseType="lpstr">
      <vt:lpstr>IBD Agents, Rectal PDL</vt:lpstr>
    </vt:vector>
  </TitlesOfParts>
  <Company>DSS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IBD Agents, Rectal PDL</dc:title>
  <dc:creator>DMS</dc:creator>
  <cp:lastModifiedBy>Heriford, Katherine</cp:lastModifiedBy>
  <cp:revision>30</cp:revision>
  <cp:lastPrinted>2018-10-31T20:17:00Z</cp:lastPrinted>
  <dcterms:created xsi:type="dcterms:W3CDTF">2025-09-19T16:48:00Z</dcterms:created>
  <dcterms:modified xsi:type="dcterms:W3CDTF">2026-04-06T15:55:00Z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