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4883E551" w:rsidR="004C5767" w:rsidRPr="008859E1" w:rsidRDefault="004C5767" w:rsidP="00D27533">
      <w:pPr>
        <w:pStyle w:val="tbody"/>
        <w:rPr>
          <w:b w:val="0"/>
          <w:bCs/>
        </w:rPr>
      </w:pPr>
      <w:r w:rsidRPr="00C02553">
        <w:t>Drug/Drug Class:</w:t>
      </w:r>
      <w:r w:rsidR="003B4820">
        <w:t xml:space="preserve"> </w:t>
      </w:r>
      <w:r w:rsidR="003721A3" w:rsidRPr="003721A3">
        <w:rPr>
          <w:b w:val="0"/>
          <w:bCs/>
        </w:rPr>
        <w:t>Kebilidi Clinical Edit</w:t>
      </w:r>
    </w:p>
    <w:p w14:paraId="7AD7FFCE" w14:textId="4588B73A" w:rsidR="004C5767" w:rsidRPr="00C02553" w:rsidRDefault="004C5767" w:rsidP="00D27533">
      <w:pPr>
        <w:pStyle w:val="tbody"/>
      </w:pPr>
      <w:r w:rsidRPr="00C02553">
        <w:t xml:space="preserve">First Implementation Date: </w:t>
      </w:r>
      <w:r w:rsidR="00A2601C" w:rsidRPr="00A2601C">
        <w:rPr>
          <w:b w:val="0"/>
          <w:bCs/>
        </w:rPr>
        <w:t>August 21, 2025</w:t>
      </w:r>
    </w:p>
    <w:p w14:paraId="4B7D760D" w14:textId="00342F06" w:rsidR="004C5767" w:rsidRPr="00D232D9" w:rsidRDefault="00D95E68" w:rsidP="15EB50BA">
      <w:pPr>
        <w:pStyle w:val="tbody"/>
        <w:rPr>
          <w:b w:val="0"/>
        </w:rPr>
      </w:pPr>
      <w:r>
        <w:t>Proposed</w:t>
      </w:r>
      <w:r w:rsidR="004C5767">
        <w:t xml:space="preserve"> Date:</w:t>
      </w:r>
      <w:r w:rsidR="00065C22">
        <w:t xml:space="preserve"> </w:t>
      </w:r>
      <w:r w:rsidR="00B00EDC">
        <w:rPr>
          <w:b w:val="0"/>
        </w:rPr>
        <w:t>April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0BAF911" w:rsidR="004C5767" w:rsidRPr="00D27533" w:rsidRDefault="004C5767" w:rsidP="00D27533">
      <w:pPr>
        <w:pStyle w:val="tbody"/>
        <w:rPr>
          <w:b w:val="0"/>
          <w:bCs/>
          <w:spacing w:val="-3"/>
        </w:rPr>
      </w:pPr>
      <w:r w:rsidRPr="00C02553">
        <w:t xml:space="preserve">Criteria Status: </w:t>
      </w:r>
      <w:r w:rsidR="00E73DE2">
        <w:rPr>
          <w:b w:val="0"/>
          <w:bCs/>
          <w:spacing w:val="-3"/>
        </w:rPr>
        <w:t xml:space="preserve">Revision of Existing </w:t>
      </w:r>
      <w:r w:rsidR="00566BE4" w:rsidRPr="00A2601C">
        <w:rPr>
          <w:b w:val="0"/>
          <w:bCs/>
          <w:spacing w:val="-3"/>
        </w:rPr>
        <w:t>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01E077CE" w:rsidR="00D47996" w:rsidRDefault="79EEA449" w:rsidP="00696E3A">
      <w:r>
        <w:t>Ensure appropriate utilization and control of</w:t>
      </w:r>
      <w:r w:rsidR="00D47996">
        <w:t xml:space="preserve"> </w:t>
      </w:r>
      <w:r w:rsidR="00857835" w:rsidRPr="00857835">
        <w:t>Kebilidi™ (eladocagene exuparvovec-tneq)</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1465BF13" w14:textId="77777777" w:rsidR="0046641A" w:rsidRPr="00FC437B" w:rsidRDefault="0046641A" w:rsidP="0046641A">
      <w:pPr>
        <w:spacing w:after="200"/>
        <w:rPr>
          <w:rFonts w:cs="Arial"/>
          <w:color w:val="000000"/>
          <w:szCs w:val="20"/>
        </w:rPr>
      </w:pPr>
      <w:r w:rsidRPr="00FC437B">
        <w:rPr>
          <w:rFonts w:cs="Arial"/>
          <w:color w:val="000000"/>
          <w:szCs w:val="20"/>
        </w:rPr>
        <w:t xml:space="preserve">Aromatic L-amino acid decarboxylase (AADC) deficiency is a rare, autosomal recessive disorder caused by pathogenic variants in both </w:t>
      </w:r>
      <w:r w:rsidRPr="00FC437B">
        <w:rPr>
          <w:rFonts w:cs="Arial"/>
          <w:i/>
          <w:iCs/>
          <w:color w:val="000000"/>
          <w:szCs w:val="20"/>
        </w:rPr>
        <w:t>DDC</w:t>
      </w:r>
      <w:r w:rsidRPr="00FC437B">
        <w:rPr>
          <w:rFonts w:cs="Arial"/>
          <w:color w:val="000000"/>
          <w:szCs w:val="20"/>
        </w:rPr>
        <w:t xml:space="preserve"> gene copies (usually one copy inherited from each parent), leading to a deficiency of the AADC enzyme. AADC is the final enzyme in the biosynthesis of the neurotransmitters serotonin and dopamine, and dopamine is the precursor for norepinephrine and epinephrine.</w:t>
      </w:r>
      <w:r>
        <w:t xml:space="preserve"> </w:t>
      </w:r>
      <w:r w:rsidRPr="00D33EB2">
        <w:rPr>
          <w:rFonts w:cs="Arial"/>
          <w:color w:val="000000"/>
          <w:szCs w:val="20"/>
        </w:rPr>
        <w:t>AADC deficiency therefore causes a marked deficiency in these circulating neurotransmitters. This deficiency causes neurological development to slow - leading to a delay or an inability to reach developmental milestones including sitting up, crawling, walking, and talking when expected.</w:t>
      </w:r>
      <w:r>
        <w:t xml:space="preserve"> </w:t>
      </w:r>
      <w:r w:rsidRPr="00BC757E">
        <w:rPr>
          <w:rFonts w:cs="Arial"/>
          <w:color w:val="000000"/>
          <w:szCs w:val="20"/>
        </w:rPr>
        <w:t>AADC deficiency is also linked to autonomic dysfunction - leading to improper regulation of heart rate, body temperature, and gastrointestinal function. Other manifestations include movement disorders, failure to thrive, and developmental delays. Patients with AADC deficiency may also experience sleep cycle dysregulation, intellectual disabilities, and mental health problems.</w:t>
      </w:r>
    </w:p>
    <w:p w14:paraId="1E5FEEA2" w14:textId="77777777" w:rsidR="0046641A" w:rsidRDefault="0046641A" w:rsidP="0046641A">
      <w:pPr>
        <w:spacing w:after="200"/>
        <w:rPr>
          <w:rFonts w:eastAsia="Arial" w:cs="Arial"/>
          <w:szCs w:val="20"/>
        </w:rPr>
      </w:pPr>
      <w:r w:rsidRPr="00130112">
        <w:rPr>
          <w:rFonts w:cs="Arial"/>
          <w:color w:val="000000"/>
          <w:szCs w:val="20"/>
        </w:rPr>
        <w:t>AADC deficiency is estimated to affect 1 to 3 per 100,000 live newborns in the United States. Current estimations indicate a birth rate of 44 newborns with AADC deficiency per year in the United States.</w:t>
      </w:r>
      <w:r>
        <w:rPr>
          <w:rFonts w:cs="Arial"/>
          <w:color w:val="000000"/>
          <w:szCs w:val="20"/>
        </w:rPr>
        <w:t xml:space="preserve"> </w:t>
      </w:r>
      <w:r w:rsidRPr="0092594B">
        <w:rPr>
          <w:rFonts w:cs="Arial"/>
          <w:color w:val="000000"/>
          <w:szCs w:val="20"/>
        </w:rPr>
        <w:t xml:space="preserve">Fewer than 350 cases have been reported </w:t>
      </w:r>
      <w:r w:rsidRPr="007136AC">
        <w:rPr>
          <w:rFonts w:cs="Arial"/>
          <w:color w:val="000000"/>
          <w:szCs w:val="20"/>
        </w:rPr>
        <w:t>globally.</w:t>
      </w:r>
      <w:r w:rsidRPr="007136AC">
        <w:rPr>
          <w:rFonts w:eastAsia="Arial" w:cs="Arial"/>
          <w:szCs w:val="20"/>
        </w:rPr>
        <w:t xml:space="preserve"> </w:t>
      </w:r>
    </w:p>
    <w:p w14:paraId="61526F34" w14:textId="77777777" w:rsidR="0046641A" w:rsidRPr="007136AC" w:rsidRDefault="0046641A" w:rsidP="0046641A">
      <w:pPr>
        <w:spacing w:after="200"/>
        <w:rPr>
          <w:rFonts w:eastAsia="Arial" w:cs="Arial"/>
          <w:szCs w:val="20"/>
        </w:rPr>
      </w:pPr>
      <w:r w:rsidRPr="007136AC">
        <w:rPr>
          <w:rFonts w:eastAsia="Arial" w:cs="Arial"/>
          <w:szCs w:val="20"/>
        </w:rPr>
        <w:t>In November of 2024</w:t>
      </w:r>
      <w:r>
        <w:rPr>
          <w:rFonts w:eastAsia="Arial" w:cs="Arial"/>
          <w:szCs w:val="20"/>
        </w:rPr>
        <w:t>,</w:t>
      </w:r>
      <w:r w:rsidRPr="007136AC">
        <w:rPr>
          <w:rFonts w:eastAsia="Arial" w:cs="Arial"/>
          <w:szCs w:val="20"/>
        </w:rPr>
        <w:t xml:space="preserve"> Kebilidi became the first FDA-approved treatment for AADC deficiency.</w:t>
      </w:r>
      <w:r>
        <w:t xml:space="preserve"> </w:t>
      </w:r>
      <w:r w:rsidRPr="00601774">
        <w:rPr>
          <w:rFonts w:eastAsia="Arial" w:cs="Arial"/>
          <w:szCs w:val="20"/>
        </w:rPr>
        <w:t>Kebilidi is a gene therapy that uses a modified adeno-associated virus serotype 2 (AAV2) to deliver a functional version of the DDC gene (which encodes the AADC enzyme) directly into the brain, resulting in AADC enzyme expression and production of dopamine in the putamen.</w:t>
      </w:r>
      <w:r>
        <w:rPr>
          <w:rFonts w:eastAsia="Arial" w:cs="Arial"/>
          <w:szCs w:val="20"/>
        </w:rPr>
        <w:t xml:space="preserve"> The therapy is administered as four intraputaminal infusions during a single neurosurgical procedure.</w:t>
      </w:r>
    </w:p>
    <w:p w14:paraId="7ACECC9F" w14:textId="3280FA21" w:rsidR="00B56DCC" w:rsidRDefault="0046641A" w:rsidP="0046641A">
      <w:pPr>
        <w:rPr>
          <w:rFonts w:cs="Arial"/>
          <w:spacing w:val="-3"/>
        </w:rPr>
      </w:pPr>
      <w:r w:rsidRPr="00B2705C">
        <w:rPr>
          <w:rFonts w:cs="Arial"/>
          <w:spacing w:val="-3"/>
        </w:rPr>
        <w:t>Due to the high cost, possible adverse events, and specific approved indication, MO HealthNet will impose clinical criteria to ensure appropriate utilization of Kebilidi.</w:t>
      </w:r>
    </w:p>
    <w:p w14:paraId="7AF82434" w14:textId="77777777" w:rsidR="0046641A" w:rsidRDefault="0046641A" w:rsidP="0046641A"/>
    <w:p w14:paraId="5B5260CF" w14:textId="4A556170" w:rsidR="003D4704" w:rsidRPr="00AD17B7" w:rsidRDefault="003D4704" w:rsidP="003D4704">
      <w:r>
        <w:rPr>
          <w:b/>
          <w:bCs/>
        </w:rPr>
        <w:t xml:space="preserve">Program-Specific Information: </w:t>
      </w:r>
      <w:r w:rsidR="00972E70">
        <w:t xml:space="preserve">Date Range FFS </w:t>
      </w:r>
      <w:r w:rsidR="00972E70" w:rsidRPr="00C5484C">
        <w:t>1-1-2025 to 12-31-2025</w:t>
      </w:r>
    </w:p>
    <w:tbl>
      <w:tblPr>
        <w:tblW w:w="9270" w:type="dxa"/>
        <w:tblInd w:w="265" w:type="dxa"/>
        <w:tblLayout w:type="fixed"/>
        <w:tblLook w:val="04A0" w:firstRow="1" w:lastRow="0" w:firstColumn="1" w:lastColumn="0" w:noHBand="0" w:noVBand="1"/>
      </w:tblPr>
      <w:tblGrid>
        <w:gridCol w:w="4320"/>
        <w:gridCol w:w="1063"/>
        <w:gridCol w:w="3887"/>
      </w:tblGrid>
      <w:tr w:rsidR="006A37E6" w:rsidRPr="00EA4E58" w14:paraId="36FF66F3" w14:textId="77777777" w:rsidTr="006A37E6">
        <w:trPr>
          <w:trHeight w:val="264"/>
        </w:trPr>
        <w:tc>
          <w:tcPr>
            <w:tcW w:w="432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5434960" w14:textId="77777777" w:rsidR="006A37E6" w:rsidRPr="00EA4E58" w:rsidRDefault="006A37E6" w:rsidP="00B804B6">
            <w:pPr>
              <w:jc w:val="center"/>
              <w:rPr>
                <w:rFonts w:cs="Arial"/>
                <w:b/>
                <w:spacing w:val="-3"/>
                <w:szCs w:val="20"/>
              </w:rPr>
            </w:pPr>
            <w:r w:rsidRPr="00EA4E58">
              <w:rPr>
                <w:rFonts w:cs="Arial"/>
                <w:b/>
                <w:spacing w:val="-3"/>
                <w:szCs w:val="20"/>
              </w:rPr>
              <w:t>Drug</w:t>
            </w:r>
          </w:p>
        </w:tc>
        <w:tc>
          <w:tcPr>
            <w:tcW w:w="106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162C431" w14:textId="77777777" w:rsidR="006A37E6" w:rsidRPr="00EA4E58" w:rsidRDefault="006A37E6" w:rsidP="00B804B6">
            <w:pPr>
              <w:jc w:val="center"/>
              <w:rPr>
                <w:rFonts w:cs="Arial"/>
                <w:b/>
                <w:spacing w:val="-3"/>
                <w:szCs w:val="20"/>
              </w:rPr>
            </w:pPr>
            <w:r w:rsidRPr="00EA4E58">
              <w:rPr>
                <w:rFonts w:cs="Arial"/>
                <w:b/>
                <w:spacing w:val="-3"/>
                <w:szCs w:val="20"/>
              </w:rPr>
              <w:t>Claims</w:t>
            </w:r>
          </w:p>
        </w:tc>
        <w:tc>
          <w:tcPr>
            <w:tcW w:w="388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50D36E3" w14:textId="76317F5F" w:rsidR="006A37E6" w:rsidRPr="00EA4E58" w:rsidRDefault="000E6F7C" w:rsidP="00B804B6">
            <w:pPr>
              <w:jc w:val="center"/>
              <w:rPr>
                <w:rFonts w:cs="Arial"/>
                <w:b/>
                <w:spacing w:val="-3"/>
                <w:szCs w:val="20"/>
              </w:rPr>
            </w:pPr>
            <w:r>
              <w:rPr>
                <w:rFonts w:cs="Arial"/>
                <w:b/>
                <w:spacing w:val="-3"/>
                <w:szCs w:val="20"/>
              </w:rPr>
              <w:t>Cost per infusion (MAC)</w:t>
            </w:r>
          </w:p>
        </w:tc>
      </w:tr>
      <w:tr w:rsidR="006A37E6" w:rsidRPr="00EA4E58" w14:paraId="719C6836" w14:textId="77777777" w:rsidTr="006A37E6">
        <w:trPr>
          <w:trHeight w:val="264"/>
        </w:trPr>
        <w:tc>
          <w:tcPr>
            <w:tcW w:w="4320" w:type="dxa"/>
            <w:tcBorders>
              <w:top w:val="single" w:sz="4" w:space="0" w:color="auto"/>
              <w:left w:val="single" w:sz="4" w:space="0" w:color="auto"/>
              <w:bottom w:val="single" w:sz="4" w:space="0" w:color="auto"/>
              <w:right w:val="single" w:sz="4" w:space="0" w:color="auto"/>
            </w:tcBorders>
            <w:vAlign w:val="center"/>
          </w:tcPr>
          <w:p w14:paraId="7F1D52DD" w14:textId="77777777" w:rsidR="006A37E6" w:rsidRPr="00EA4E58" w:rsidRDefault="006A37E6" w:rsidP="00B804B6">
            <w:pPr>
              <w:jc w:val="center"/>
              <w:rPr>
                <w:rFonts w:cs="Arial"/>
                <w:bCs/>
                <w:spacing w:val="-3"/>
                <w:szCs w:val="20"/>
              </w:rPr>
            </w:pPr>
            <w:r w:rsidRPr="00EA4E58">
              <w:rPr>
                <w:rFonts w:cs="Arial"/>
                <w:bCs/>
                <w:spacing w:val="-3"/>
                <w:szCs w:val="20"/>
              </w:rPr>
              <w:t xml:space="preserve">KEBILIDI VIAL </w:t>
            </w:r>
          </w:p>
        </w:tc>
        <w:tc>
          <w:tcPr>
            <w:tcW w:w="1063" w:type="dxa"/>
            <w:tcBorders>
              <w:top w:val="single" w:sz="4" w:space="0" w:color="auto"/>
              <w:left w:val="single" w:sz="4" w:space="0" w:color="auto"/>
              <w:bottom w:val="single" w:sz="4" w:space="0" w:color="auto"/>
              <w:right w:val="single" w:sz="4" w:space="0" w:color="auto"/>
            </w:tcBorders>
            <w:vAlign w:val="center"/>
          </w:tcPr>
          <w:p w14:paraId="2300D947" w14:textId="1059150F" w:rsidR="006A37E6" w:rsidRPr="00EA4E58" w:rsidRDefault="0048053E" w:rsidP="00B804B6">
            <w:pPr>
              <w:jc w:val="center"/>
              <w:rPr>
                <w:rFonts w:cs="Arial"/>
                <w:bCs/>
                <w:spacing w:val="-3"/>
                <w:szCs w:val="20"/>
              </w:rPr>
            </w:pPr>
            <w:r>
              <w:rPr>
                <w:rFonts w:cs="Arial"/>
                <w:bCs/>
                <w:spacing w:val="-3"/>
                <w:szCs w:val="20"/>
              </w:rPr>
              <w:t>1</w:t>
            </w:r>
          </w:p>
        </w:tc>
        <w:tc>
          <w:tcPr>
            <w:tcW w:w="3887" w:type="dxa"/>
            <w:tcBorders>
              <w:top w:val="single" w:sz="4" w:space="0" w:color="auto"/>
              <w:left w:val="single" w:sz="4" w:space="0" w:color="auto"/>
              <w:bottom w:val="single" w:sz="4" w:space="0" w:color="auto"/>
              <w:right w:val="single" w:sz="4" w:space="0" w:color="auto"/>
            </w:tcBorders>
            <w:vAlign w:val="center"/>
          </w:tcPr>
          <w:p w14:paraId="729C4F55" w14:textId="77777777" w:rsidR="006A37E6" w:rsidRPr="00EA4E58" w:rsidRDefault="006A37E6" w:rsidP="00B804B6">
            <w:pPr>
              <w:jc w:val="center"/>
              <w:rPr>
                <w:rFonts w:cs="Arial"/>
                <w:bCs/>
                <w:spacing w:val="-3"/>
                <w:szCs w:val="20"/>
              </w:rPr>
            </w:pPr>
            <w:r w:rsidRPr="00EA4E58">
              <w:rPr>
                <w:rFonts w:cs="Arial"/>
                <w:bCs/>
                <w:spacing w:val="-3"/>
                <w:szCs w:val="20"/>
              </w:rPr>
              <w:t>$3,950,000</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58885712" w:rsidR="0097028A" w:rsidRPr="0079438F" w:rsidRDefault="0097028A" w:rsidP="00696E3A">
      <w:pPr>
        <w:rPr>
          <w:b/>
        </w:rPr>
      </w:pPr>
      <w:r w:rsidRPr="00696E3A">
        <w:rPr>
          <w:b/>
          <w:bCs/>
        </w:rPr>
        <w:t>Drug class for review:</w:t>
      </w:r>
      <w:r w:rsidRPr="00C02553">
        <w:t xml:space="preserve"> </w:t>
      </w:r>
      <w:r w:rsidR="00F45714" w:rsidRPr="00F45714">
        <w:t>Kebilidi™ (eladocagene exuparvovec-tneq)</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lastRenderedPageBreak/>
        <w:t>Approval Criteria</w:t>
      </w:r>
    </w:p>
    <w:p w14:paraId="4BAA1D7A" w14:textId="77777777" w:rsidR="00635DDB" w:rsidRPr="00696E3A" w:rsidRDefault="00635DDB" w:rsidP="00635DDB">
      <w:pPr>
        <w:rPr>
          <w:b/>
          <w:bCs/>
        </w:rPr>
      </w:pPr>
      <w:r w:rsidRPr="00696E3A">
        <w:rPr>
          <w:b/>
          <w:bCs/>
        </w:rPr>
        <w:t>Initial Therapy:</w:t>
      </w:r>
    </w:p>
    <w:p w14:paraId="5251BC25" w14:textId="77777777" w:rsidR="008E2197" w:rsidRPr="004D1410" w:rsidRDefault="008E2197" w:rsidP="008E2197">
      <w:pPr>
        <w:pStyle w:val="ListParagraph"/>
        <w:numPr>
          <w:ilvl w:val="0"/>
          <w:numId w:val="16"/>
        </w:numPr>
        <w:rPr>
          <w:rFonts w:eastAsia="Arial" w:cs="Arial"/>
          <w:szCs w:val="20"/>
        </w:rPr>
      </w:pPr>
      <w:r w:rsidRPr="004D1410">
        <w:rPr>
          <w:rFonts w:eastAsia="Arial" w:cs="Arial"/>
          <w:szCs w:val="20"/>
        </w:rPr>
        <w:t>Must meet all of the following:</w:t>
      </w:r>
    </w:p>
    <w:p w14:paraId="24ABC2AA" w14:textId="77777777" w:rsidR="008E2197" w:rsidRDefault="008E2197" w:rsidP="008E2197">
      <w:pPr>
        <w:pStyle w:val="ListParagraph"/>
        <w:numPr>
          <w:ilvl w:val="1"/>
          <w:numId w:val="16"/>
        </w:numPr>
        <w:rPr>
          <w:rFonts w:eastAsia="Arial" w:cs="Arial"/>
          <w:szCs w:val="20"/>
        </w:rPr>
      </w:pPr>
      <w:r w:rsidRPr="004D1410">
        <w:rPr>
          <w:rFonts w:eastAsia="Arial" w:cs="Arial"/>
          <w:szCs w:val="20"/>
        </w:rPr>
        <w:t>Documented diagnosis of AADC deficiency, confirmed via identification of pathogenic variants in the DDC gene;</w:t>
      </w:r>
    </w:p>
    <w:p w14:paraId="6C57CAD2" w14:textId="77777777" w:rsidR="008E2197" w:rsidRDefault="008E2197" w:rsidP="008E2197">
      <w:pPr>
        <w:pStyle w:val="ListParagraph"/>
        <w:numPr>
          <w:ilvl w:val="1"/>
          <w:numId w:val="16"/>
        </w:numPr>
        <w:rPr>
          <w:rFonts w:eastAsia="Arial" w:cs="Arial"/>
          <w:szCs w:val="20"/>
        </w:rPr>
      </w:pPr>
      <w:r w:rsidRPr="004D1410">
        <w:rPr>
          <w:rFonts w:eastAsia="Arial" w:cs="Arial"/>
          <w:szCs w:val="20"/>
        </w:rPr>
        <w:t>Prescribed by or in consultation with an appropriate specialist for the treated disease state, and administered by a specialist in stereotactic neurosurgery;</w:t>
      </w:r>
      <w:r w:rsidRPr="00DC37A5">
        <w:rPr>
          <w:rFonts w:eastAsia="Arial" w:cs="Arial"/>
          <w:b/>
          <w:bCs/>
          <w:szCs w:val="20"/>
        </w:rPr>
        <w:t xml:space="preserve"> AND</w:t>
      </w:r>
    </w:p>
    <w:p w14:paraId="7F0CDD09" w14:textId="77777777" w:rsidR="008E2197" w:rsidRDefault="008E2197" w:rsidP="008E2197">
      <w:pPr>
        <w:pStyle w:val="ListParagraph"/>
        <w:numPr>
          <w:ilvl w:val="1"/>
          <w:numId w:val="16"/>
        </w:numPr>
        <w:rPr>
          <w:rFonts w:eastAsia="Arial" w:cs="Arial"/>
          <w:szCs w:val="20"/>
        </w:rPr>
      </w:pPr>
      <w:r w:rsidRPr="004D1410">
        <w:rPr>
          <w:rFonts w:eastAsia="Arial" w:cs="Arial"/>
          <w:szCs w:val="20"/>
        </w:rPr>
        <w:t>Participant demonstrates clinical characteristics of AADC deficiency, including oculogyric crises, hypotonia, and developmental delays.</w:t>
      </w:r>
    </w:p>
    <w:p w14:paraId="2B88A120" w14:textId="77777777" w:rsidR="008E2197" w:rsidRDefault="008E2197" w:rsidP="008E2197">
      <w:pPr>
        <w:pStyle w:val="ListParagraph"/>
        <w:numPr>
          <w:ilvl w:val="0"/>
          <w:numId w:val="16"/>
        </w:numPr>
        <w:rPr>
          <w:rFonts w:eastAsia="Arial" w:cs="Arial"/>
          <w:szCs w:val="20"/>
        </w:rPr>
      </w:pPr>
      <w:r w:rsidRPr="00825F52">
        <w:rPr>
          <w:rFonts w:eastAsia="Arial" w:cs="Arial"/>
          <w:szCs w:val="20"/>
        </w:rPr>
        <w:t xml:space="preserve"> Approval is for one treatment.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516D12" w:rsidRDefault="00904D7A" w:rsidP="00516D12">
      <w:pPr>
        <w:pStyle w:val="ListParagraph"/>
      </w:pPr>
      <w:r w:rsidRPr="00516D12">
        <w:t>Therapy will deny with presence of one of the following:</w:t>
      </w:r>
    </w:p>
    <w:p w14:paraId="747A6AA1" w14:textId="60F9DCE1" w:rsidR="008C4D14" w:rsidRDefault="008C4D14" w:rsidP="008C4D14">
      <w:pPr>
        <w:pStyle w:val="ListParagraph"/>
        <w:numPr>
          <w:ilvl w:val="1"/>
          <w:numId w:val="6"/>
        </w:numPr>
        <w:rPr>
          <w:rFonts w:cs="Arial"/>
          <w:noProof/>
          <w:szCs w:val="20"/>
        </w:rPr>
      </w:pPr>
      <w:r w:rsidRPr="004C1AAD">
        <w:rPr>
          <w:rFonts w:cs="Arial"/>
          <w:noProof/>
          <w:szCs w:val="20"/>
        </w:rPr>
        <w:t>Any approval criteria are not met;</w:t>
      </w:r>
      <w:r w:rsidR="0016392F">
        <w:rPr>
          <w:rFonts w:cs="Arial"/>
          <w:noProof/>
          <w:szCs w:val="20"/>
        </w:rPr>
        <w:t xml:space="preserve"> </w:t>
      </w:r>
      <w:r w:rsidR="0016392F">
        <w:rPr>
          <w:rFonts w:cs="Arial"/>
          <w:b/>
          <w:bCs/>
          <w:noProof/>
          <w:color w:val="1F497D" w:themeColor="text2"/>
          <w:szCs w:val="20"/>
        </w:rPr>
        <w:t>OR</w:t>
      </w:r>
    </w:p>
    <w:p w14:paraId="1759A7A3" w14:textId="0BBD8C9C" w:rsidR="008C4D14" w:rsidRPr="0016392F" w:rsidRDefault="008C4D14" w:rsidP="008C4D14">
      <w:pPr>
        <w:pStyle w:val="ListParagraph"/>
        <w:numPr>
          <w:ilvl w:val="1"/>
          <w:numId w:val="6"/>
        </w:numPr>
        <w:rPr>
          <w:rFonts w:cs="Arial"/>
          <w:b/>
          <w:bCs/>
          <w:strike/>
          <w:noProof/>
          <w:color w:val="1F497D" w:themeColor="text2"/>
          <w:szCs w:val="20"/>
        </w:rPr>
      </w:pPr>
      <w:r w:rsidRPr="004C1AAD">
        <w:rPr>
          <w:rFonts w:cs="Arial"/>
          <w:noProof/>
          <w:szCs w:val="20"/>
        </w:rPr>
        <w:t>Participant has not achieved skull maturity, assessed by neuroimaging</w:t>
      </w:r>
      <w:r w:rsidR="0016392F">
        <w:rPr>
          <w:rFonts w:cs="Arial"/>
          <w:b/>
          <w:bCs/>
          <w:noProof/>
          <w:color w:val="1F497D" w:themeColor="text2"/>
          <w:szCs w:val="20"/>
        </w:rPr>
        <w:t>.</w:t>
      </w:r>
      <w:r w:rsidRPr="0016392F">
        <w:rPr>
          <w:rFonts w:cs="Arial"/>
          <w:b/>
          <w:bCs/>
          <w:strike/>
          <w:noProof/>
          <w:color w:val="1F497D" w:themeColor="text2"/>
          <w:szCs w:val="20"/>
        </w:rPr>
        <w:t>; OR</w:t>
      </w:r>
    </w:p>
    <w:p w14:paraId="6580E983" w14:textId="77777777" w:rsidR="008C4D14" w:rsidRPr="0016392F" w:rsidRDefault="008C4D14" w:rsidP="008C4D14">
      <w:pPr>
        <w:pStyle w:val="ListParagraph"/>
        <w:numPr>
          <w:ilvl w:val="1"/>
          <w:numId w:val="6"/>
        </w:numPr>
        <w:rPr>
          <w:rFonts w:cs="Arial"/>
          <w:b/>
          <w:bCs/>
          <w:strike/>
          <w:noProof/>
          <w:color w:val="1F497D" w:themeColor="text2"/>
          <w:szCs w:val="20"/>
        </w:rPr>
      </w:pPr>
      <w:r w:rsidRPr="0016392F">
        <w:rPr>
          <w:rFonts w:cs="Arial"/>
          <w:b/>
          <w:bCs/>
          <w:strike/>
          <w:noProof/>
          <w:color w:val="1F497D" w:themeColor="text2"/>
          <w:szCs w:val="20"/>
        </w:rPr>
        <w:t>Anti-AAV2 neutralizing antibody titer &gt; 1200 folds, or ELISA OD &gt;1</w:t>
      </w: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692A22A5" w:rsidR="00343D6B" w:rsidRPr="00C02553" w:rsidRDefault="00343D6B" w:rsidP="00696E3A">
      <w:r w:rsidRPr="00696E3A">
        <w:rPr>
          <w:b/>
          <w:bCs/>
        </w:rPr>
        <w:t>Default Approval Period:</w:t>
      </w:r>
      <w:r w:rsidR="00973BD6">
        <w:t xml:space="preserve"> </w:t>
      </w:r>
      <w:r w:rsidR="004152C9">
        <w:t>90 days</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083218C7" w14:textId="77777777" w:rsidR="0042167C" w:rsidRPr="002F79D9" w:rsidRDefault="0042167C" w:rsidP="0042167C">
      <w:pPr>
        <w:pStyle w:val="ListParagraph"/>
        <w:numPr>
          <w:ilvl w:val="0"/>
          <w:numId w:val="18"/>
        </w:numPr>
        <w:rPr>
          <w:rFonts w:cs="Arial"/>
          <w:bCs/>
          <w:szCs w:val="20"/>
        </w:rPr>
      </w:pPr>
      <w:r w:rsidRPr="002F79D9">
        <w:rPr>
          <w:rFonts w:cs="Arial"/>
          <w:bCs/>
          <w:szCs w:val="20"/>
        </w:rPr>
        <w:t>Kebilidi™ (eladocagene exuparvovec-tneq) [package insert]. Warren, NJ: PTC Therapeutics; November 2024.</w:t>
      </w:r>
    </w:p>
    <w:p w14:paraId="04ED2FD6" w14:textId="77777777" w:rsidR="0042167C" w:rsidRPr="003B4AAB" w:rsidRDefault="0042167C" w:rsidP="0042167C">
      <w:pPr>
        <w:pStyle w:val="ListParagraph"/>
        <w:numPr>
          <w:ilvl w:val="0"/>
          <w:numId w:val="18"/>
        </w:numPr>
        <w:rPr>
          <w:rFonts w:cs="Arial"/>
          <w:bCs/>
          <w:szCs w:val="20"/>
        </w:rPr>
      </w:pPr>
      <w:r w:rsidRPr="003B4AAB">
        <w:rPr>
          <w:rFonts w:cs="Arial"/>
          <w:bCs/>
          <w:szCs w:val="20"/>
        </w:rPr>
        <w:t>IPD Analytics. New Drug Review: Kebilidi (eladocagene exuparvovec-tneq). December 2024.</w:t>
      </w:r>
    </w:p>
    <w:p w14:paraId="1A50D84C" w14:textId="77777777" w:rsidR="0042167C" w:rsidRDefault="0042167C" w:rsidP="0042167C">
      <w:pPr>
        <w:pStyle w:val="ListParagraph"/>
        <w:numPr>
          <w:ilvl w:val="0"/>
          <w:numId w:val="18"/>
        </w:numPr>
        <w:rPr>
          <w:rFonts w:cs="Arial"/>
          <w:bCs/>
          <w:szCs w:val="20"/>
        </w:rPr>
      </w:pPr>
      <w:r w:rsidRPr="00133343">
        <w:rPr>
          <w:rFonts w:cs="Arial"/>
          <w:bCs/>
          <w:szCs w:val="20"/>
        </w:rPr>
        <w:t xml:space="preserve">Wassenberg, T., Molero-Luis, M., Jeltsch, K. et al. Consensus guideline for the diagnosis and treatment of aromatic l-amino acid decarboxylase (AADC) deficiency. Orphanet J Rare Dis 12, 12 (2017). </w:t>
      </w:r>
      <w:hyperlink r:id="rId11" w:history="1">
        <w:r w:rsidRPr="00ED15F6">
          <w:rPr>
            <w:rStyle w:val="Hyperlink"/>
            <w:rFonts w:cs="Arial"/>
            <w:bCs/>
            <w:szCs w:val="20"/>
          </w:rPr>
          <w:t>https://doi.org/10.1186/s13023-016-0522-z</w:t>
        </w:r>
      </w:hyperlink>
    </w:p>
    <w:p w14:paraId="2A868DE3" w14:textId="77777777" w:rsidR="0042167C" w:rsidRPr="00133343" w:rsidRDefault="0042167C" w:rsidP="0042167C">
      <w:pPr>
        <w:pStyle w:val="ListParagraph"/>
        <w:numPr>
          <w:ilvl w:val="0"/>
          <w:numId w:val="18"/>
        </w:numPr>
        <w:rPr>
          <w:rFonts w:cs="Arial"/>
          <w:bCs/>
          <w:szCs w:val="20"/>
        </w:rPr>
      </w:pPr>
      <w:r w:rsidRPr="00761808">
        <w:rPr>
          <w:rFonts w:cs="Arial"/>
          <w:bCs/>
          <w:szCs w:val="20"/>
        </w:rPr>
        <w:t>DiBacco ML, et al. Burden of illness in aromatic l-amino acid decarboxylase deficiency. Ann Child Neurol Soc, 2023;1(1):75-81.</w:t>
      </w:r>
    </w:p>
    <w:p w14:paraId="3FA1E7DB" w14:textId="556B15D9" w:rsidR="00777CA4" w:rsidRDefault="00777CA4" w:rsidP="0042167C">
      <w:pPr>
        <w:pStyle w:val="ListParagraph"/>
        <w:numPr>
          <w:ilvl w:val="0"/>
          <w:numId w:val="0"/>
        </w:numPr>
        <w:ind w:left="360"/>
      </w:pPr>
    </w:p>
    <w:sectPr w:rsidR="00777CA4"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99E4" w14:textId="77777777" w:rsidR="00674153" w:rsidRPr="00C02553" w:rsidRDefault="00674153" w:rsidP="00AE77DB">
      <w:r w:rsidRPr="00C02553">
        <w:separator/>
      </w:r>
    </w:p>
  </w:endnote>
  <w:endnote w:type="continuationSeparator" w:id="0">
    <w:p w14:paraId="67E4A464" w14:textId="77777777" w:rsidR="00674153" w:rsidRPr="00C02553" w:rsidRDefault="00674153" w:rsidP="00AE77DB">
      <w:r w:rsidRPr="00C02553">
        <w:continuationSeparator/>
      </w:r>
    </w:p>
  </w:endnote>
  <w:endnote w:type="continuationNotice" w:id="1">
    <w:p w14:paraId="53EE29E0" w14:textId="77777777" w:rsidR="00674153" w:rsidRPr="00C02553" w:rsidRDefault="00674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73A5C" w14:textId="77777777" w:rsidR="00674153" w:rsidRPr="00C02553" w:rsidRDefault="00674153" w:rsidP="00AE77DB">
      <w:r w:rsidRPr="00C02553">
        <w:separator/>
      </w:r>
    </w:p>
  </w:footnote>
  <w:footnote w:type="continuationSeparator" w:id="0">
    <w:p w14:paraId="1CDD367A" w14:textId="77777777" w:rsidR="00674153" w:rsidRPr="00C02553" w:rsidRDefault="00674153" w:rsidP="00AE77DB">
      <w:r w:rsidRPr="00C02553">
        <w:continuationSeparator/>
      </w:r>
    </w:p>
  </w:footnote>
  <w:footnote w:type="continuationNotice" w:id="1">
    <w:p w14:paraId="53197A55" w14:textId="77777777" w:rsidR="00674153" w:rsidRPr="00C02553" w:rsidRDefault="00674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302B77">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302B77">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302B77">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848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0612F"/>
    <w:multiLevelType w:val="hybridMultilevel"/>
    <w:tmpl w:val="1DC683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8E67F6"/>
    <w:multiLevelType w:val="hybridMultilevel"/>
    <w:tmpl w:val="DD34C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AB37B0"/>
    <w:multiLevelType w:val="hybridMultilevel"/>
    <w:tmpl w:val="FE7A4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F81C0886">
      <w:numFmt w:val="bullet"/>
      <w:lvlText w:val="•"/>
      <w:lvlJc w:val="left"/>
      <w:pPr>
        <w:ind w:left="2880" w:hanging="720"/>
      </w:pPr>
      <w:rPr>
        <w:rFonts w:ascii="Arial" w:eastAsia="Times New Roman" w:hAnsi="Arial" w:cs="Aria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8"/>
  </w:num>
  <w:num w:numId="5" w16cid:durableId="1769498754">
    <w:abstractNumId w:val="3"/>
  </w:num>
  <w:num w:numId="6" w16cid:durableId="1094596320">
    <w:abstractNumId w:val="15"/>
  </w:num>
  <w:num w:numId="7" w16cid:durableId="2110008555">
    <w:abstractNumId w:val="2"/>
  </w:num>
  <w:num w:numId="8" w16cid:durableId="489712751">
    <w:abstractNumId w:val="7"/>
  </w:num>
  <w:num w:numId="9" w16cid:durableId="1085147965">
    <w:abstractNumId w:val="11"/>
  </w:num>
  <w:num w:numId="10" w16cid:durableId="917518096">
    <w:abstractNumId w:val="9"/>
  </w:num>
  <w:num w:numId="11" w16cid:durableId="1894998475">
    <w:abstractNumId w:val="1"/>
  </w:num>
  <w:num w:numId="12" w16cid:durableId="1418215296">
    <w:abstractNumId w:val="16"/>
  </w:num>
  <w:num w:numId="13" w16cid:durableId="604729665">
    <w:abstractNumId w:val="5"/>
  </w:num>
  <w:num w:numId="14" w16cid:durableId="1805081292">
    <w:abstractNumId w:val="13"/>
  </w:num>
  <w:num w:numId="15" w16cid:durableId="1911186802">
    <w:abstractNumId w:val="6"/>
  </w:num>
  <w:num w:numId="16" w16cid:durableId="210117432">
    <w:abstractNumId w:val="12"/>
  </w:num>
  <w:num w:numId="17" w16cid:durableId="1284579717">
    <w:abstractNumId w:val="10"/>
  </w:num>
  <w:num w:numId="18" w16cid:durableId="73362389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ouDaIegkoFfh5MCvJExkxVrUiIxqB7bwanuSSLm7ktWJaDrQi0fieBHPoaF2UKVjsaVL3KkGTYDUC+XsetDlFg==" w:salt="nwc5ychQk4awRbe4Dr7y5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76D9"/>
    <w:rsid w:val="000344C5"/>
    <w:rsid w:val="00040AD3"/>
    <w:rsid w:val="00053807"/>
    <w:rsid w:val="000572E5"/>
    <w:rsid w:val="00061541"/>
    <w:rsid w:val="00064162"/>
    <w:rsid w:val="00065B0C"/>
    <w:rsid w:val="00065C22"/>
    <w:rsid w:val="00074464"/>
    <w:rsid w:val="00076030"/>
    <w:rsid w:val="00082590"/>
    <w:rsid w:val="000913C3"/>
    <w:rsid w:val="000953B9"/>
    <w:rsid w:val="000A2D17"/>
    <w:rsid w:val="000A413B"/>
    <w:rsid w:val="000A6279"/>
    <w:rsid w:val="000B496B"/>
    <w:rsid w:val="000C3940"/>
    <w:rsid w:val="000C5992"/>
    <w:rsid w:val="000D34B7"/>
    <w:rsid w:val="000E1479"/>
    <w:rsid w:val="000E231E"/>
    <w:rsid w:val="000E247D"/>
    <w:rsid w:val="000E6B14"/>
    <w:rsid w:val="000E6F7C"/>
    <w:rsid w:val="000E70D8"/>
    <w:rsid w:val="001012A4"/>
    <w:rsid w:val="001062F6"/>
    <w:rsid w:val="00112FC7"/>
    <w:rsid w:val="00125F5F"/>
    <w:rsid w:val="00126951"/>
    <w:rsid w:val="00126B60"/>
    <w:rsid w:val="00127EF6"/>
    <w:rsid w:val="001310AD"/>
    <w:rsid w:val="001314A5"/>
    <w:rsid w:val="00132C7F"/>
    <w:rsid w:val="00143A11"/>
    <w:rsid w:val="00144DBE"/>
    <w:rsid w:val="00152C8B"/>
    <w:rsid w:val="0015636A"/>
    <w:rsid w:val="0016392F"/>
    <w:rsid w:val="00172053"/>
    <w:rsid w:val="00177A80"/>
    <w:rsid w:val="001808B8"/>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46564"/>
    <w:rsid w:val="00246A3B"/>
    <w:rsid w:val="00250FBF"/>
    <w:rsid w:val="00255404"/>
    <w:rsid w:val="0025594F"/>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2B77"/>
    <w:rsid w:val="0030301F"/>
    <w:rsid w:val="00303B21"/>
    <w:rsid w:val="003105A5"/>
    <w:rsid w:val="00313701"/>
    <w:rsid w:val="00314430"/>
    <w:rsid w:val="00316188"/>
    <w:rsid w:val="003171AF"/>
    <w:rsid w:val="00317469"/>
    <w:rsid w:val="0032215C"/>
    <w:rsid w:val="00323792"/>
    <w:rsid w:val="0032616B"/>
    <w:rsid w:val="00326687"/>
    <w:rsid w:val="003275F9"/>
    <w:rsid w:val="00330DD4"/>
    <w:rsid w:val="003345D2"/>
    <w:rsid w:val="003355AC"/>
    <w:rsid w:val="00343D6B"/>
    <w:rsid w:val="00346090"/>
    <w:rsid w:val="00347FB5"/>
    <w:rsid w:val="00355515"/>
    <w:rsid w:val="00357F49"/>
    <w:rsid w:val="003608B5"/>
    <w:rsid w:val="003613AF"/>
    <w:rsid w:val="003721A3"/>
    <w:rsid w:val="003878C1"/>
    <w:rsid w:val="00396C0B"/>
    <w:rsid w:val="003A630F"/>
    <w:rsid w:val="003B3958"/>
    <w:rsid w:val="003B4820"/>
    <w:rsid w:val="003B5F4B"/>
    <w:rsid w:val="003B682F"/>
    <w:rsid w:val="003C53FC"/>
    <w:rsid w:val="003C7013"/>
    <w:rsid w:val="003D4704"/>
    <w:rsid w:val="003D641B"/>
    <w:rsid w:val="003F227C"/>
    <w:rsid w:val="004023CC"/>
    <w:rsid w:val="00407564"/>
    <w:rsid w:val="00411152"/>
    <w:rsid w:val="004152C9"/>
    <w:rsid w:val="004156AA"/>
    <w:rsid w:val="0042167C"/>
    <w:rsid w:val="004253A1"/>
    <w:rsid w:val="004313B6"/>
    <w:rsid w:val="00433339"/>
    <w:rsid w:val="00446BBC"/>
    <w:rsid w:val="004472C0"/>
    <w:rsid w:val="00450705"/>
    <w:rsid w:val="00451928"/>
    <w:rsid w:val="00457F6A"/>
    <w:rsid w:val="00460B5D"/>
    <w:rsid w:val="0046618B"/>
    <w:rsid w:val="0046641A"/>
    <w:rsid w:val="0048053E"/>
    <w:rsid w:val="00484516"/>
    <w:rsid w:val="0048608C"/>
    <w:rsid w:val="00496E57"/>
    <w:rsid w:val="004B3E10"/>
    <w:rsid w:val="004C0F5D"/>
    <w:rsid w:val="004C375A"/>
    <w:rsid w:val="004C4954"/>
    <w:rsid w:val="004C5767"/>
    <w:rsid w:val="004D0080"/>
    <w:rsid w:val="004D5322"/>
    <w:rsid w:val="004D78B0"/>
    <w:rsid w:val="004E611F"/>
    <w:rsid w:val="004F1F13"/>
    <w:rsid w:val="004F2A79"/>
    <w:rsid w:val="004F4D37"/>
    <w:rsid w:val="00501A14"/>
    <w:rsid w:val="00501DE3"/>
    <w:rsid w:val="005058CB"/>
    <w:rsid w:val="0051044D"/>
    <w:rsid w:val="005139E4"/>
    <w:rsid w:val="00515075"/>
    <w:rsid w:val="00516D12"/>
    <w:rsid w:val="00520FE9"/>
    <w:rsid w:val="005233E7"/>
    <w:rsid w:val="00526C8D"/>
    <w:rsid w:val="005328B2"/>
    <w:rsid w:val="00535BD5"/>
    <w:rsid w:val="00540977"/>
    <w:rsid w:val="0054683A"/>
    <w:rsid w:val="00551668"/>
    <w:rsid w:val="005572D5"/>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5F2720"/>
    <w:rsid w:val="005F6104"/>
    <w:rsid w:val="0060042F"/>
    <w:rsid w:val="006008BC"/>
    <w:rsid w:val="00602CFD"/>
    <w:rsid w:val="00606B55"/>
    <w:rsid w:val="00612A7B"/>
    <w:rsid w:val="00616E5E"/>
    <w:rsid w:val="006173A4"/>
    <w:rsid w:val="006205AD"/>
    <w:rsid w:val="00625C3A"/>
    <w:rsid w:val="00635DDB"/>
    <w:rsid w:val="0064149A"/>
    <w:rsid w:val="00646DFE"/>
    <w:rsid w:val="00650530"/>
    <w:rsid w:val="00650C96"/>
    <w:rsid w:val="00653788"/>
    <w:rsid w:val="0065477F"/>
    <w:rsid w:val="00656896"/>
    <w:rsid w:val="00661656"/>
    <w:rsid w:val="006630FB"/>
    <w:rsid w:val="0066374F"/>
    <w:rsid w:val="00674153"/>
    <w:rsid w:val="00677C65"/>
    <w:rsid w:val="00693152"/>
    <w:rsid w:val="00694FAE"/>
    <w:rsid w:val="00696E3A"/>
    <w:rsid w:val="006A0834"/>
    <w:rsid w:val="006A37E6"/>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3C12"/>
    <w:rsid w:val="007B5D30"/>
    <w:rsid w:val="007C38ED"/>
    <w:rsid w:val="007D2920"/>
    <w:rsid w:val="007D42DD"/>
    <w:rsid w:val="007D66A8"/>
    <w:rsid w:val="007E6A37"/>
    <w:rsid w:val="007F1774"/>
    <w:rsid w:val="007F39D6"/>
    <w:rsid w:val="007F593C"/>
    <w:rsid w:val="00811A70"/>
    <w:rsid w:val="0081406E"/>
    <w:rsid w:val="00832211"/>
    <w:rsid w:val="008325F4"/>
    <w:rsid w:val="00832AC8"/>
    <w:rsid w:val="00846FA4"/>
    <w:rsid w:val="008524BA"/>
    <w:rsid w:val="00852B74"/>
    <w:rsid w:val="00856928"/>
    <w:rsid w:val="00857835"/>
    <w:rsid w:val="00865538"/>
    <w:rsid w:val="00870875"/>
    <w:rsid w:val="00876416"/>
    <w:rsid w:val="0088225C"/>
    <w:rsid w:val="00884026"/>
    <w:rsid w:val="00884C78"/>
    <w:rsid w:val="008859E1"/>
    <w:rsid w:val="008931D3"/>
    <w:rsid w:val="00896264"/>
    <w:rsid w:val="008A2549"/>
    <w:rsid w:val="008A5D88"/>
    <w:rsid w:val="008B2851"/>
    <w:rsid w:val="008C000E"/>
    <w:rsid w:val="008C4D14"/>
    <w:rsid w:val="008D0F2F"/>
    <w:rsid w:val="008D237F"/>
    <w:rsid w:val="008D3FD8"/>
    <w:rsid w:val="008D6B05"/>
    <w:rsid w:val="008E2197"/>
    <w:rsid w:val="008E3C27"/>
    <w:rsid w:val="008E7D2D"/>
    <w:rsid w:val="008F44C0"/>
    <w:rsid w:val="008F5999"/>
    <w:rsid w:val="00903AD6"/>
    <w:rsid w:val="00904D7A"/>
    <w:rsid w:val="00915332"/>
    <w:rsid w:val="009204BB"/>
    <w:rsid w:val="009225C1"/>
    <w:rsid w:val="00935918"/>
    <w:rsid w:val="00935EC3"/>
    <w:rsid w:val="00951097"/>
    <w:rsid w:val="00953C1E"/>
    <w:rsid w:val="009575DF"/>
    <w:rsid w:val="0096210F"/>
    <w:rsid w:val="00962633"/>
    <w:rsid w:val="00963187"/>
    <w:rsid w:val="00963ACF"/>
    <w:rsid w:val="00963D1C"/>
    <w:rsid w:val="00964284"/>
    <w:rsid w:val="0097028A"/>
    <w:rsid w:val="00972E70"/>
    <w:rsid w:val="00973BD6"/>
    <w:rsid w:val="00984549"/>
    <w:rsid w:val="00985D28"/>
    <w:rsid w:val="009917E2"/>
    <w:rsid w:val="00991BF0"/>
    <w:rsid w:val="00992EA3"/>
    <w:rsid w:val="00993A0D"/>
    <w:rsid w:val="009A0FB1"/>
    <w:rsid w:val="009A1FAC"/>
    <w:rsid w:val="009B001A"/>
    <w:rsid w:val="009B1A62"/>
    <w:rsid w:val="009C3CC7"/>
    <w:rsid w:val="009D2057"/>
    <w:rsid w:val="009D3D6C"/>
    <w:rsid w:val="009D5551"/>
    <w:rsid w:val="009D62DB"/>
    <w:rsid w:val="009E3B42"/>
    <w:rsid w:val="009F518A"/>
    <w:rsid w:val="00A02AF6"/>
    <w:rsid w:val="00A05B60"/>
    <w:rsid w:val="00A13266"/>
    <w:rsid w:val="00A14FA6"/>
    <w:rsid w:val="00A15D64"/>
    <w:rsid w:val="00A20575"/>
    <w:rsid w:val="00A20BE7"/>
    <w:rsid w:val="00A2601C"/>
    <w:rsid w:val="00A32452"/>
    <w:rsid w:val="00A325CC"/>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C3CD9"/>
    <w:rsid w:val="00AD2C5F"/>
    <w:rsid w:val="00AE1481"/>
    <w:rsid w:val="00AE27F9"/>
    <w:rsid w:val="00AE77DB"/>
    <w:rsid w:val="00AF7453"/>
    <w:rsid w:val="00B00EDC"/>
    <w:rsid w:val="00B00FFF"/>
    <w:rsid w:val="00B06084"/>
    <w:rsid w:val="00B12A33"/>
    <w:rsid w:val="00B16735"/>
    <w:rsid w:val="00B17EDE"/>
    <w:rsid w:val="00B22585"/>
    <w:rsid w:val="00B33693"/>
    <w:rsid w:val="00B34C53"/>
    <w:rsid w:val="00B507A5"/>
    <w:rsid w:val="00B52475"/>
    <w:rsid w:val="00B535DA"/>
    <w:rsid w:val="00B5400C"/>
    <w:rsid w:val="00B56DCC"/>
    <w:rsid w:val="00B56F54"/>
    <w:rsid w:val="00B638C2"/>
    <w:rsid w:val="00B758AB"/>
    <w:rsid w:val="00B76277"/>
    <w:rsid w:val="00B772AB"/>
    <w:rsid w:val="00B80395"/>
    <w:rsid w:val="00B80B56"/>
    <w:rsid w:val="00B81482"/>
    <w:rsid w:val="00B86372"/>
    <w:rsid w:val="00BA1C17"/>
    <w:rsid w:val="00BA1D65"/>
    <w:rsid w:val="00BA7899"/>
    <w:rsid w:val="00BB3B4D"/>
    <w:rsid w:val="00BC351E"/>
    <w:rsid w:val="00BC3F77"/>
    <w:rsid w:val="00BC5635"/>
    <w:rsid w:val="00BC5675"/>
    <w:rsid w:val="00BD081C"/>
    <w:rsid w:val="00BD277B"/>
    <w:rsid w:val="00BD47CA"/>
    <w:rsid w:val="00BD62C7"/>
    <w:rsid w:val="00BE020D"/>
    <w:rsid w:val="00BE0248"/>
    <w:rsid w:val="00BE354A"/>
    <w:rsid w:val="00BF5EEF"/>
    <w:rsid w:val="00C02553"/>
    <w:rsid w:val="00C04EB6"/>
    <w:rsid w:val="00C056F9"/>
    <w:rsid w:val="00C07A7B"/>
    <w:rsid w:val="00C1018C"/>
    <w:rsid w:val="00C1150E"/>
    <w:rsid w:val="00C14D52"/>
    <w:rsid w:val="00C2586C"/>
    <w:rsid w:val="00C26001"/>
    <w:rsid w:val="00C34E72"/>
    <w:rsid w:val="00C56B1F"/>
    <w:rsid w:val="00C61B52"/>
    <w:rsid w:val="00C62745"/>
    <w:rsid w:val="00C654CA"/>
    <w:rsid w:val="00C763BD"/>
    <w:rsid w:val="00C779A8"/>
    <w:rsid w:val="00C82E19"/>
    <w:rsid w:val="00C96873"/>
    <w:rsid w:val="00CA1735"/>
    <w:rsid w:val="00CA207E"/>
    <w:rsid w:val="00CA3C4B"/>
    <w:rsid w:val="00CA7252"/>
    <w:rsid w:val="00CB2C5A"/>
    <w:rsid w:val="00CE0C1C"/>
    <w:rsid w:val="00CE34AF"/>
    <w:rsid w:val="00CF00A4"/>
    <w:rsid w:val="00CF25FB"/>
    <w:rsid w:val="00CF614C"/>
    <w:rsid w:val="00D02F34"/>
    <w:rsid w:val="00D13D87"/>
    <w:rsid w:val="00D16590"/>
    <w:rsid w:val="00D20720"/>
    <w:rsid w:val="00D232D9"/>
    <w:rsid w:val="00D250D9"/>
    <w:rsid w:val="00D27533"/>
    <w:rsid w:val="00D42DA3"/>
    <w:rsid w:val="00D4546D"/>
    <w:rsid w:val="00D47996"/>
    <w:rsid w:val="00D61118"/>
    <w:rsid w:val="00D614F1"/>
    <w:rsid w:val="00D70D50"/>
    <w:rsid w:val="00D71917"/>
    <w:rsid w:val="00D85D2B"/>
    <w:rsid w:val="00D95E68"/>
    <w:rsid w:val="00DA12B9"/>
    <w:rsid w:val="00DA3A0F"/>
    <w:rsid w:val="00DA4E62"/>
    <w:rsid w:val="00DA6990"/>
    <w:rsid w:val="00DA6A0E"/>
    <w:rsid w:val="00DB27BA"/>
    <w:rsid w:val="00DB3009"/>
    <w:rsid w:val="00DB337A"/>
    <w:rsid w:val="00DC034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1CFA"/>
    <w:rsid w:val="00E354AA"/>
    <w:rsid w:val="00E43D54"/>
    <w:rsid w:val="00E442FB"/>
    <w:rsid w:val="00E529DB"/>
    <w:rsid w:val="00E53A5E"/>
    <w:rsid w:val="00E6466A"/>
    <w:rsid w:val="00E67B48"/>
    <w:rsid w:val="00E72094"/>
    <w:rsid w:val="00E72221"/>
    <w:rsid w:val="00E73DE2"/>
    <w:rsid w:val="00E81B96"/>
    <w:rsid w:val="00E83428"/>
    <w:rsid w:val="00E84C58"/>
    <w:rsid w:val="00E873A5"/>
    <w:rsid w:val="00E90D11"/>
    <w:rsid w:val="00E915E5"/>
    <w:rsid w:val="00EB0367"/>
    <w:rsid w:val="00EB4FB9"/>
    <w:rsid w:val="00EB5BC8"/>
    <w:rsid w:val="00EC2738"/>
    <w:rsid w:val="00ED0709"/>
    <w:rsid w:val="00ED760F"/>
    <w:rsid w:val="00ED7B42"/>
    <w:rsid w:val="00EE3EA5"/>
    <w:rsid w:val="00EE613F"/>
    <w:rsid w:val="00EE6BD1"/>
    <w:rsid w:val="00EF0262"/>
    <w:rsid w:val="00EF0828"/>
    <w:rsid w:val="00EF6F8B"/>
    <w:rsid w:val="00F03898"/>
    <w:rsid w:val="00F1527A"/>
    <w:rsid w:val="00F2696B"/>
    <w:rsid w:val="00F27821"/>
    <w:rsid w:val="00F34110"/>
    <w:rsid w:val="00F4092A"/>
    <w:rsid w:val="00F41F69"/>
    <w:rsid w:val="00F43E41"/>
    <w:rsid w:val="00F45714"/>
    <w:rsid w:val="00F4790C"/>
    <w:rsid w:val="00F50C4B"/>
    <w:rsid w:val="00F54C08"/>
    <w:rsid w:val="00F553A2"/>
    <w:rsid w:val="00F6068C"/>
    <w:rsid w:val="00F62F33"/>
    <w:rsid w:val="00F634C1"/>
    <w:rsid w:val="00F63A52"/>
    <w:rsid w:val="00F730BA"/>
    <w:rsid w:val="00F87CCE"/>
    <w:rsid w:val="00F903BE"/>
    <w:rsid w:val="00F90451"/>
    <w:rsid w:val="00F95D04"/>
    <w:rsid w:val="00FA16EC"/>
    <w:rsid w:val="00FA2811"/>
    <w:rsid w:val="00FA4837"/>
    <w:rsid w:val="00FB1D33"/>
    <w:rsid w:val="00FB5E96"/>
    <w:rsid w:val="00FC05A0"/>
    <w:rsid w:val="00FC6758"/>
    <w:rsid w:val="00FD34EA"/>
    <w:rsid w:val="00FE3F3E"/>
    <w:rsid w:val="00FE4D52"/>
    <w:rsid w:val="00FE5AEE"/>
    <w:rsid w:val="00FF106B"/>
    <w:rsid w:val="00FF2337"/>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uiPriority w:val="99"/>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42167C"/>
    <w:rPr>
      <w:sz w:val="16"/>
      <w:szCs w:val="16"/>
    </w:rPr>
  </w:style>
  <w:style w:type="paragraph" w:styleId="CommentSubject">
    <w:name w:val="annotation subject"/>
    <w:basedOn w:val="CommentText"/>
    <w:next w:val="CommentText"/>
    <w:link w:val="CommentSubjectChar"/>
    <w:uiPriority w:val="99"/>
    <w:semiHidden/>
    <w:unhideWhenUsed/>
    <w:rsid w:val="0042167C"/>
    <w:rPr>
      <w:b/>
      <w:bCs/>
    </w:rPr>
  </w:style>
  <w:style w:type="character" w:customStyle="1" w:styleId="CommentTextChar">
    <w:name w:val="Comment Text Char"/>
    <w:basedOn w:val="DefaultParagraphFont"/>
    <w:link w:val="CommentText"/>
    <w:semiHidden/>
    <w:rsid w:val="0042167C"/>
    <w:rPr>
      <w:rFonts w:ascii="Arial" w:hAnsi="Arial"/>
    </w:rPr>
  </w:style>
  <w:style w:type="character" w:customStyle="1" w:styleId="CommentSubjectChar">
    <w:name w:val="Comment Subject Char"/>
    <w:basedOn w:val="CommentTextChar"/>
    <w:link w:val="CommentSubject"/>
    <w:uiPriority w:val="99"/>
    <w:semiHidden/>
    <w:rsid w:val="0042167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86/s13023-016-0522-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D5665-63BA-4E1D-9991-1AEFCCB5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0F9992BC-7C11-4A83-A97F-D2E41AE80BFC}">
  <ds:schemaRefs>
    <ds:schemaRef ds:uri="http://schemas.microsoft.com/office/2006/documentManagement/types"/>
    <ds:schemaRef ds:uri="http://schemas.openxmlformats.org/package/2006/metadata/core-properties"/>
    <ds:schemaRef ds:uri="http://purl.org/dc/dcmitype/"/>
    <ds:schemaRef ds:uri="f5eefb00-5952-4f7e-8cf8-96f81cfadd01"/>
    <ds:schemaRef ds:uri="http://purl.org/dc/elements/1.1/"/>
    <ds:schemaRef ds:uri="http://schemas.microsoft.com/office/2006/metadata/properties"/>
    <ds:schemaRef ds:uri="http://schemas.microsoft.com/office/infopath/2007/PartnerControls"/>
    <ds:schemaRef ds:uri="http://schemas.microsoft.com/sharepoint/v3"/>
    <ds:schemaRef ds:uri="aba01ddc-ae9a-4c9e-819c-7140b4239cde"/>
    <ds:schemaRef ds:uri="http://www.w3.org/XML/1998/namespace"/>
    <ds:schemaRef ds:uri="http://purl.org/dc/terms/"/>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90</TotalTime>
  <Pages>2</Pages>
  <Words>568</Words>
  <Characters>3562</Characters>
  <Application>Microsoft Office Word</Application>
  <DocSecurity>10</DocSecurity>
  <Lines>29</Lines>
  <Paragraphs>8</Paragraphs>
  <ScaleCrop>false</ScaleCrop>
  <HeadingPairs>
    <vt:vector size="2" baseType="variant">
      <vt:variant>
        <vt:lpstr>Title</vt:lpstr>
      </vt:variant>
      <vt:variant>
        <vt:i4>1</vt:i4>
      </vt:variant>
    </vt:vector>
  </HeadingPairs>
  <TitlesOfParts>
    <vt:vector size="1" baseType="lpstr">
      <vt:lpstr>Kebilidi CE</vt:lpstr>
    </vt:vector>
  </TitlesOfParts>
  <Company>DSS</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Kebilidi CE</dc:title>
  <dc:subject/>
  <dc:creator>DMS</dc:creator>
  <cp:keywords/>
  <cp:lastModifiedBy>Heriford, Katherine</cp:lastModifiedBy>
  <cp:revision>50</cp:revision>
  <cp:lastPrinted>2018-10-31T18:17:00Z</cp:lastPrinted>
  <dcterms:created xsi:type="dcterms:W3CDTF">2025-11-19T15:39:00Z</dcterms:created>
  <dcterms:modified xsi:type="dcterms:W3CDTF">2026-04-06T14:30:00Z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