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4A4B924" w:rsidR="004C5767" w:rsidRPr="008859E1" w:rsidRDefault="004C5767" w:rsidP="00D27533">
      <w:pPr>
        <w:pStyle w:val="tbody"/>
        <w:rPr>
          <w:b w:val="0"/>
          <w:bCs/>
        </w:rPr>
      </w:pPr>
      <w:r w:rsidRPr="00C02553">
        <w:t>Drug/Drug Class:</w:t>
      </w:r>
      <w:r w:rsidR="003B4820" w:rsidRPr="00573856">
        <w:rPr>
          <w:b w:val="0"/>
          <w:bCs/>
        </w:rPr>
        <w:t xml:space="preserve"> </w:t>
      </w:r>
      <w:r w:rsidR="00E8196E" w:rsidRPr="00E8196E">
        <w:rPr>
          <w:b w:val="0"/>
          <w:bCs/>
        </w:rPr>
        <w:t>Nonsteroidal Anti-Inflammatory Drugs (NSAIDs), Ophthalmic PDL Edit</w:t>
      </w:r>
    </w:p>
    <w:p w14:paraId="7AD7FFCE" w14:textId="5A40AB54" w:rsidR="004C5767" w:rsidRPr="00C02553" w:rsidRDefault="004C5767" w:rsidP="00D27533">
      <w:pPr>
        <w:pStyle w:val="tbody"/>
      </w:pPr>
      <w:r w:rsidRPr="00C02553">
        <w:t>First Implementation Date:</w:t>
      </w:r>
      <w:r w:rsidRPr="00573856">
        <w:rPr>
          <w:b w:val="0"/>
          <w:bCs/>
        </w:rPr>
        <w:t xml:space="preserve"> </w:t>
      </w:r>
      <w:r w:rsidR="00FA0FF6" w:rsidRPr="00FA0FF6">
        <w:rPr>
          <w:b w:val="0"/>
          <w:bCs/>
        </w:rPr>
        <w:t>November 30, 2006</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DF99E90" w:rsidR="004C5767" w:rsidRPr="00D27533" w:rsidRDefault="004C5767" w:rsidP="00D27533">
      <w:pPr>
        <w:pStyle w:val="tbody"/>
        <w:rPr>
          <w:b w:val="0"/>
          <w:bCs/>
          <w:spacing w:val="-3"/>
        </w:rPr>
      </w:pPr>
      <w:r w:rsidRPr="00C02553">
        <w:t xml:space="preserve">Criteria Status: </w:t>
      </w:r>
      <w:r w:rsidR="00566BE4" w:rsidRPr="000B18D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290E0A12" w:rsidR="00B56DCC" w:rsidRDefault="00A070E0" w:rsidP="00696E3A">
      <w:r w:rsidRPr="00A070E0">
        <w:t>The ophthalmic NSAID agents are believed to inhibit the cyclooxygenase enzyme that is essential in the biosynthesis of prostaglandins. They reduce ophthalmic inflammation when applied topically in the eye for the treatment of various ophthalmic conditions. These agents are effective for the prophylaxis and treatment of ocular conditions including non-infectious inflammation, inhibition of intraoperative miosis, pain and healing following cataract and refractive surgery, and allergic conjunctivitis. Their safety and efficacy for treatment of ocular inflammatory conditions, especially those that result in postoperative ocular pain, inflammation, and edema have been well documented in clinical studies.</w:t>
      </w:r>
    </w:p>
    <w:p w14:paraId="31ADAC45" w14:textId="77777777" w:rsidR="00A070E0" w:rsidRDefault="00A070E0"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322FC4" w14:textId="77777777" w:rsidR="003671C7" w:rsidRPr="00E044BC" w:rsidRDefault="003671C7" w:rsidP="003671C7">
      <w:pPr>
        <w:numPr>
          <w:ilvl w:val="0"/>
          <w:numId w:val="15"/>
        </w:numPr>
        <w:rPr>
          <w:rFonts w:cs="Arial"/>
          <w:i/>
          <w:iCs/>
          <w:spacing w:val="-3"/>
          <w:szCs w:val="20"/>
        </w:rPr>
      </w:pPr>
      <w:r w:rsidRPr="00E044BC">
        <w:rPr>
          <w:rFonts w:cs="Arial"/>
          <w:spacing w:val="-3"/>
          <w:szCs w:val="20"/>
        </w:rPr>
        <w:t>Diclofenac</w:t>
      </w:r>
    </w:p>
    <w:p w14:paraId="60F3EE08" w14:textId="77777777" w:rsidR="003671C7" w:rsidRDefault="003671C7" w:rsidP="003671C7">
      <w:pPr>
        <w:numPr>
          <w:ilvl w:val="0"/>
          <w:numId w:val="15"/>
        </w:numPr>
        <w:rPr>
          <w:rFonts w:cs="Arial"/>
          <w:spacing w:val="-3"/>
          <w:szCs w:val="20"/>
        </w:rPr>
      </w:pPr>
      <w:r w:rsidRPr="00E044BC">
        <w:rPr>
          <w:rFonts w:cs="Arial"/>
          <w:spacing w:val="-3"/>
          <w:szCs w:val="20"/>
        </w:rPr>
        <w:t xml:space="preserve">Flurbiprofen Sodium </w:t>
      </w:r>
    </w:p>
    <w:p w14:paraId="47320590" w14:textId="311DD7FE" w:rsidR="00FD34EA" w:rsidRPr="003671C7" w:rsidRDefault="003671C7" w:rsidP="003671C7">
      <w:pPr>
        <w:numPr>
          <w:ilvl w:val="0"/>
          <w:numId w:val="15"/>
        </w:numPr>
        <w:rPr>
          <w:rFonts w:cs="Arial"/>
          <w:spacing w:val="-3"/>
          <w:szCs w:val="20"/>
        </w:rPr>
      </w:pPr>
      <w:r w:rsidRPr="003671C7">
        <w:rPr>
          <w:rFonts w:cs="Arial"/>
          <w:szCs w:val="20"/>
        </w:rPr>
        <w:t>Ketorolac Opth</w:t>
      </w:r>
    </w:p>
    <w:p w14:paraId="521E9351" w14:textId="77777777" w:rsidR="003671C7" w:rsidRPr="003671C7" w:rsidRDefault="003671C7" w:rsidP="003671C7">
      <w:pPr>
        <w:ind w:left="360"/>
        <w:rPr>
          <w:rFonts w:cs="Arial"/>
          <w:spacing w:val="-3"/>
          <w:szCs w:val="20"/>
        </w:rPr>
      </w:pPr>
    </w:p>
    <w:p w14:paraId="56404718" w14:textId="252714AD" w:rsidR="00846FA4" w:rsidRDefault="00846FA4" w:rsidP="00846FA4">
      <w:pPr>
        <w:rPr>
          <w:b/>
          <w:bCs/>
        </w:rPr>
      </w:pPr>
      <w:r>
        <w:rPr>
          <w:b/>
          <w:bCs/>
        </w:rPr>
        <w:t>Non-Preferred Agents:</w:t>
      </w:r>
    </w:p>
    <w:p w14:paraId="4E3A86BA" w14:textId="77777777" w:rsidR="00C638E7" w:rsidRPr="00E044BC" w:rsidRDefault="00C638E7" w:rsidP="00C638E7">
      <w:pPr>
        <w:numPr>
          <w:ilvl w:val="0"/>
          <w:numId w:val="15"/>
        </w:numPr>
        <w:tabs>
          <w:tab w:val="num" w:pos="432"/>
        </w:tabs>
        <w:rPr>
          <w:rFonts w:cs="Arial"/>
          <w:spacing w:val="-3"/>
          <w:szCs w:val="20"/>
        </w:rPr>
      </w:pPr>
      <w:r w:rsidRPr="00E044BC">
        <w:rPr>
          <w:rFonts w:cs="Arial"/>
          <w:spacing w:val="-3"/>
          <w:szCs w:val="20"/>
        </w:rPr>
        <w:t>Acular</w:t>
      </w:r>
      <w:r w:rsidRPr="00E044BC">
        <w:rPr>
          <w:rFonts w:cs="Arial"/>
          <w:spacing w:val="-3"/>
          <w:szCs w:val="20"/>
          <w:vertAlign w:val="superscript"/>
        </w:rPr>
        <w:sym w:font="Symbol" w:char="F0E2"/>
      </w:r>
    </w:p>
    <w:p w14:paraId="364F68C2" w14:textId="77777777" w:rsidR="00C638E7" w:rsidRPr="00E044BC" w:rsidRDefault="00C638E7" w:rsidP="00C638E7">
      <w:pPr>
        <w:numPr>
          <w:ilvl w:val="0"/>
          <w:numId w:val="15"/>
        </w:numPr>
        <w:tabs>
          <w:tab w:val="num" w:pos="432"/>
        </w:tabs>
        <w:rPr>
          <w:rFonts w:cs="Arial"/>
          <w:spacing w:val="-3"/>
          <w:szCs w:val="20"/>
        </w:rPr>
      </w:pPr>
      <w:r w:rsidRPr="00E044BC">
        <w:rPr>
          <w:rFonts w:cs="Arial"/>
          <w:spacing w:val="-3"/>
          <w:szCs w:val="20"/>
        </w:rPr>
        <w:t>Acular LS</w:t>
      </w:r>
      <w:r w:rsidRPr="00E044BC">
        <w:rPr>
          <w:rFonts w:cs="Arial"/>
          <w:spacing w:val="-3"/>
          <w:szCs w:val="20"/>
          <w:vertAlign w:val="superscript"/>
        </w:rPr>
        <w:sym w:font="Symbol" w:char="F0E2"/>
      </w:r>
    </w:p>
    <w:p w14:paraId="1F72B67E" w14:textId="77777777" w:rsidR="00C638E7" w:rsidRPr="00E044BC" w:rsidRDefault="00C638E7" w:rsidP="00C638E7">
      <w:pPr>
        <w:numPr>
          <w:ilvl w:val="0"/>
          <w:numId w:val="15"/>
        </w:numPr>
        <w:tabs>
          <w:tab w:val="num" w:pos="432"/>
        </w:tabs>
        <w:rPr>
          <w:rFonts w:cs="Arial"/>
          <w:spacing w:val="-3"/>
          <w:szCs w:val="20"/>
        </w:rPr>
      </w:pPr>
      <w:r w:rsidRPr="00E044BC">
        <w:rPr>
          <w:rFonts w:cs="Arial"/>
          <w:spacing w:val="-3"/>
          <w:szCs w:val="20"/>
        </w:rPr>
        <w:t>Acuvail</w:t>
      </w:r>
      <w:r w:rsidRPr="00E044BC">
        <w:rPr>
          <w:rFonts w:cs="Arial"/>
          <w:spacing w:val="-3"/>
          <w:szCs w:val="20"/>
          <w:vertAlign w:val="superscript"/>
        </w:rPr>
        <w:sym w:font="Symbol" w:char="F0E2"/>
      </w:r>
    </w:p>
    <w:p w14:paraId="0ECFB55A" w14:textId="77777777" w:rsidR="00C638E7" w:rsidRPr="00E044BC" w:rsidRDefault="00C638E7" w:rsidP="00C638E7">
      <w:pPr>
        <w:numPr>
          <w:ilvl w:val="0"/>
          <w:numId w:val="15"/>
        </w:numPr>
        <w:tabs>
          <w:tab w:val="num" w:pos="432"/>
        </w:tabs>
        <w:rPr>
          <w:rFonts w:cs="Arial"/>
          <w:spacing w:val="-3"/>
          <w:szCs w:val="20"/>
        </w:rPr>
      </w:pPr>
      <w:r w:rsidRPr="00E044BC">
        <w:rPr>
          <w:rFonts w:cs="Arial"/>
          <w:spacing w:val="-3"/>
          <w:szCs w:val="20"/>
        </w:rPr>
        <w:t>Bromfenac</w:t>
      </w:r>
    </w:p>
    <w:p w14:paraId="516CEC4D" w14:textId="77777777" w:rsidR="00C638E7" w:rsidRPr="00E044BC" w:rsidRDefault="00C638E7" w:rsidP="00C638E7">
      <w:pPr>
        <w:numPr>
          <w:ilvl w:val="0"/>
          <w:numId w:val="15"/>
        </w:numPr>
        <w:tabs>
          <w:tab w:val="num" w:pos="432"/>
        </w:tabs>
        <w:rPr>
          <w:rFonts w:cs="Arial"/>
          <w:spacing w:val="-3"/>
          <w:szCs w:val="20"/>
        </w:rPr>
      </w:pPr>
      <w:r w:rsidRPr="00E044BC">
        <w:rPr>
          <w:rFonts w:cs="Arial"/>
          <w:spacing w:val="-3"/>
          <w:szCs w:val="20"/>
        </w:rPr>
        <w:t>BromSite</w:t>
      </w:r>
      <w:r w:rsidRPr="00E044BC">
        <w:rPr>
          <w:rFonts w:cs="Arial"/>
          <w:spacing w:val="-3"/>
          <w:szCs w:val="20"/>
          <w:vertAlign w:val="superscript"/>
        </w:rPr>
        <w:t>®</w:t>
      </w:r>
    </w:p>
    <w:p w14:paraId="5AB21F10" w14:textId="77777777" w:rsidR="00C638E7" w:rsidRPr="00E044BC" w:rsidRDefault="00C638E7" w:rsidP="00C638E7">
      <w:pPr>
        <w:numPr>
          <w:ilvl w:val="0"/>
          <w:numId w:val="15"/>
        </w:numPr>
        <w:rPr>
          <w:rFonts w:cs="Arial"/>
          <w:i/>
          <w:iCs/>
          <w:spacing w:val="-3"/>
          <w:szCs w:val="20"/>
        </w:rPr>
      </w:pPr>
      <w:r w:rsidRPr="00E044BC">
        <w:rPr>
          <w:rFonts w:cs="Arial"/>
          <w:spacing w:val="-3"/>
          <w:szCs w:val="20"/>
        </w:rPr>
        <w:t>Ilevro</w:t>
      </w:r>
      <w:r w:rsidRPr="00E044BC">
        <w:rPr>
          <w:rFonts w:cs="Arial"/>
          <w:spacing w:val="-3"/>
          <w:szCs w:val="20"/>
          <w:vertAlign w:val="superscript"/>
        </w:rPr>
        <w:sym w:font="Symbol" w:char="F0E2"/>
      </w:r>
    </w:p>
    <w:p w14:paraId="15963A5C" w14:textId="77777777" w:rsidR="00C638E7" w:rsidRDefault="00C638E7" w:rsidP="00C638E7">
      <w:pPr>
        <w:numPr>
          <w:ilvl w:val="0"/>
          <w:numId w:val="15"/>
        </w:numPr>
        <w:tabs>
          <w:tab w:val="num" w:pos="432"/>
        </w:tabs>
        <w:rPr>
          <w:rFonts w:cs="Arial"/>
          <w:iCs/>
          <w:spacing w:val="-3"/>
          <w:szCs w:val="20"/>
        </w:rPr>
      </w:pPr>
      <w:r w:rsidRPr="00E044BC">
        <w:rPr>
          <w:rFonts w:cs="Arial"/>
          <w:spacing w:val="-3"/>
          <w:szCs w:val="20"/>
        </w:rPr>
        <w:t>Nevanac</w:t>
      </w:r>
      <w:r w:rsidRPr="00E044BC">
        <w:rPr>
          <w:rFonts w:cs="Arial"/>
          <w:spacing w:val="-3"/>
          <w:szCs w:val="20"/>
          <w:vertAlign w:val="superscript"/>
        </w:rPr>
        <w:sym w:font="Symbol" w:char="F0E2"/>
      </w:r>
    </w:p>
    <w:p w14:paraId="6D696800" w14:textId="3FCC2437" w:rsidR="00E23EC0" w:rsidRPr="00C638E7" w:rsidRDefault="00C638E7" w:rsidP="00C638E7">
      <w:pPr>
        <w:numPr>
          <w:ilvl w:val="0"/>
          <w:numId w:val="15"/>
        </w:numPr>
        <w:tabs>
          <w:tab w:val="num" w:pos="432"/>
        </w:tabs>
        <w:rPr>
          <w:rFonts w:cs="Arial"/>
          <w:iCs/>
          <w:spacing w:val="-3"/>
          <w:szCs w:val="20"/>
        </w:rPr>
      </w:pPr>
      <w:r w:rsidRPr="00C638E7">
        <w:rPr>
          <w:rFonts w:cs="Arial"/>
          <w:spacing w:val="-3"/>
          <w:szCs w:val="20"/>
        </w:rPr>
        <w:t>Prolensa</w:t>
      </w:r>
      <w:r w:rsidRPr="00E044BC">
        <w:rPr>
          <w:rFonts w:cs="Arial"/>
          <w:spacing w:val="-3"/>
          <w:szCs w:val="20"/>
          <w:vertAlign w:val="superscript"/>
        </w:rPr>
        <w:sym w:font="Symbol" w:char="F0E2"/>
      </w:r>
    </w:p>
    <w:p w14:paraId="04213D8D" w14:textId="77777777" w:rsidR="00C638E7" w:rsidRPr="00C638E7" w:rsidRDefault="00C638E7" w:rsidP="00C638E7">
      <w:pPr>
        <w:ind w:left="360"/>
        <w:rPr>
          <w:rFonts w:cs="Arial"/>
          <w:iCs/>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DBB402A" w:rsidR="0097028A" w:rsidRPr="0079438F" w:rsidRDefault="0097028A" w:rsidP="00696E3A">
      <w:pPr>
        <w:rPr>
          <w:b/>
        </w:rPr>
      </w:pPr>
      <w:r w:rsidRPr="00696E3A">
        <w:rPr>
          <w:b/>
          <w:bCs/>
        </w:rPr>
        <w:t>Drug class for review:</w:t>
      </w:r>
      <w:r w:rsidRPr="00C02553">
        <w:t xml:space="preserve"> </w:t>
      </w:r>
      <w:r w:rsidR="00B81CCC" w:rsidRPr="00B81CCC">
        <w:t>Nonsteroidal Anti-Inflammatory Drugs (NSAID), Ophthalmic</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011967F0" w14:textId="77777777" w:rsidR="006934D0" w:rsidRDefault="006934D0" w:rsidP="005328B2">
      <w:pPr>
        <w:rPr>
          <w:rFonts w:cs="Arial"/>
          <w:szCs w:val="20"/>
        </w:rPr>
      </w:pPr>
    </w:p>
    <w:p w14:paraId="29C286D1" w14:textId="77777777" w:rsidR="006934D0" w:rsidRPr="002C2C41" w:rsidRDefault="006934D0"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2F56B7E5" w14:textId="77777777" w:rsidR="005B5B27" w:rsidRPr="0092322A" w:rsidRDefault="005B5B27" w:rsidP="005B5B27">
      <w:pPr>
        <w:numPr>
          <w:ilvl w:val="0"/>
          <w:numId w:val="16"/>
        </w:numPr>
        <w:rPr>
          <w:rFonts w:cs="Arial"/>
          <w:b/>
          <w:szCs w:val="20"/>
        </w:rPr>
      </w:pPr>
      <w:r>
        <w:rPr>
          <w:rFonts w:cs="Arial"/>
          <w:bCs/>
          <w:szCs w:val="20"/>
        </w:rPr>
        <w:t>Must meet one of the following:</w:t>
      </w:r>
    </w:p>
    <w:p w14:paraId="2CD9AA27" w14:textId="77777777" w:rsidR="005B5B27" w:rsidRDefault="005B5B27" w:rsidP="005B5B27">
      <w:pPr>
        <w:numPr>
          <w:ilvl w:val="1"/>
          <w:numId w:val="16"/>
        </w:numPr>
        <w:ind w:left="720"/>
        <w:rPr>
          <w:rFonts w:cs="Arial"/>
          <w:b/>
          <w:szCs w:val="20"/>
        </w:rPr>
      </w:pPr>
      <w:r>
        <w:rPr>
          <w:rFonts w:cs="Arial"/>
          <w:bCs/>
          <w:szCs w:val="20"/>
        </w:rPr>
        <w:t xml:space="preserve">Claim is for a preferred agent; </w:t>
      </w:r>
      <w:r w:rsidRPr="00C254BD">
        <w:rPr>
          <w:rFonts w:cs="Arial"/>
          <w:b/>
          <w:szCs w:val="20"/>
        </w:rPr>
        <w:t>OR</w:t>
      </w:r>
    </w:p>
    <w:p w14:paraId="35616B77" w14:textId="77777777" w:rsidR="005B5B27" w:rsidRPr="00A22E97" w:rsidRDefault="005B5B27" w:rsidP="005B5B27">
      <w:pPr>
        <w:numPr>
          <w:ilvl w:val="1"/>
          <w:numId w:val="16"/>
        </w:numPr>
        <w:ind w:left="720"/>
        <w:rPr>
          <w:rFonts w:cs="Arial"/>
          <w:b/>
          <w:szCs w:val="20"/>
        </w:rPr>
      </w:pPr>
      <w:r w:rsidRPr="00A22E97">
        <w:rPr>
          <w:rFonts w:cs="Arial"/>
          <w:szCs w:val="20"/>
        </w:rPr>
        <w:t>Failure to achieve desired therapeutic outcomes with trial o</w:t>
      </w:r>
      <w:r>
        <w:rPr>
          <w:rFonts w:cs="Arial"/>
          <w:szCs w:val="20"/>
        </w:rPr>
        <w:t>f</w:t>
      </w:r>
      <w:r w:rsidRPr="00A22E97">
        <w:rPr>
          <w:rFonts w:cs="Arial"/>
          <w:szCs w:val="20"/>
        </w:rPr>
        <w:t xml:space="preserve"> </w:t>
      </w:r>
      <w:r>
        <w:rPr>
          <w:rFonts w:cs="Arial"/>
          <w:bCs/>
          <w:szCs w:val="20"/>
        </w:rPr>
        <w:t>3</w:t>
      </w:r>
      <w:r w:rsidRPr="00681A66">
        <w:rPr>
          <w:rFonts w:cs="Arial"/>
          <w:bCs/>
          <w:szCs w:val="20"/>
        </w:rPr>
        <w:t xml:space="preserve"> </w:t>
      </w:r>
      <w:r>
        <w:rPr>
          <w:rFonts w:cs="Arial"/>
          <w:bCs/>
          <w:szCs w:val="20"/>
        </w:rPr>
        <w:t>or more</w:t>
      </w:r>
      <w:r w:rsidRPr="00A22E97">
        <w:rPr>
          <w:rFonts w:cs="Arial"/>
          <w:bCs/>
          <w:szCs w:val="20"/>
        </w:rPr>
        <w:t xml:space="preserve"> </w:t>
      </w:r>
      <w:r w:rsidRPr="00A22E97">
        <w:rPr>
          <w:rFonts w:cs="Arial"/>
          <w:szCs w:val="20"/>
        </w:rPr>
        <w:t>preferred agent</w:t>
      </w:r>
      <w:r>
        <w:rPr>
          <w:rFonts w:cs="Arial"/>
          <w:szCs w:val="20"/>
        </w:rPr>
        <w:t>s:</w:t>
      </w:r>
    </w:p>
    <w:p w14:paraId="75649123" w14:textId="77777777" w:rsidR="005B5B27" w:rsidRPr="003040AE" w:rsidRDefault="005B5B27" w:rsidP="005B5B27">
      <w:pPr>
        <w:numPr>
          <w:ilvl w:val="2"/>
          <w:numId w:val="16"/>
        </w:numPr>
        <w:ind w:left="1080"/>
        <w:jc w:val="both"/>
        <w:rPr>
          <w:rFonts w:cs="Arial"/>
          <w:szCs w:val="20"/>
        </w:rPr>
      </w:pPr>
      <w:r w:rsidRPr="003040AE">
        <w:rPr>
          <w:rFonts w:cs="Arial"/>
          <w:szCs w:val="20"/>
        </w:rPr>
        <w:t>Documented trial period of preferred agents</w:t>
      </w:r>
      <w:r>
        <w:rPr>
          <w:rFonts w:cs="Arial"/>
          <w:szCs w:val="20"/>
        </w:rPr>
        <w:t xml:space="preserve">; </w:t>
      </w:r>
      <w:r w:rsidRPr="00AF2E62">
        <w:rPr>
          <w:rFonts w:cs="Arial"/>
          <w:b/>
          <w:bCs/>
          <w:szCs w:val="20"/>
        </w:rPr>
        <w:t>OR</w:t>
      </w:r>
    </w:p>
    <w:p w14:paraId="2E20F4E9" w14:textId="77777777" w:rsidR="005B5B27" w:rsidRPr="003040AE" w:rsidRDefault="005B5B27" w:rsidP="005B5B27">
      <w:pPr>
        <w:numPr>
          <w:ilvl w:val="2"/>
          <w:numId w:val="16"/>
        </w:numPr>
        <w:ind w:left="1080"/>
        <w:jc w:val="both"/>
        <w:rPr>
          <w:rFonts w:cs="Arial"/>
          <w:szCs w:val="20"/>
        </w:rPr>
      </w:pPr>
      <w:r w:rsidRPr="003040AE">
        <w:rPr>
          <w:rFonts w:cs="Arial"/>
          <w:szCs w:val="20"/>
        </w:rPr>
        <w:t xml:space="preserve">Documented ADE/ADR to preferred agents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AB2BC4D" w14:textId="77777777" w:rsidR="00C33C0A" w:rsidRDefault="00C33C0A" w:rsidP="00C33C0A">
      <w:pPr>
        <w:numPr>
          <w:ilvl w:val="0"/>
          <w:numId w:val="16"/>
        </w:numPr>
        <w:rPr>
          <w:rFonts w:cs="Arial"/>
          <w:szCs w:val="20"/>
        </w:rPr>
      </w:pPr>
      <w:r>
        <w:rPr>
          <w:rFonts w:cs="Arial"/>
          <w:szCs w:val="20"/>
        </w:rPr>
        <w:t>Therapy will deny with presence of one of the following:</w:t>
      </w:r>
    </w:p>
    <w:p w14:paraId="45EEA03A" w14:textId="77777777" w:rsidR="00C33C0A" w:rsidRPr="0049430E" w:rsidRDefault="00C33C0A" w:rsidP="00C33C0A">
      <w:pPr>
        <w:numPr>
          <w:ilvl w:val="1"/>
          <w:numId w:val="16"/>
        </w:numPr>
        <w:ind w:left="720"/>
        <w:rPr>
          <w:rFonts w:cs="Arial"/>
          <w:noProof/>
        </w:rPr>
      </w:pPr>
      <w:r>
        <w:rPr>
          <w:rFonts w:cs="Arial"/>
          <w:szCs w:val="20"/>
        </w:rPr>
        <w:t>Any approval criteria are not met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2D20FAB" w14:textId="77777777" w:rsidR="00BC6056" w:rsidRPr="00C73916" w:rsidRDefault="00BC6056" w:rsidP="00BC6056">
      <w:pPr>
        <w:pStyle w:val="ListParagraph"/>
        <w:numPr>
          <w:ilvl w:val="0"/>
          <w:numId w:val="17"/>
        </w:numPr>
        <w:rPr>
          <w:rFonts w:cs="Arial"/>
          <w:szCs w:val="20"/>
        </w:rPr>
      </w:pPr>
      <w:r w:rsidRPr="00C73916">
        <w:rPr>
          <w:rFonts w:cs="Arial"/>
          <w:szCs w:val="20"/>
        </w:rPr>
        <w:t xml:space="preserve">Evidence-Based Medicine and Fiscal Analysis: “Therapeutic Class Review: OPHTHALMIC: NSAIDS”, Gainwell Technologies; Last updated </w:t>
      </w:r>
      <w:r>
        <w:rPr>
          <w:rFonts w:cs="Arial"/>
          <w:szCs w:val="20"/>
        </w:rPr>
        <w:t>February 8, 2024</w:t>
      </w:r>
      <w:r w:rsidRPr="00C73916">
        <w:rPr>
          <w:rFonts w:cs="Arial"/>
          <w:szCs w:val="20"/>
        </w:rPr>
        <w:t>.</w:t>
      </w:r>
    </w:p>
    <w:p w14:paraId="2FB00CF5" w14:textId="22E08E3D" w:rsidR="00BC6056" w:rsidRPr="00D63DF6" w:rsidRDefault="00BC6056" w:rsidP="00BC6056">
      <w:pPr>
        <w:numPr>
          <w:ilvl w:val="0"/>
          <w:numId w:val="17"/>
        </w:numPr>
        <w:rPr>
          <w:rFonts w:cs="Arial"/>
          <w:szCs w:val="20"/>
        </w:rPr>
      </w:pPr>
      <w:r w:rsidRPr="00D63DF6">
        <w:rPr>
          <w:rFonts w:cs="Arial"/>
          <w:szCs w:val="20"/>
        </w:rPr>
        <w:t xml:space="preserve">Evidence-Based Medicine Analysis: “Ophthalmic Nonsteroidal Anti-inflammatory Drugs (NSAIDs)”, UMKC-DIC; </w:t>
      </w:r>
      <w:bookmarkStart w:id="2" w:name="_Hlk34121003"/>
      <w:r w:rsidRPr="00D63DF6">
        <w:rPr>
          <w:rFonts w:cs="Arial"/>
          <w:szCs w:val="20"/>
        </w:rPr>
        <w:t xml:space="preserve">Last updated </w:t>
      </w:r>
      <w:r w:rsidR="000B18D0">
        <w:rPr>
          <w:rFonts w:cs="Arial"/>
          <w:szCs w:val="20"/>
        </w:rPr>
        <w:t>February</w:t>
      </w:r>
      <w:r>
        <w:rPr>
          <w:rFonts w:cs="Arial"/>
          <w:szCs w:val="20"/>
        </w:rPr>
        <w:t xml:space="preserve"> 202</w:t>
      </w:r>
      <w:r w:rsidR="000B18D0">
        <w:rPr>
          <w:rFonts w:cs="Arial"/>
          <w:szCs w:val="20"/>
        </w:rPr>
        <w:t>6</w:t>
      </w:r>
      <w:r>
        <w:rPr>
          <w:rFonts w:cs="Arial"/>
          <w:szCs w:val="20"/>
        </w:rPr>
        <w:t>.</w:t>
      </w:r>
    </w:p>
    <w:p w14:paraId="0FEDD3D2" w14:textId="3738AC59" w:rsidR="00BC6056" w:rsidRDefault="00BC6056" w:rsidP="00BC6056">
      <w:pPr>
        <w:numPr>
          <w:ilvl w:val="0"/>
          <w:numId w:val="17"/>
        </w:numPr>
        <w:rPr>
          <w:rFonts w:cs="Arial"/>
          <w:szCs w:val="20"/>
        </w:rPr>
      </w:pPr>
      <w:r w:rsidRPr="00475650">
        <w:rPr>
          <w:rFonts w:cs="Arial"/>
          <w:szCs w:val="20"/>
        </w:rPr>
        <w:t>USPDI, Micromedex; 202</w:t>
      </w:r>
      <w:r>
        <w:rPr>
          <w:rFonts w:cs="Arial"/>
          <w:szCs w:val="20"/>
        </w:rPr>
        <w:t>6</w:t>
      </w:r>
      <w:r w:rsidRPr="00475650">
        <w:rPr>
          <w:rFonts w:cs="Arial"/>
          <w:szCs w:val="20"/>
        </w:rPr>
        <w:t xml:space="preserve">. </w:t>
      </w:r>
    </w:p>
    <w:p w14:paraId="31E3D756" w14:textId="5ADC008E" w:rsidR="00BC6056" w:rsidRDefault="00BC6056" w:rsidP="00BC6056">
      <w:pPr>
        <w:numPr>
          <w:ilvl w:val="0"/>
          <w:numId w:val="17"/>
        </w:numPr>
        <w:rPr>
          <w:rFonts w:cs="Arial"/>
          <w:szCs w:val="20"/>
        </w:rPr>
      </w:pPr>
      <w:r w:rsidRPr="00475650">
        <w:rPr>
          <w:rFonts w:cs="Arial"/>
          <w:szCs w:val="20"/>
        </w:rPr>
        <w:t>Facts and Comparisons eAnswers (online); 202</w:t>
      </w:r>
      <w:r>
        <w:rPr>
          <w:rFonts w:cs="Arial"/>
          <w:szCs w:val="20"/>
        </w:rPr>
        <w:t>6</w:t>
      </w:r>
      <w:r w:rsidRPr="00475650">
        <w:rPr>
          <w:rFonts w:cs="Arial"/>
          <w:szCs w:val="20"/>
        </w:rPr>
        <w:t xml:space="preserve"> Clinical Drug Information, LLC. </w:t>
      </w:r>
      <w:bookmarkEnd w:id="2"/>
    </w:p>
    <w:p w14:paraId="0CC8D2FD" w14:textId="77777777" w:rsidR="00BC6056" w:rsidRPr="004638BA" w:rsidRDefault="00BC6056" w:rsidP="00BC6056">
      <w:pPr>
        <w:numPr>
          <w:ilvl w:val="0"/>
          <w:numId w:val="17"/>
        </w:numPr>
        <w:tabs>
          <w:tab w:val="num" w:pos="540"/>
        </w:tabs>
        <w:rPr>
          <w:rFonts w:cs="Arial"/>
          <w:szCs w:val="20"/>
        </w:rPr>
      </w:pPr>
      <w:r>
        <w:rPr>
          <w:rFonts w:cs="Arial"/>
          <w:szCs w:val="20"/>
        </w:rPr>
        <w:t xml:space="preserve">Cheung AY, Choi DS, Ahmad S, et al. Conjunctivitis Preferred Practice Pattern. American Academy of Ophthalmology. Updated February 2024. </w:t>
      </w:r>
      <w:r w:rsidRPr="00522A05">
        <w:rPr>
          <w:rFonts w:cs="Arial"/>
          <w:szCs w:val="20"/>
        </w:rPr>
        <w:t xml:space="preserve">https://www.aao.org/education/preferred-practice-pattern/conjunctivitis-ppp-2023  </w:t>
      </w:r>
    </w:p>
    <w:p w14:paraId="3FA1E7DB" w14:textId="1A58FC41" w:rsidR="00777CA4" w:rsidRDefault="00777CA4" w:rsidP="00BC6056">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0E74" w14:textId="77777777" w:rsidR="002D5FF7" w:rsidRPr="00C02553" w:rsidRDefault="002D5FF7" w:rsidP="00AE77DB">
      <w:r w:rsidRPr="00C02553">
        <w:separator/>
      </w:r>
    </w:p>
  </w:endnote>
  <w:endnote w:type="continuationSeparator" w:id="0">
    <w:p w14:paraId="7BD16C14" w14:textId="77777777" w:rsidR="002D5FF7" w:rsidRPr="00C02553" w:rsidRDefault="002D5FF7" w:rsidP="00AE77DB">
      <w:r w:rsidRPr="00C02553">
        <w:continuationSeparator/>
      </w:r>
    </w:p>
  </w:endnote>
  <w:endnote w:type="continuationNotice" w:id="1">
    <w:p w14:paraId="34A2426B" w14:textId="77777777" w:rsidR="002D5FF7" w:rsidRPr="00C02553" w:rsidRDefault="002D5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62F0" w14:textId="77777777" w:rsidR="002D5FF7" w:rsidRPr="00C02553" w:rsidRDefault="002D5FF7" w:rsidP="00AE77DB">
      <w:r w:rsidRPr="00C02553">
        <w:separator/>
      </w:r>
    </w:p>
  </w:footnote>
  <w:footnote w:type="continuationSeparator" w:id="0">
    <w:p w14:paraId="21285BCB" w14:textId="77777777" w:rsidR="002D5FF7" w:rsidRPr="00C02553" w:rsidRDefault="002D5FF7" w:rsidP="00AE77DB">
      <w:r w:rsidRPr="00C02553">
        <w:continuationSeparator/>
      </w:r>
    </w:p>
  </w:footnote>
  <w:footnote w:type="continuationNotice" w:id="1">
    <w:p w14:paraId="1DDB3CF8" w14:textId="77777777" w:rsidR="002D5FF7" w:rsidRPr="00C02553" w:rsidRDefault="002D5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B048C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B048C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B048C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514068"/>
    <w:multiLevelType w:val="hybridMultilevel"/>
    <w:tmpl w:val="0BA4D43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4"/>
  </w:num>
  <w:num w:numId="13" w16cid:durableId="604729665">
    <w:abstractNumId w:val="5"/>
  </w:num>
  <w:num w:numId="14" w16cid:durableId="1805081292">
    <w:abstractNumId w:val="12"/>
  </w:num>
  <w:num w:numId="15" w16cid:durableId="1719207458">
    <w:abstractNumId w:val="9"/>
  </w:num>
  <w:num w:numId="16" w16cid:durableId="1051467287">
    <w:abstractNumId w:val="11"/>
  </w:num>
  <w:num w:numId="17" w16cid:durableId="150061050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oRr8gx5B1q81QPCbFMD7SQuH3ABCqFzpamSmwZ7GzPzHBEtalBq2H7iEDejFD6FDsIlPfAEBYjsszbyt8zBCA==" w:salt="eTR4NNLidgkmhuGNT6Lrd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A6CDF"/>
    <w:rsid w:val="000B18D0"/>
    <w:rsid w:val="000B496B"/>
    <w:rsid w:val="000C3940"/>
    <w:rsid w:val="000C5992"/>
    <w:rsid w:val="000D24D4"/>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5A7E"/>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D5FF7"/>
    <w:rsid w:val="002E05E2"/>
    <w:rsid w:val="002E2DD6"/>
    <w:rsid w:val="002E3F28"/>
    <w:rsid w:val="002F0E52"/>
    <w:rsid w:val="002F2274"/>
    <w:rsid w:val="002F2405"/>
    <w:rsid w:val="002F690F"/>
    <w:rsid w:val="0030301F"/>
    <w:rsid w:val="00303B21"/>
    <w:rsid w:val="00305105"/>
    <w:rsid w:val="00313701"/>
    <w:rsid w:val="00314430"/>
    <w:rsid w:val="00316188"/>
    <w:rsid w:val="003171AF"/>
    <w:rsid w:val="00317469"/>
    <w:rsid w:val="0032215C"/>
    <w:rsid w:val="0032616B"/>
    <w:rsid w:val="00326687"/>
    <w:rsid w:val="003275F9"/>
    <w:rsid w:val="003355AC"/>
    <w:rsid w:val="00343D6B"/>
    <w:rsid w:val="00345E2E"/>
    <w:rsid w:val="00347FB5"/>
    <w:rsid w:val="00355515"/>
    <w:rsid w:val="003608B5"/>
    <w:rsid w:val="003613AF"/>
    <w:rsid w:val="003671C7"/>
    <w:rsid w:val="0038401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5427B"/>
    <w:rsid w:val="0046618B"/>
    <w:rsid w:val="0048608C"/>
    <w:rsid w:val="00496E57"/>
    <w:rsid w:val="004B3E10"/>
    <w:rsid w:val="004C0F5D"/>
    <w:rsid w:val="004C375A"/>
    <w:rsid w:val="004C38D9"/>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5812"/>
    <w:rsid w:val="005572D5"/>
    <w:rsid w:val="00566BE4"/>
    <w:rsid w:val="00570D21"/>
    <w:rsid w:val="00573856"/>
    <w:rsid w:val="00576113"/>
    <w:rsid w:val="00587A45"/>
    <w:rsid w:val="00590652"/>
    <w:rsid w:val="0059235F"/>
    <w:rsid w:val="00596936"/>
    <w:rsid w:val="005A2F1E"/>
    <w:rsid w:val="005A39A3"/>
    <w:rsid w:val="005A4232"/>
    <w:rsid w:val="005B5B27"/>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34D0"/>
    <w:rsid w:val="00694FAE"/>
    <w:rsid w:val="00696E3A"/>
    <w:rsid w:val="006A0834"/>
    <w:rsid w:val="006A4BBD"/>
    <w:rsid w:val="006A52F1"/>
    <w:rsid w:val="006B561D"/>
    <w:rsid w:val="006B6D5D"/>
    <w:rsid w:val="006D0FFA"/>
    <w:rsid w:val="006D1280"/>
    <w:rsid w:val="006D2330"/>
    <w:rsid w:val="006D6430"/>
    <w:rsid w:val="006E0F8B"/>
    <w:rsid w:val="006E11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C1F2F"/>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070E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48CD"/>
    <w:rsid w:val="00B06084"/>
    <w:rsid w:val="00B06805"/>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1CCC"/>
    <w:rsid w:val="00B86372"/>
    <w:rsid w:val="00BA1C17"/>
    <w:rsid w:val="00BA1D65"/>
    <w:rsid w:val="00BA2148"/>
    <w:rsid w:val="00BB3B4D"/>
    <w:rsid w:val="00BC351E"/>
    <w:rsid w:val="00BC3F77"/>
    <w:rsid w:val="00BC5635"/>
    <w:rsid w:val="00BC5675"/>
    <w:rsid w:val="00BC6056"/>
    <w:rsid w:val="00BC64A6"/>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3C0A"/>
    <w:rsid w:val="00C34E72"/>
    <w:rsid w:val="00C56B1F"/>
    <w:rsid w:val="00C61B52"/>
    <w:rsid w:val="00C62745"/>
    <w:rsid w:val="00C638E7"/>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2694"/>
    <w:rsid w:val="00E2369B"/>
    <w:rsid w:val="00E23EC0"/>
    <w:rsid w:val="00E354AA"/>
    <w:rsid w:val="00E43D54"/>
    <w:rsid w:val="00E442FB"/>
    <w:rsid w:val="00E529DB"/>
    <w:rsid w:val="00E53A5E"/>
    <w:rsid w:val="00E6466A"/>
    <w:rsid w:val="00E72221"/>
    <w:rsid w:val="00E8196E"/>
    <w:rsid w:val="00E83428"/>
    <w:rsid w:val="00E84C58"/>
    <w:rsid w:val="00E873A5"/>
    <w:rsid w:val="00E90D11"/>
    <w:rsid w:val="00E915E5"/>
    <w:rsid w:val="00EB0367"/>
    <w:rsid w:val="00EB4FB9"/>
    <w:rsid w:val="00EB5BC8"/>
    <w:rsid w:val="00EC2738"/>
    <w:rsid w:val="00ED0709"/>
    <w:rsid w:val="00ED7B42"/>
    <w:rsid w:val="00EE3EA5"/>
    <w:rsid w:val="00EE613F"/>
    <w:rsid w:val="00EE6BD1"/>
    <w:rsid w:val="00EF0262"/>
    <w:rsid w:val="00EF0828"/>
    <w:rsid w:val="00EF6F8B"/>
    <w:rsid w:val="00F03898"/>
    <w:rsid w:val="00F1527A"/>
    <w:rsid w:val="00F2696B"/>
    <w:rsid w:val="00F27821"/>
    <w:rsid w:val="00F4092A"/>
    <w:rsid w:val="00F41F69"/>
    <w:rsid w:val="00F421EB"/>
    <w:rsid w:val="00F43E41"/>
    <w:rsid w:val="00F4790C"/>
    <w:rsid w:val="00F50C4B"/>
    <w:rsid w:val="00F54C08"/>
    <w:rsid w:val="00F553A2"/>
    <w:rsid w:val="00F6068C"/>
    <w:rsid w:val="00F62F33"/>
    <w:rsid w:val="00F63A52"/>
    <w:rsid w:val="00F730BA"/>
    <w:rsid w:val="00F903BE"/>
    <w:rsid w:val="00F95D04"/>
    <w:rsid w:val="00FA0FF6"/>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BC6056"/>
    <w:rPr>
      <w:sz w:val="16"/>
      <w:szCs w:val="16"/>
    </w:rPr>
  </w:style>
  <w:style w:type="paragraph" w:styleId="CommentSubject">
    <w:name w:val="annotation subject"/>
    <w:basedOn w:val="CommentText"/>
    <w:next w:val="CommentText"/>
    <w:link w:val="CommentSubjectChar"/>
    <w:uiPriority w:val="99"/>
    <w:semiHidden/>
    <w:unhideWhenUsed/>
    <w:rsid w:val="00BC6056"/>
    <w:rPr>
      <w:b/>
      <w:bCs/>
    </w:rPr>
  </w:style>
  <w:style w:type="character" w:customStyle="1" w:styleId="CommentTextChar">
    <w:name w:val="Comment Text Char"/>
    <w:basedOn w:val="DefaultParagraphFont"/>
    <w:link w:val="CommentText"/>
    <w:semiHidden/>
    <w:rsid w:val="00BC6056"/>
    <w:rPr>
      <w:rFonts w:ascii="Arial" w:hAnsi="Arial"/>
    </w:rPr>
  </w:style>
  <w:style w:type="character" w:customStyle="1" w:styleId="CommentSubjectChar">
    <w:name w:val="Comment Subject Char"/>
    <w:basedOn w:val="CommentTextChar"/>
    <w:link w:val="CommentSubject"/>
    <w:uiPriority w:val="99"/>
    <w:semiHidden/>
    <w:rsid w:val="00BC605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56A6359F-24E3-4FEE-8EBD-158C0081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f5eefb00-5952-4f7e-8cf8-96f81cfadd0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aba01ddc-ae9a-4c9e-819c-7140b4239cd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2313</Characters>
  <Application>Microsoft Office Word</Application>
  <DocSecurity>10</DocSecurity>
  <Lines>19</Lines>
  <Paragraphs>5</Paragraphs>
  <ScaleCrop>false</ScaleCrop>
  <HeadingPairs>
    <vt:vector size="2" baseType="variant">
      <vt:variant>
        <vt:lpstr>Title</vt:lpstr>
      </vt:variant>
      <vt:variant>
        <vt:i4>1</vt:i4>
      </vt:variant>
    </vt:vector>
  </HeadingPairs>
  <TitlesOfParts>
    <vt:vector size="1" baseType="lpstr">
      <vt:lpstr>NSAIDs, Ophthalmic PDL</vt:lpstr>
    </vt:vector>
  </TitlesOfParts>
  <Company>DSS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NSAIDs, Ophthalmic PDL</dc:title>
  <dc:creator>DMS</dc:creator>
  <cp:lastModifiedBy>Heriford, Katherine</cp:lastModifiedBy>
  <cp:revision>40</cp:revision>
  <cp:lastPrinted>2018-10-31T20:17:00Z</cp:lastPrinted>
  <dcterms:created xsi:type="dcterms:W3CDTF">2025-09-19T16:48:00Z</dcterms:created>
  <dcterms:modified xsi:type="dcterms:W3CDTF">2026-04-06T15:57:00Z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