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59CF8AA1" w:rsidR="004C5767" w:rsidRPr="008859E1" w:rsidRDefault="004C5767" w:rsidP="00D27533">
      <w:pPr>
        <w:pStyle w:val="tbody"/>
        <w:rPr>
          <w:b w:val="0"/>
          <w:bCs/>
        </w:rPr>
      </w:pPr>
      <w:r w:rsidRPr="00C02553">
        <w:t>Drug/Drug Class:</w:t>
      </w:r>
      <w:r w:rsidR="003B4820" w:rsidRPr="00573856">
        <w:rPr>
          <w:b w:val="0"/>
          <w:bCs/>
        </w:rPr>
        <w:t xml:space="preserve"> </w:t>
      </w:r>
      <w:r w:rsidR="00046C6A" w:rsidRPr="00046C6A">
        <w:rPr>
          <w:b w:val="0"/>
          <w:bCs/>
        </w:rPr>
        <w:t>Phosphodiesterase (PDE) Inhibitors for Chronic Obstructive Pulmonary Disease (COPD) PDL Edit</w:t>
      </w:r>
    </w:p>
    <w:p w14:paraId="7AD7FFCE" w14:textId="7C2553DC" w:rsidR="004C5767" w:rsidRPr="00C02553" w:rsidRDefault="004C5767" w:rsidP="00D27533">
      <w:pPr>
        <w:pStyle w:val="tbody"/>
      </w:pPr>
      <w:r w:rsidRPr="00C02553">
        <w:t>First Implementation Date:</w:t>
      </w:r>
      <w:r w:rsidRPr="00573856">
        <w:rPr>
          <w:b w:val="0"/>
          <w:bCs/>
        </w:rPr>
        <w:t xml:space="preserve"> </w:t>
      </w:r>
      <w:r w:rsidR="0020596F" w:rsidRPr="0020596F">
        <w:rPr>
          <w:b w:val="0"/>
          <w:bCs/>
        </w:rPr>
        <w:t>July 10, 2025</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63B3305"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342237C" w14:textId="77777777" w:rsidR="009756A9" w:rsidRPr="00DE63D8" w:rsidRDefault="009756A9" w:rsidP="009756A9">
      <w:pPr>
        <w:pStyle w:val="BodyText"/>
      </w:pPr>
      <w:r w:rsidRPr="00DE63D8">
        <w:t xml:space="preserve">Chronic obstructive pulmonary disease (COPD) is a common, preventable, and treatable disease that is characterized by persistent respiratory symptoms and airflow limitation that is due to airway and/or alveolar abnormalities. It continues to be a leading cause of morbidity and mortality worldwide. Pharmacological therapy is used to reduce COPD symptoms and reduce the frequency and severity of exacerbations. Treatment regimens are individualized based on symptom severity, exacerbation risk, comorbidities, and patient ability to effectively manage and utilize the various drug delivery devices. </w:t>
      </w:r>
    </w:p>
    <w:p w14:paraId="2B583C5E" w14:textId="77777777" w:rsidR="009756A9" w:rsidRPr="00DE63D8" w:rsidRDefault="009756A9" w:rsidP="009756A9">
      <w:pPr>
        <w:rPr>
          <w:rFonts w:cs="Arial"/>
          <w:szCs w:val="20"/>
        </w:rPr>
      </w:pPr>
    </w:p>
    <w:p w14:paraId="7310A056" w14:textId="239116EF" w:rsidR="009756A9" w:rsidRPr="00F034FC" w:rsidRDefault="009756A9" w:rsidP="009756A9">
      <w:pPr>
        <w:rPr>
          <w:rFonts w:cs="Arial"/>
          <w:szCs w:val="20"/>
        </w:rPr>
      </w:pPr>
      <w:r>
        <w:rPr>
          <w:rFonts w:cs="Arial"/>
          <w:szCs w:val="20"/>
        </w:rPr>
        <w:t xml:space="preserve">The current </w:t>
      </w:r>
      <w:r w:rsidRPr="005748FD">
        <w:rPr>
          <w:rFonts w:cs="Arial"/>
          <w:szCs w:val="20"/>
        </w:rPr>
        <w:t>Global Initiative for Chronic Obstructive Lung Disease (GOLD) guidelines</w:t>
      </w:r>
      <w:r>
        <w:rPr>
          <w:rFonts w:cs="Arial"/>
          <w:szCs w:val="20"/>
        </w:rPr>
        <w:t xml:space="preserve"> </w:t>
      </w:r>
      <w:r w:rsidRPr="001C170D">
        <w:rPr>
          <w:rFonts w:cs="Arial"/>
          <w:szCs w:val="20"/>
        </w:rPr>
        <w:t xml:space="preserve">recommend long-acting muscarinic antagonists (LAMAs) and long-acting beta-agonists (LABAs) as the </w:t>
      </w:r>
      <w:r>
        <w:rPr>
          <w:rFonts w:cs="Arial"/>
          <w:szCs w:val="20"/>
        </w:rPr>
        <w:t>foundation of treatment for COPD</w:t>
      </w:r>
      <w:r w:rsidRPr="001C170D">
        <w:rPr>
          <w:rFonts w:cs="Arial"/>
          <w:szCs w:val="20"/>
        </w:rPr>
        <w:t>.</w:t>
      </w:r>
      <w:r>
        <w:rPr>
          <w:rFonts w:cs="Arial"/>
          <w:szCs w:val="20"/>
        </w:rPr>
        <w:t xml:space="preserve"> Based on disease severity, these agents may be used together (dual therapy) or in combination with an inhaled corticosteroid (ICS) (triple therapy). P</w:t>
      </w:r>
      <w:r w:rsidRPr="001C170D">
        <w:rPr>
          <w:rFonts w:cs="Arial"/>
          <w:szCs w:val="20"/>
        </w:rPr>
        <w:t>hosphodiesterase</w:t>
      </w:r>
      <w:r>
        <w:rPr>
          <w:rFonts w:cs="Arial"/>
          <w:szCs w:val="20"/>
        </w:rPr>
        <w:t xml:space="preserve"> (PDE)</w:t>
      </w:r>
      <w:r w:rsidRPr="001C170D">
        <w:rPr>
          <w:rFonts w:cs="Arial"/>
          <w:szCs w:val="20"/>
        </w:rPr>
        <w:t xml:space="preserve"> inhibitor</w:t>
      </w:r>
      <w:r>
        <w:rPr>
          <w:rFonts w:cs="Arial"/>
          <w:szCs w:val="20"/>
        </w:rPr>
        <w:t>s</w:t>
      </w:r>
      <w:r w:rsidRPr="001C170D">
        <w:rPr>
          <w:rFonts w:cs="Arial"/>
          <w:szCs w:val="20"/>
        </w:rPr>
        <w:t xml:space="preserve"> </w:t>
      </w:r>
      <w:r>
        <w:rPr>
          <w:rFonts w:cs="Arial"/>
          <w:szCs w:val="20"/>
        </w:rPr>
        <w:t>are recommended for patients who remain symptomatic despite optimized therapy with</w:t>
      </w:r>
      <w:r w:rsidRPr="001C170D">
        <w:rPr>
          <w:rFonts w:cs="Arial"/>
          <w:szCs w:val="20"/>
        </w:rPr>
        <w:t xml:space="preserve"> </w:t>
      </w:r>
      <w:r>
        <w:rPr>
          <w:rFonts w:cs="Arial"/>
          <w:szCs w:val="20"/>
        </w:rPr>
        <w:t>dual or triple therapy</w:t>
      </w:r>
      <w:r w:rsidRPr="001C170D">
        <w:rPr>
          <w:rFonts w:cs="Arial"/>
          <w:szCs w:val="20"/>
        </w:rPr>
        <w:t>.</w:t>
      </w:r>
      <w:r>
        <w:rPr>
          <w:rFonts w:cs="Arial"/>
          <w:szCs w:val="20"/>
        </w:rPr>
        <w:t xml:space="preserve"> Phosphodiesterase-3 (</w:t>
      </w:r>
      <w:r w:rsidRPr="00890105">
        <w:rPr>
          <w:rFonts w:cs="Arial"/>
          <w:szCs w:val="20"/>
        </w:rPr>
        <w:t>PDE</w:t>
      </w:r>
      <w:r>
        <w:rPr>
          <w:rFonts w:cs="Arial"/>
          <w:szCs w:val="20"/>
        </w:rPr>
        <w:t>3) inhibitors</w:t>
      </w:r>
      <w:r w:rsidRPr="00890105">
        <w:rPr>
          <w:rFonts w:cs="Arial"/>
          <w:szCs w:val="20"/>
        </w:rPr>
        <w:t xml:space="preserve"> </w:t>
      </w:r>
      <w:r>
        <w:rPr>
          <w:rFonts w:cs="Arial"/>
          <w:szCs w:val="20"/>
        </w:rPr>
        <w:t xml:space="preserve">cause bronchodilation through modulation of </w:t>
      </w:r>
      <w:r w:rsidRPr="00186506">
        <w:rPr>
          <w:rFonts w:cs="Arial"/>
          <w:szCs w:val="20"/>
        </w:rPr>
        <w:t>cyclic guanosine monophosphate (cGMP)</w:t>
      </w:r>
      <w:r>
        <w:rPr>
          <w:rFonts w:cs="Arial"/>
          <w:szCs w:val="20"/>
        </w:rPr>
        <w:t xml:space="preserve">; whereas phosphodiesterase-4 (PDE4) inhibitors reduce inflammation in the lungs through modulation of </w:t>
      </w:r>
      <w:r w:rsidRPr="00890105">
        <w:rPr>
          <w:rFonts w:cs="Arial"/>
          <w:szCs w:val="20"/>
        </w:rPr>
        <w:t>cyclic adenosine monophosphate (cAMP)</w:t>
      </w:r>
      <w:r>
        <w:rPr>
          <w:rFonts w:cs="Arial"/>
          <w:szCs w:val="20"/>
        </w:rPr>
        <w:t xml:space="preserve">. </w:t>
      </w:r>
      <w:proofErr w:type="spellStart"/>
      <w:r w:rsidRPr="00890105">
        <w:rPr>
          <w:rFonts w:cs="Arial"/>
          <w:szCs w:val="20"/>
        </w:rPr>
        <w:t>Daliresp</w:t>
      </w:r>
      <w:proofErr w:type="spellEnd"/>
      <w:r w:rsidRPr="00D83C4A">
        <w:rPr>
          <w:rFonts w:cs="Arial"/>
          <w:iCs/>
          <w:spacing w:val="-3"/>
          <w:szCs w:val="20"/>
          <w:vertAlign w:val="superscript"/>
        </w:rPr>
        <w:t>®</w:t>
      </w:r>
      <w:r w:rsidRPr="00A1473C">
        <w:rPr>
          <w:rFonts w:cs="Arial"/>
          <w:iCs/>
          <w:spacing w:val="-3"/>
          <w:szCs w:val="20"/>
        </w:rPr>
        <w:t xml:space="preserve"> </w:t>
      </w:r>
      <w:r>
        <w:rPr>
          <w:rFonts w:cs="Arial"/>
          <w:szCs w:val="20"/>
        </w:rPr>
        <w:t>(roflumilast) is</w:t>
      </w:r>
      <w:r w:rsidRPr="00890105">
        <w:rPr>
          <w:rFonts w:cs="Arial"/>
          <w:szCs w:val="20"/>
        </w:rPr>
        <w:t xml:space="preserve"> a selective PDE4 inhibitor</w:t>
      </w:r>
      <w:r>
        <w:rPr>
          <w:rFonts w:cs="Arial"/>
          <w:szCs w:val="20"/>
        </w:rPr>
        <w:t xml:space="preserve"> </w:t>
      </w:r>
      <w:r w:rsidRPr="00890105">
        <w:rPr>
          <w:rFonts w:cs="Arial"/>
          <w:szCs w:val="20"/>
        </w:rPr>
        <w:t xml:space="preserve">indicated </w:t>
      </w:r>
      <w:r>
        <w:rPr>
          <w:rFonts w:cs="Arial"/>
          <w:szCs w:val="20"/>
        </w:rPr>
        <w:t>to reduce the risk of exacerbations in</w:t>
      </w:r>
      <w:r w:rsidRPr="00890105">
        <w:rPr>
          <w:rFonts w:cs="Arial"/>
          <w:szCs w:val="20"/>
        </w:rPr>
        <w:t xml:space="preserve"> patients with severe COPD </w:t>
      </w:r>
      <w:r>
        <w:rPr>
          <w:rFonts w:cs="Arial"/>
          <w:szCs w:val="20"/>
        </w:rPr>
        <w:t xml:space="preserve">associated with chronic bronchitis and a history of exacerbations. </w:t>
      </w:r>
      <w:proofErr w:type="spellStart"/>
      <w:r w:rsidRPr="003E3CF5">
        <w:rPr>
          <w:rFonts w:cs="Arial"/>
          <w:szCs w:val="20"/>
        </w:rPr>
        <w:t>Ohtuvayre</w:t>
      </w:r>
      <w:proofErr w:type="spellEnd"/>
      <w:r w:rsidR="00084890">
        <w:rPr>
          <w:rFonts w:cs="Arial"/>
          <w:iCs/>
          <w:spacing w:val="-3"/>
          <w:szCs w:val="20"/>
          <w:vertAlign w:val="superscript"/>
        </w:rPr>
        <w:t>®</w:t>
      </w:r>
      <w:r w:rsidRPr="00C957E0">
        <w:rPr>
          <w:rFonts w:cs="Arial"/>
          <w:iCs/>
          <w:spacing w:val="-3"/>
          <w:szCs w:val="20"/>
        </w:rPr>
        <w:t xml:space="preserve"> </w:t>
      </w:r>
      <w:r>
        <w:rPr>
          <w:rFonts w:cs="Arial"/>
          <w:szCs w:val="20"/>
        </w:rPr>
        <w:t>(</w:t>
      </w:r>
      <w:proofErr w:type="spellStart"/>
      <w:r w:rsidRPr="00C957E0">
        <w:rPr>
          <w:rFonts w:cs="Arial"/>
          <w:szCs w:val="20"/>
        </w:rPr>
        <w:t>ensifentrine</w:t>
      </w:r>
      <w:proofErr w:type="spellEnd"/>
      <w:r>
        <w:rPr>
          <w:rFonts w:cs="Arial"/>
          <w:szCs w:val="20"/>
        </w:rPr>
        <w:t>), a dual inhibitor of both</w:t>
      </w:r>
      <w:r w:rsidRPr="003E3CF5">
        <w:rPr>
          <w:rFonts w:cs="Arial"/>
          <w:szCs w:val="20"/>
        </w:rPr>
        <w:t xml:space="preserve"> PDE3 and PDE4</w:t>
      </w:r>
      <w:r>
        <w:rPr>
          <w:rFonts w:cs="Arial"/>
          <w:szCs w:val="20"/>
        </w:rPr>
        <w:t xml:space="preserve">, is indicated for the maintenance treatment of COPD in adults.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430696A5" w:rsidR="00846FA4" w:rsidRDefault="00E12F1B" w:rsidP="00846FA4">
      <w:pPr>
        <w:pStyle w:val="ListParagraph"/>
      </w:pPr>
      <w:r>
        <w:t>N/A</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5811FD85" w14:textId="77777777" w:rsidR="0037005C" w:rsidRPr="00D83C4A" w:rsidRDefault="0037005C" w:rsidP="0037005C">
      <w:pPr>
        <w:pStyle w:val="ListParagraph"/>
      </w:pPr>
      <w:proofErr w:type="spellStart"/>
      <w:r w:rsidRPr="00D83C4A">
        <w:t>Daliresp</w:t>
      </w:r>
      <w:proofErr w:type="spellEnd"/>
      <w:r w:rsidRPr="00D83C4A">
        <w:rPr>
          <w:vertAlign w:val="superscript"/>
        </w:rPr>
        <w:t>®</w:t>
      </w:r>
    </w:p>
    <w:p w14:paraId="4537C094" w14:textId="701EAB47" w:rsidR="0037005C" w:rsidRDefault="0037005C" w:rsidP="0037005C">
      <w:pPr>
        <w:pStyle w:val="ListParagraph"/>
      </w:pPr>
      <w:proofErr w:type="spellStart"/>
      <w:r>
        <w:t>Ohtuvayre</w:t>
      </w:r>
      <w:proofErr w:type="spellEnd"/>
      <w:r w:rsidR="008451DD">
        <w:rPr>
          <w:vertAlign w:val="superscript"/>
        </w:rPr>
        <w:t>®</w:t>
      </w:r>
    </w:p>
    <w:p w14:paraId="079F807A" w14:textId="43A36574" w:rsidR="00846FA4" w:rsidRPr="00696E3A" w:rsidRDefault="0037005C" w:rsidP="0037005C">
      <w:pPr>
        <w:pStyle w:val="ListParagraph"/>
      </w:pPr>
      <w:r w:rsidRPr="00D83C4A">
        <w:t>Roflumilast</w:t>
      </w:r>
      <w:r w:rsidRPr="00F43E41">
        <w:rPr>
          <w:vertAlign w:val="superscript"/>
        </w:rPr>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F53170A" w:rsidR="0097028A" w:rsidRPr="0079438F" w:rsidRDefault="0097028A" w:rsidP="00696E3A">
      <w:pPr>
        <w:rPr>
          <w:b/>
        </w:rPr>
      </w:pPr>
      <w:r w:rsidRPr="00696E3A">
        <w:rPr>
          <w:b/>
          <w:bCs/>
        </w:rPr>
        <w:t>Drug class for review:</w:t>
      </w:r>
      <w:r w:rsidRPr="00C02553">
        <w:t xml:space="preserve"> </w:t>
      </w:r>
      <w:r w:rsidR="008B6C5A" w:rsidRPr="008B6C5A">
        <w:t>Phosphodiesterase (PDE) Inhibitors for Chronic Obstructive Pulmonary Disease (COPD)</w:t>
      </w:r>
    </w:p>
    <w:p w14:paraId="26CFE8A0" w14:textId="0FA64B60" w:rsidR="008524BA" w:rsidRDefault="0097028A" w:rsidP="00696E3A">
      <w:pPr>
        <w:rPr>
          <w:rFonts w:cs="Arial"/>
          <w:b/>
        </w:rPr>
      </w:pPr>
      <w:r w:rsidRPr="00696E3A">
        <w:rPr>
          <w:b/>
          <w:bCs/>
        </w:rPr>
        <w:lastRenderedPageBreak/>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232E5AFB" w14:textId="77777777" w:rsidR="00BE3E2F" w:rsidRDefault="00BE3E2F" w:rsidP="00BE3E2F">
      <w:pPr>
        <w:pStyle w:val="ListParagraph"/>
      </w:pPr>
      <w:r>
        <w:t>Must meet one of the following:</w:t>
      </w:r>
    </w:p>
    <w:p w14:paraId="44650AE7" w14:textId="77777777" w:rsidR="00BE3E2F" w:rsidRPr="000F3562" w:rsidRDefault="00BE3E2F" w:rsidP="00BE3E2F">
      <w:pPr>
        <w:numPr>
          <w:ilvl w:val="1"/>
          <w:numId w:val="6"/>
        </w:numPr>
        <w:rPr>
          <w:rFonts w:cs="Arial"/>
          <w:szCs w:val="20"/>
        </w:rPr>
      </w:pPr>
      <w:r w:rsidRPr="000F3562">
        <w:rPr>
          <w:rFonts w:cs="Arial"/>
          <w:szCs w:val="20"/>
        </w:rPr>
        <w:t>Claim is for roflumilast:</w:t>
      </w:r>
    </w:p>
    <w:p w14:paraId="736010D6" w14:textId="77777777" w:rsidR="00BE3E2F" w:rsidRPr="000F3562" w:rsidRDefault="00BE3E2F" w:rsidP="00BE3E2F">
      <w:pPr>
        <w:numPr>
          <w:ilvl w:val="2"/>
          <w:numId w:val="6"/>
        </w:numPr>
        <w:rPr>
          <w:rFonts w:cs="Arial"/>
          <w:szCs w:val="20"/>
        </w:rPr>
      </w:pPr>
      <w:r w:rsidRPr="000F3562">
        <w:rPr>
          <w:rFonts w:cs="Arial"/>
          <w:szCs w:val="20"/>
        </w:rPr>
        <w:t>Failure to achieve desired therapeutic outcomes with trial on 2 or more preferred inhaled respiratory agents (see Appendix A)</w:t>
      </w:r>
      <w:r>
        <w:rPr>
          <w:rFonts w:cs="Arial"/>
          <w:szCs w:val="20"/>
        </w:rPr>
        <w:t>:</w:t>
      </w:r>
      <w:r w:rsidRPr="000F3562">
        <w:rPr>
          <w:rFonts w:cs="Arial"/>
          <w:szCs w:val="20"/>
        </w:rPr>
        <w:t xml:space="preserve"> </w:t>
      </w:r>
    </w:p>
    <w:p w14:paraId="4772E88A" w14:textId="77777777" w:rsidR="00BE3E2F" w:rsidRPr="000F3562" w:rsidRDefault="00BE3E2F" w:rsidP="000A4EAF">
      <w:pPr>
        <w:numPr>
          <w:ilvl w:val="3"/>
          <w:numId w:val="6"/>
        </w:numPr>
        <w:ind w:left="1440"/>
        <w:rPr>
          <w:rFonts w:cs="Arial"/>
          <w:szCs w:val="20"/>
        </w:rPr>
      </w:pPr>
      <w:r w:rsidRPr="000F3562">
        <w:rPr>
          <w:rFonts w:cs="Arial"/>
          <w:szCs w:val="20"/>
        </w:rPr>
        <w:t xml:space="preserve">Documented trial period of preferred agents; </w:t>
      </w:r>
      <w:r w:rsidRPr="000F3562">
        <w:rPr>
          <w:rFonts w:cs="Arial"/>
          <w:b/>
          <w:bCs/>
          <w:szCs w:val="20"/>
        </w:rPr>
        <w:t>OR</w:t>
      </w:r>
    </w:p>
    <w:p w14:paraId="1E4FC748" w14:textId="77777777" w:rsidR="00BE3E2F" w:rsidRPr="000F3562" w:rsidRDefault="00BE3E2F" w:rsidP="000A4EAF">
      <w:pPr>
        <w:numPr>
          <w:ilvl w:val="3"/>
          <w:numId w:val="6"/>
        </w:numPr>
        <w:ind w:left="1440"/>
        <w:rPr>
          <w:rFonts w:cs="Arial"/>
          <w:szCs w:val="20"/>
        </w:rPr>
      </w:pPr>
      <w:r w:rsidRPr="000F3562">
        <w:rPr>
          <w:rFonts w:cs="Arial"/>
          <w:szCs w:val="20"/>
        </w:rPr>
        <w:t xml:space="preserve">Documented ADE/ADR to preferred agents; </w:t>
      </w:r>
      <w:r w:rsidRPr="000F3562">
        <w:rPr>
          <w:rFonts w:cs="Arial"/>
          <w:b/>
          <w:bCs/>
          <w:szCs w:val="20"/>
        </w:rPr>
        <w:t>OR</w:t>
      </w:r>
    </w:p>
    <w:p w14:paraId="759CE421" w14:textId="77777777" w:rsidR="00BE3E2F" w:rsidRPr="002A6534" w:rsidRDefault="00BE3E2F" w:rsidP="00BE3E2F">
      <w:pPr>
        <w:pStyle w:val="ListParagraph"/>
        <w:numPr>
          <w:ilvl w:val="1"/>
          <w:numId w:val="6"/>
        </w:numPr>
        <w:rPr>
          <w:rFonts w:cs="Arial"/>
          <w:bCs/>
          <w:szCs w:val="20"/>
        </w:rPr>
      </w:pPr>
      <w:r w:rsidRPr="002A6534">
        <w:rPr>
          <w:rFonts w:cs="Arial"/>
          <w:bCs/>
          <w:szCs w:val="20"/>
        </w:rPr>
        <w:t xml:space="preserve">Claim is for </w:t>
      </w:r>
      <w:proofErr w:type="spellStart"/>
      <w:r w:rsidRPr="002A6534">
        <w:rPr>
          <w:rFonts w:cs="Arial"/>
          <w:bCs/>
          <w:iCs/>
          <w:spacing w:val="-3"/>
          <w:szCs w:val="20"/>
        </w:rPr>
        <w:t>Ohtuvayre</w:t>
      </w:r>
      <w:proofErr w:type="spellEnd"/>
      <w:r w:rsidRPr="002A6534">
        <w:rPr>
          <w:rFonts w:cs="Arial"/>
          <w:bCs/>
          <w:iCs/>
          <w:spacing w:val="-3"/>
          <w:szCs w:val="20"/>
        </w:rPr>
        <w:t xml:space="preserve"> – must meet </w:t>
      </w:r>
      <w:proofErr w:type="gramStart"/>
      <w:r w:rsidRPr="002A6534">
        <w:rPr>
          <w:rFonts w:cs="Arial"/>
          <w:bCs/>
          <w:iCs/>
          <w:spacing w:val="-3"/>
          <w:szCs w:val="20"/>
        </w:rPr>
        <w:t>all of</w:t>
      </w:r>
      <w:proofErr w:type="gramEnd"/>
      <w:r w:rsidRPr="002A6534">
        <w:rPr>
          <w:rFonts w:cs="Arial"/>
          <w:bCs/>
          <w:iCs/>
          <w:spacing w:val="-3"/>
          <w:szCs w:val="20"/>
        </w:rPr>
        <w:t xml:space="preserve"> the following: </w:t>
      </w:r>
    </w:p>
    <w:p w14:paraId="1EE8B110" w14:textId="77777777" w:rsidR="00BE3E2F" w:rsidRDefault="00BE3E2F" w:rsidP="00BE3E2F">
      <w:pPr>
        <w:pStyle w:val="ListParagraph"/>
        <w:numPr>
          <w:ilvl w:val="2"/>
          <w:numId w:val="6"/>
        </w:numPr>
        <w:rPr>
          <w:rFonts w:cs="Arial"/>
          <w:bCs/>
          <w:szCs w:val="20"/>
        </w:rPr>
      </w:pPr>
      <w:r w:rsidRPr="002A6534">
        <w:rPr>
          <w:rFonts w:cs="Arial"/>
          <w:bCs/>
          <w:szCs w:val="20"/>
        </w:rPr>
        <w:t>Documented concurrent therapy with a LAMA containing inhaler or nebulizer therapy (90 out of 120 days</w:t>
      </w:r>
      <w:proofErr w:type="gramStart"/>
      <w:r w:rsidRPr="002A6534">
        <w:rPr>
          <w:rFonts w:cs="Arial"/>
          <w:bCs/>
          <w:szCs w:val="20"/>
        </w:rPr>
        <w:t>);</w:t>
      </w:r>
      <w:proofErr w:type="gramEnd"/>
    </w:p>
    <w:p w14:paraId="5FDD7C04" w14:textId="77777777" w:rsidR="00BE3E2F" w:rsidRDefault="00BE3E2F" w:rsidP="00BE3E2F">
      <w:pPr>
        <w:pStyle w:val="ListParagraph"/>
        <w:numPr>
          <w:ilvl w:val="2"/>
          <w:numId w:val="6"/>
        </w:numPr>
        <w:rPr>
          <w:rFonts w:cs="Arial"/>
          <w:bCs/>
          <w:szCs w:val="20"/>
        </w:rPr>
      </w:pPr>
      <w:r w:rsidRPr="0049286A">
        <w:rPr>
          <w:rFonts w:cs="Arial"/>
          <w:bCs/>
          <w:szCs w:val="20"/>
        </w:rPr>
        <w:t xml:space="preserve">Documented concurrent therapy with a LABA containing inhaler or nebulizer therapy (90 out of 120 days); </w:t>
      </w:r>
      <w:r w:rsidRPr="0049286A">
        <w:rPr>
          <w:rFonts w:cs="Arial"/>
          <w:b/>
          <w:szCs w:val="20"/>
        </w:rPr>
        <w:t>AND</w:t>
      </w:r>
    </w:p>
    <w:p w14:paraId="4EEB910D" w14:textId="77777777" w:rsidR="00BE3E2F" w:rsidRDefault="00BE3E2F" w:rsidP="00BE3E2F">
      <w:pPr>
        <w:pStyle w:val="ListParagraph"/>
        <w:numPr>
          <w:ilvl w:val="2"/>
          <w:numId w:val="6"/>
        </w:numPr>
        <w:rPr>
          <w:rFonts w:cs="Arial"/>
          <w:bCs/>
          <w:szCs w:val="20"/>
        </w:rPr>
      </w:pPr>
      <w:r w:rsidRPr="0049286A">
        <w:rPr>
          <w:rFonts w:cs="Arial"/>
          <w:bCs/>
          <w:szCs w:val="20"/>
        </w:rPr>
        <w:t>Documentation of at least one exacerbation in the last 12 months despite continued compliant use of a combination of LABA and LAMA therapy.</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731DE804" w14:textId="77777777" w:rsidR="00043554" w:rsidRDefault="00043554" w:rsidP="00043554">
      <w:pPr>
        <w:pStyle w:val="ListParagraph"/>
        <w:numPr>
          <w:ilvl w:val="0"/>
          <w:numId w:val="18"/>
        </w:numPr>
        <w:rPr>
          <w:rFonts w:cs="Arial"/>
          <w:bCs/>
          <w:szCs w:val="20"/>
        </w:rPr>
      </w:pPr>
      <w:r>
        <w:rPr>
          <w:rFonts w:cs="Arial"/>
          <w:bCs/>
          <w:szCs w:val="20"/>
        </w:rPr>
        <w:t>Must meet one of the following:</w:t>
      </w:r>
    </w:p>
    <w:p w14:paraId="5D5ACC4D" w14:textId="77777777" w:rsidR="00043554" w:rsidRDefault="00043554" w:rsidP="00043554">
      <w:pPr>
        <w:pStyle w:val="ListParagraph"/>
        <w:numPr>
          <w:ilvl w:val="1"/>
          <w:numId w:val="18"/>
        </w:numPr>
        <w:rPr>
          <w:rFonts w:cs="Arial"/>
          <w:bCs/>
          <w:szCs w:val="20"/>
        </w:rPr>
      </w:pPr>
      <w:r>
        <w:rPr>
          <w:rFonts w:cs="Arial"/>
          <w:bCs/>
          <w:szCs w:val="20"/>
        </w:rPr>
        <w:t xml:space="preserve">Claim is for roflumilast – must meet </w:t>
      </w:r>
      <w:proofErr w:type="gramStart"/>
      <w:r>
        <w:rPr>
          <w:rFonts w:cs="Arial"/>
          <w:bCs/>
          <w:szCs w:val="20"/>
        </w:rPr>
        <w:t>all of</w:t>
      </w:r>
      <w:proofErr w:type="gramEnd"/>
      <w:r>
        <w:rPr>
          <w:rFonts w:cs="Arial"/>
          <w:bCs/>
          <w:szCs w:val="20"/>
        </w:rPr>
        <w:t xml:space="preserve"> the following:</w:t>
      </w:r>
    </w:p>
    <w:p w14:paraId="7F5C80B5" w14:textId="77777777" w:rsidR="00043554" w:rsidRDefault="00043554" w:rsidP="00043554">
      <w:pPr>
        <w:pStyle w:val="ListParagraph"/>
        <w:numPr>
          <w:ilvl w:val="2"/>
          <w:numId w:val="18"/>
        </w:numPr>
        <w:rPr>
          <w:rFonts w:cs="Arial"/>
          <w:bCs/>
          <w:szCs w:val="20"/>
        </w:rPr>
      </w:pPr>
      <w:r>
        <w:rPr>
          <w:rFonts w:cs="Arial"/>
          <w:bCs/>
          <w:szCs w:val="20"/>
        </w:rPr>
        <w:t xml:space="preserve">Documented compliance to current therapy </w:t>
      </w:r>
      <w:r w:rsidRPr="00D024E8">
        <w:rPr>
          <w:rFonts w:cs="Arial"/>
          <w:bCs/>
          <w:szCs w:val="20"/>
        </w:rPr>
        <w:t>(90 out of 120 days)</w:t>
      </w:r>
      <w:r>
        <w:rPr>
          <w:rFonts w:cs="Arial"/>
          <w:bCs/>
          <w:szCs w:val="20"/>
        </w:rPr>
        <w:t xml:space="preserve">; </w:t>
      </w:r>
      <w:r>
        <w:rPr>
          <w:rFonts w:cs="Arial"/>
          <w:b/>
          <w:szCs w:val="20"/>
        </w:rPr>
        <w:t>OR</w:t>
      </w:r>
    </w:p>
    <w:p w14:paraId="1AC29EAF" w14:textId="77777777" w:rsidR="00043554" w:rsidRDefault="00043554" w:rsidP="00043554">
      <w:pPr>
        <w:pStyle w:val="ListParagraph"/>
        <w:numPr>
          <w:ilvl w:val="1"/>
          <w:numId w:val="18"/>
        </w:numPr>
        <w:rPr>
          <w:rFonts w:cs="Arial"/>
          <w:bCs/>
          <w:szCs w:val="20"/>
        </w:rPr>
      </w:pPr>
      <w:r>
        <w:rPr>
          <w:rFonts w:cs="Arial"/>
          <w:bCs/>
          <w:szCs w:val="20"/>
        </w:rPr>
        <w:t xml:space="preserve">Claim is for </w:t>
      </w:r>
      <w:proofErr w:type="spellStart"/>
      <w:r>
        <w:rPr>
          <w:rFonts w:cs="Arial"/>
          <w:bCs/>
          <w:szCs w:val="20"/>
        </w:rPr>
        <w:t>Ohtuvayre</w:t>
      </w:r>
      <w:proofErr w:type="spellEnd"/>
      <w:r>
        <w:rPr>
          <w:rFonts w:cs="Arial"/>
          <w:bCs/>
          <w:szCs w:val="20"/>
        </w:rPr>
        <w:t xml:space="preserve"> – must meet </w:t>
      </w:r>
      <w:proofErr w:type="gramStart"/>
      <w:r>
        <w:rPr>
          <w:rFonts w:cs="Arial"/>
          <w:bCs/>
          <w:szCs w:val="20"/>
        </w:rPr>
        <w:t>all of</w:t>
      </w:r>
      <w:proofErr w:type="gramEnd"/>
      <w:r>
        <w:rPr>
          <w:rFonts w:cs="Arial"/>
          <w:bCs/>
          <w:szCs w:val="20"/>
        </w:rPr>
        <w:t xml:space="preserve"> the following:</w:t>
      </w:r>
    </w:p>
    <w:p w14:paraId="374E6E06" w14:textId="77777777" w:rsidR="00043554" w:rsidRDefault="00043554" w:rsidP="00043554">
      <w:pPr>
        <w:pStyle w:val="ListParagraph"/>
        <w:numPr>
          <w:ilvl w:val="2"/>
          <w:numId w:val="18"/>
        </w:numPr>
        <w:rPr>
          <w:rFonts w:cs="Arial"/>
          <w:bCs/>
          <w:szCs w:val="20"/>
        </w:rPr>
      </w:pPr>
      <w:r w:rsidRPr="00D024E8">
        <w:rPr>
          <w:rFonts w:cs="Arial"/>
          <w:bCs/>
          <w:szCs w:val="20"/>
        </w:rPr>
        <w:t>Documented compliance to current therapy (90 out of 120 days</w:t>
      </w:r>
      <w:proofErr w:type="gramStart"/>
      <w:r w:rsidRPr="00D024E8">
        <w:rPr>
          <w:rFonts w:cs="Arial"/>
          <w:bCs/>
          <w:szCs w:val="20"/>
        </w:rPr>
        <w:t>);</w:t>
      </w:r>
      <w:proofErr w:type="gramEnd"/>
    </w:p>
    <w:p w14:paraId="56DFBCD6" w14:textId="77777777" w:rsidR="00043554" w:rsidRDefault="00043554" w:rsidP="00043554">
      <w:pPr>
        <w:pStyle w:val="ListParagraph"/>
        <w:numPr>
          <w:ilvl w:val="2"/>
          <w:numId w:val="18"/>
        </w:numPr>
        <w:rPr>
          <w:rFonts w:cs="Arial"/>
          <w:bCs/>
          <w:szCs w:val="20"/>
        </w:rPr>
      </w:pPr>
      <w:r w:rsidRPr="002A6534">
        <w:rPr>
          <w:rFonts w:cs="Arial"/>
          <w:bCs/>
          <w:szCs w:val="20"/>
        </w:rPr>
        <w:t>Documented concurrent therapy with a LAMA containing inhaler or nebulizer therapy (90 out of 120 days);</w:t>
      </w:r>
      <w:r w:rsidRPr="002E2D0B">
        <w:rPr>
          <w:rFonts w:cs="Arial"/>
          <w:b/>
          <w:szCs w:val="20"/>
        </w:rPr>
        <w:t xml:space="preserve"> </w:t>
      </w:r>
      <w:r w:rsidRPr="0049286A">
        <w:rPr>
          <w:rFonts w:cs="Arial"/>
          <w:b/>
          <w:szCs w:val="20"/>
        </w:rPr>
        <w:t>AND</w:t>
      </w:r>
    </w:p>
    <w:p w14:paraId="605C43B8" w14:textId="77777777" w:rsidR="00043554" w:rsidRDefault="00043554" w:rsidP="00043554">
      <w:pPr>
        <w:pStyle w:val="ListParagraph"/>
        <w:numPr>
          <w:ilvl w:val="2"/>
          <w:numId w:val="18"/>
        </w:numPr>
        <w:rPr>
          <w:rFonts w:cs="Arial"/>
          <w:bCs/>
          <w:szCs w:val="20"/>
        </w:rPr>
      </w:pPr>
      <w:r w:rsidRPr="0049286A">
        <w:rPr>
          <w:rFonts w:cs="Arial"/>
          <w:bCs/>
          <w:szCs w:val="20"/>
        </w:rPr>
        <w:t>Documented concurrent therapy with a LABA containing inhaler or nebulizer therapy (90 out of 120 days)</w:t>
      </w:r>
      <w:r>
        <w:rPr>
          <w:rFonts w:cs="Arial"/>
          <w:bCs/>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07997BC8" w:rsidR="001E4CBA" w:rsidRDefault="00904D7A" w:rsidP="00043554">
      <w:pPr>
        <w:pStyle w:val="ListParagraph"/>
        <w:numPr>
          <w:ilvl w:val="1"/>
          <w:numId w:val="6"/>
        </w:numPr>
        <w:rPr>
          <w:rFonts w:cs="Arial"/>
          <w:szCs w:val="22"/>
        </w:rPr>
      </w:pPr>
      <w:r w:rsidRPr="005328B2">
        <w:t>Any approval criteria are not met</w:t>
      </w:r>
    </w:p>
    <w:p w14:paraId="0B46E2D9" w14:textId="77777777" w:rsidR="00043554" w:rsidRPr="002C2C41" w:rsidRDefault="00043554"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Default="00343D6B" w:rsidP="00696E3A">
      <w:r w:rsidRPr="00696E3A">
        <w:rPr>
          <w:b/>
          <w:bCs/>
        </w:rPr>
        <w:t>Default Approval Period:</w:t>
      </w:r>
      <w:r w:rsidR="00973BD6">
        <w:t xml:space="preserve"> </w:t>
      </w:r>
      <w:r w:rsidR="00126B60">
        <w:t>1 year</w:t>
      </w:r>
    </w:p>
    <w:p w14:paraId="7C78C790" w14:textId="77777777" w:rsidR="00DE089F" w:rsidRPr="00C02553" w:rsidRDefault="00DE089F" w:rsidP="00696E3A"/>
    <w:p w14:paraId="6410ECDF" w14:textId="77777777" w:rsidR="00DE089F" w:rsidRPr="00DE089F" w:rsidRDefault="00DE089F" w:rsidP="00DE089F">
      <w:pPr>
        <w:pStyle w:val="Heading1"/>
        <w:rPr>
          <w:lang w:val="en-US"/>
        </w:rPr>
      </w:pPr>
      <w:r w:rsidRPr="00DE089F">
        <w:rPr>
          <w:lang w:val="en-US"/>
        </w:rPr>
        <w:t>Appendix A – Preferred Inhaled Respiratory Agents</w:t>
      </w:r>
    </w:p>
    <w:p w14:paraId="785C1095" w14:textId="77777777" w:rsidR="00DE089F" w:rsidRPr="001D3296" w:rsidRDefault="00DE089F" w:rsidP="00DE089F">
      <w:pPr>
        <w:rPr>
          <w:rFonts w:cs="Arial"/>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580"/>
      </w:tblGrid>
      <w:tr w:rsidR="00DE089F" w:rsidRPr="001D3296" w14:paraId="30EB5A84" w14:textId="77777777" w:rsidTr="00873998">
        <w:tc>
          <w:tcPr>
            <w:tcW w:w="4140" w:type="dxa"/>
            <w:shd w:val="clear" w:color="auto" w:fill="FABF8F" w:themeFill="accent6" w:themeFillTint="99"/>
            <w:noWrap/>
            <w:vAlign w:val="bottom"/>
            <w:hideMark/>
          </w:tcPr>
          <w:p w14:paraId="7EF521B5" w14:textId="77777777" w:rsidR="00DE089F" w:rsidRPr="001D3296" w:rsidRDefault="00DE089F" w:rsidP="00873998">
            <w:pPr>
              <w:pStyle w:val="CommentText"/>
              <w:rPr>
                <w:rFonts w:cs="Arial"/>
                <w:b/>
              </w:rPr>
            </w:pPr>
            <w:r w:rsidRPr="001D3296">
              <w:rPr>
                <w:rFonts w:cs="Arial"/>
                <w:b/>
              </w:rPr>
              <w:t>Drug Description</w:t>
            </w:r>
          </w:p>
        </w:tc>
        <w:tc>
          <w:tcPr>
            <w:tcW w:w="5580" w:type="dxa"/>
            <w:shd w:val="clear" w:color="auto" w:fill="FABF8F" w:themeFill="accent6" w:themeFillTint="99"/>
            <w:vAlign w:val="bottom"/>
          </w:tcPr>
          <w:p w14:paraId="1D1B0714" w14:textId="77777777" w:rsidR="00DE089F" w:rsidRPr="001D3296" w:rsidRDefault="00DE089F" w:rsidP="00873998">
            <w:pPr>
              <w:pStyle w:val="CommentText"/>
              <w:rPr>
                <w:rFonts w:cs="Arial"/>
                <w:b/>
              </w:rPr>
            </w:pPr>
            <w:r w:rsidRPr="001D3296">
              <w:rPr>
                <w:rFonts w:cs="Arial"/>
                <w:b/>
              </w:rPr>
              <w:t>Generic Equivalent</w:t>
            </w:r>
          </w:p>
        </w:tc>
      </w:tr>
      <w:tr w:rsidR="00DE089F" w:rsidRPr="001D3296" w14:paraId="51142E2C" w14:textId="77777777" w:rsidTr="00873998">
        <w:tc>
          <w:tcPr>
            <w:tcW w:w="4140" w:type="dxa"/>
            <w:noWrap/>
            <w:vAlign w:val="bottom"/>
            <w:hideMark/>
          </w:tcPr>
          <w:p w14:paraId="4FFC4209" w14:textId="77777777" w:rsidR="00DE089F" w:rsidRPr="001D3296" w:rsidRDefault="00DE089F" w:rsidP="00873998">
            <w:pPr>
              <w:pStyle w:val="CommentText"/>
              <w:rPr>
                <w:rFonts w:cs="Arial"/>
              </w:rPr>
            </w:pPr>
            <w:r w:rsidRPr="001D3296">
              <w:rPr>
                <w:rFonts w:cs="Arial"/>
              </w:rPr>
              <w:t>ANORO ELLIPTA 62.5-25 MCG INH</w:t>
            </w:r>
          </w:p>
        </w:tc>
        <w:tc>
          <w:tcPr>
            <w:tcW w:w="5580" w:type="dxa"/>
            <w:vAlign w:val="bottom"/>
          </w:tcPr>
          <w:p w14:paraId="1B7E2312" w14:textId="77777777" w:rsidR="00DE089F" w:rsidRPr="001D3296" w:rsidRDefault="00DE089F" w:rsidP="00873998">
            <w:pPr>
              <w:pStyle w:val="CommentText"/>
              <w:rPr>
                <w:rFonts w:cs="Arial"/>
                <w:caps/>
              </w:rPr>
            </w:pPr>
            <w:r w:rsidRPr="001D3296">
              <w:rPr>
                <w:rFonts w:cs="Arial"/>
                <w:caps/>
              </w:rPr>
              <w:t>Umeclindium bromide/vilanterol trifenatate</w:t>
            </w:r>
          </w:p>
        </w:tc>
      </w:tr>
      <w:tr w:rsidR="00DE089F" w:rsidRPr="001D3296" w14:paraId="2FCCAB1D" w14:textId="77777777" w:rsidTr="00873998">
        <w:tc>
          <w:tcPr>
            <w:tcW w:w="4140" w:type="dxa"/>
            <w:noWrap/>
            <w:vAlign w:val="bottom"/>
            <w:hideMark/>
          </w:tcPr>
          <w:p w14:paraId="0E3C3683" w14:textId="77777777" w:rsidR="00DE089F" w:rsidRPr="001D3296" w:rsidRDefault="00DE089F" w:rsidP="00873998">
            <w:pPr>
              <w:pStyle w:val="CommentText"/>
              <w:rPr>
                <w:rFonts w:cs="Arial"/>
              </w:rPr>
            </w:pPr>
            <w:r w:rsidRPr="001D3296">
              <w:rPr>
                <w:rFonts w:cs="Arial"/>
              </w:rPr>
              <w:t>ATROVENT HFA INHALER</w:t>
            </w:r>
          </w:p>
        </w:tc>
        <w:tc>
          <w:tcPr>
            <w:tcW w:w="5580" w:type="dxa"/>
            <w:vAlign w:val="bottom"/>
          </w:tcPr>
          <w:p w14:paraId="370401FA" w14:textId="77777777" w:rsidR="00DE089F" w:rsidRPr="001D3296" w:rsidRDefault="00DE089F" w:rsidP="00873998">
            <w:pPr>
              <w:pStyle w:val="CommentText"/>
              <w:rPr>
                <w:rFonts w:cs="Arial"/>
                <w:caps/>
              </w:rPr>
            </w:pPr>
            <w:r w:rsidRPr="001D3296">
              <w:rPr>
                <w:rFonts w:cs="Arial"/>
                <w:caps/>
              </w:rPr>
              <w:t>Ipratropium bromide</w:t>
            </w:r>
          </w:p>
        </w:tc>
      </w:tr>
      <w:tr w:rsidR="00DE089F" w:rsidRPr="001D3296" w14:paraId="4B010102" w14:textId="77777777" w:rsidTr="00873998">
        <w:tc>
          <w:tcPr>
            <w:tcW w:w="4140" w:type="dxa"/>
            <w:noWrap/>
            <w:vAlign w:val="bottom"/>
            <w:hideMark/>
          </w:tcPr>
          <w:p w14:paraId="59CD4276" w14:textId="77777777" w:rsidR="00DE089F" w:rsidRPr="001D3296" w:rsidRDefault="00DE089F" w:rsidP="00873998">
            <w:pPr>
              <w:pStyle w:val="CommentText"/>
              <w:rPr>
                <w:rFonts w:cs="Arial"/>
              </w:rPr>
            </w:pPr>
            <w:r w:rsidRPr="001D3296">
              <w:rPr>
                <w:rFonts w:cs="Arial"/>
              </w:rPr>
              <w:t>COMBIVENT RESPIMAT INHALER</w:t>
            </w:r>
          </w:p>
        </w:tc>
        <w:tc>
          <w:tcPr>
            <w:tcW w:w="5580" w:type="dxa"/>
            <w:vAlign w:val="bottom"/>
          </w:tcPr>
          <w:p w14:paraId="327B9B49" w14:textId="77777777" w:rsidR="00DE089F" w:rsidRPr="001D3296" w:rsidRDefault="00DE089F" w:rsidP="00873998">
            <w:pPr>
              <w:pStyle w:val="CommentText"/>
              <w:rPr>
                <w:rFonts w:cs="Arial"/>
                <w:caps/>
              </w:rPr>
            </w:pPr>
            <w:r w:rsidRPr="001D3296">
              <w:rPr>
                <w:rFonts w:cs="Arial"/>
                <w:caps/>
              </w:rPr>
              <w:t>IPRATROPIUM/ALBUTEROL SULFATE</w:t>
            </w:r>
          </w:p>
        </w:tc>
      </w:tr>
      <w:tr w:rsidR="00DE089F" w:rsidRPr="001D3296" w14:paraId="2FF4C880" w14:textId="77777777" w:rsidTr="00873998">
        <w:tc>
          <w:tcPr>
            <w:tcW w:w="4140" w:type="dxa"/>
            <w:noWrap/>
            <w:vAlign w:val="bottom"/>
            <w:hideMark/>
          </w:tcPr>
          <w:p w14:paraId="00907A21" w14:textId="77777777" w:rsidR="00DE089F" w:rsidRPr="001D3296" w:rsidRDefault="00DE089F" w:rsidP="00873998">
            <w:pPr>
              <w:pStyle w:val="CommentText"/>
              <w:rPr>
                <w:rFonts w:cs="Arial"/>
              </w:rPr>
            </w:pPr>
            <w:r w:rsidRPr="001D3296">
              <w:rPr>
                <w:rFonts w:cs="Arial"/>
              </w:rPr>
              <w:t>DUONEB 0.5 MG-3 MG/3 ML SOLN</w:t>
            </w:r>
          </w:p>
        </w:tc>
        <w:tc>
          <w:tcPr>
            <w:tcW w:w="5580" w:type="dxa"/>
            <w:vAlign w:val="bottom"/>
          </w:tcPr>
          <w:p w14:paraId="41A9F3A5" w14:textId="77777777" w:rsidR="00DE089F" w:rsidRPr="001D3296" w:rsidRDefault="00DE089F" w:rsidP="00873998">
            <w:pPr>
              <w:pStyle w:val="CommentText"/>
              <w:rPr>
                <w:rFonts w:cs="Arial"/>
                <w:caps/>
              </w:rPr>
            </w:pPr>
            <w:r w:rsidRPr="001D3296">
              <w:rPr>
                <w:rFonts w:cs="Arial"/>
                <w:caps/>
              </w:rPr>
              <w:t>IPRATROPIUM/ALBUTEROL SULFATE</w:t>
            </w:r>
          </w:p>
        </w:tc>
      </w:tr>
      <w:tr w:rsidR="00DE089F" w:rsidRPr="001D3296" w14:paraId="0712994F" w14:textId="77777777" w:rsidTr="00873998">
        <w:tc>
          <w:tcPr>
            <w:tcW w:w="4140" w:type="dxa"/>
            <w:noWrap/>
            <w:vAlign w:val="bottom"/>
            <w:hideMark/>
          </w:tcPr>
          <w:p w14:paraId="5CBCA759" w14:textId="77777777" w:rsidR="00DE089F" w:rsidRPr="001D3296" w:rsidRDefault="00DE089F" w:rsidP="00873998">
            <w:pPr>
              <w:pStyle w:val="CommentText"/>
              <w:rPr>
                <w:rFonts w:cs="Arial"/>
              </w:rPr>
            </w:pPr>
            <w:r w:rsidRPr="001D3296">
              <w:rPr>
                <w:rFonts w:cs="Arial"/>
              </w:rPr>
              <w:t>IPRATROPIUM BR 0.02% SOLN</w:t>
            </w:r>
          </w:p>
        </w:tc>
        <w:tc>
          <w:tcPr>
            <w:tcW w:w="5580" w:type="dxa"/>
            <w:vAlign w:val="bottom"/>
          </w:tcPr>
          <w:p w14:paraId="4C6CDACC" w14:textId="77777777" w:rsidR="00DE089F" w:rsidRPr="001D3296" w:rsidRDefault="00DE089F" w:rsidP="00873998">
            <w:pPr>
              <w:pStyle w:val="CommentText"/>
              <w:rPr>
                <w:rFonts w:cs="Arial"/>
                <w:caps/>
              </w:rPr>
            </w:pPr>
            <w:r w:rsidRPr="001D3296">
              <w:rPr>
                <w:rFonts w:cs="Arial"/>
                <w:caps/>
              </w:rPr>
              <w:t>Ipratropium bromide</w:t>
            </w:r>
          </w:p>
        </w:tc>
      </w:tr>
      <w:tr w:rsidR="00DE089F" w:rsidRPr="001D3296" w14:paraId="4BBDBCD9" w14:textId="77777777" w:rsidTr="00873998">
        <w:tc>
          <w:tcPr>
            <w:tcW w:w="4140" w:type="dxa"/>
            <w:noWrap/>
            <w:vAlign w:val="bottom"/>
            <w:hideMark/>
          </w:tcPr>
          <w:p w14:paraId="6F900CF7" w14:textId="77777777" w:rsidR="00DE089F" w:rsidRPr="001D3296" w:rsidRDefault="00DE089F" w:rsidP="00873998">
            <w:pPr>
              <w:pStyle w:val="CommentText"/>
              <w:rPr>
                <w:rFonts w:cs="Arial"/>
              </w:rPr>
            </w:pPr>
            <w:r w:rsidRPr="001D3296">
              <w:rPr>
                <w:rFonts w:cs="Arial"/>
              </w:rPr>
              <w:t>SPIRIVA 18 MCG CP-HANDIHALER</w:t>
            </w:r>
          </w:p>
        </w:tc>
        <w:tc>
          <w:tcPr>
            <w:tcW w:w="5580" w:type="dxa"/>
            <w:vAlign w:val="bottom"/>
          </w:tcPr>
          <w:p w14:paraId="044E5273" w14:textId="77777777" w:rsidR="00DE089F" w:rsidRPr="001D3296" w:rsidRDefault="00DE089F" w:rsidP="00873998">
            <w:pPr>
              <w:pStyle w:val="CommentText"/>
              <w:rPr>
                <w:rFonts w:cs="Arial"/>
                <w:caps/>
              </w:rPr>
            </w:pPr>
            <w:r w:rsidRPr="001D3296">
              <w:rPr>
                <w:rFonts w:cs="Arial"/>
                <w:caps/>
              </w:rPr>
              <w:t>Tiotropium bromide</w:t>
            </w:r>
          </w:p>
        </w:tc>
      </w:tr>
      <w:tr w:rsidR="00DE089F" w:rsidRPr="001D3296" w14:paraId="647EAB9A" w14:textId="77777777" w:rsidTr="00873998">
        <w:tc>
          <w:tcPr>
            <w:tcW w:w="4140" w:type="dxa"/>
            <w:noWrap/>
            <w:vAlign w:val="bottom"/>
          </w:tcPr>
          <w:p w14:paraId="4902BE14" w14:textId="77777777" w:rsidR="00DE089F" w:rsidRPr="001D3296" w:rsidRDefault="00DE089F" w:rsidP="00873998">
            <w:pPr>
              <w:pStyle w:val="CommentText"/>
              <w:rPr>
                <w:rFonts w:cs="Arial"/>
              </w:rPr>
            </w:pPr>
            <w:r w:rsidRPr="001D3296">
              <w:rPr>
                <w:rFonts w:cs="Arial"/>
              </w:rPr>
              <w:lastRenderedPageBreak/>
              <w:t>SPIRIVA RESPIMAT 1.25 MCG INH</w:t>
            </w:r>
          </w:p>
        </w:tc>
        <w:tc>
          <w:tcPr>
            <w:tcW w:w="5580" w:type="dxa"/>
            <w:vAlign w:val="bottom"/>
          </w:tcPr>
          <w:p w14:paraId="0942D8AA" w14:textId="77777777" w:rsidR="00DE089F" w:rsidRPr="001D3296" w:rsidRDefault="00DE089F" w:rsidP="00873998">
            <w:pPr>
              <w:pStyle w:val="CommentText"/>
              <w:rPr>
                <w:rFonts w:cs="Arial"/>
                <w:caps/>
              </w:rPr>
            </w:pPr>
            <w:r w:rsidRPr="001D3296">
              <w:rPr>
                <w:rFonts w:cs="Arial"/>
                <w:caps/>
              </w:rPr>
              <w:t>Tiotropium bromide</w:t>
            </w:r>
          </w:p>
        </w:tc>
      </w:tr>
      <w:tr w:rsidR="00DE089F" w:rsidRPr="001D3296" w14:paraId="5687F702" w14:textId="77777777" w:rsidTr="00873998">
        <w:tc>
          <w:tcPr>
            <w:tcW w:w="4140" w:type="dxa"/>
            <w:noWrap/>
            <w:vAlign w:val="bottom"/>
            <w:hideMark/>
          </w:tcPr>
          <w:p w14:paraId="6A8A1579" w14:textId="77777777" w:rsidR="00DE089F" w:rsidRPr="001D3296" w:rsidRDefault="00DE089F" w:rsidP="00873998">
            <w:pPr>
              <w:pStyle w:val="CommentText"/>
              <w:rPr>
                <w:rFonts w:cs="Arial"/>
              </w:rPr>
            </w:pPr>
            <w:r w:rsidRPr="001D3296">
              <w:rPr>
                <w:rFonts w:cs="Arial"/>
              </w:rPr>
              <w:t>SPIRIVA RESPIMAT INHAL SPRAY</w:t>
            </w:r>
          </w:p>
        </w:tc>
        <w:tc>
          <w:tcPr>
            <w:tcW w:w="5580" w:type="dxa"/>
            <w:vAlign w:val="bottom"/>
          </w:tcPr>
          <w:p w14:paraId="4E66BDB0" w14:textId="77777777" w:rsidR="00DE089F" w:rsidRPr="001D3296" w:rsidRDefault="00DE089F" w:rsidP="00873998">
            <w:pPr>
              <w:pStyle w:val="CommentText"/>
              <w:rPr>
                <w:rFonts w:cs="Arial"/>
                <w:caps/>
              </w:rPr>
            </w:pPr>
            <w:r w:rsidRPr="001D3296">
              <w:rPr>
                <w:rFonts w:cs="Arial"/>
                <w:caps/>
              </w:rPr>
              <w:t>Tiotropium bromide</w:t>
            </w:r>
          </w:p>
        </w:tc>
      </w:tr>
    </w:tbl>
    <w:p w14:paraId="391BDB0C" w14:textId="77777777" w:rsidR="00DE089F" w:rsidRPr="002F2405" w:rsidRDefault="00DE089F" w:rsidP="00DE089F">
      <w:pPr>
        <w:rPr>
          <w:rFonts w:cs="Arial"/>
        </w:rPr>
      </w:pP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7B5E294" w14:textId="77777777" w:rsidR="00525DBC" w:rsidRPr="00B90AB5" w:rsidRDefault="00525DBC" w:rsidP="00525DBC">
      <w:pPr>
        <w:pStyle w:val="ListParagraph"/>
      </w:pPr>
      <w:r w:rsidRPr="00B90AB5">
        <w:t xml:space="preserve">Evidence-Based Medicine and Fiscal Analysis: “Therapeutic Class Review: RESPIRATORY: </w:t>
      </w:r>
      <w:r>
        <w:t>Phosphodiesterase Inhibitors for COPD</w:t>
      </w:r>
      <w:r w:rsidRPr="00B90AB5">
        <w:t xml:space="preserve">”, Gainwell Technologies; Last updated </w:t>
      </w:r>
      <w:r>
        <w:t>January 23, 2025</w:t>
      </w:r>
      <w:r w:rsidRPr="00B90AB5">
        <w:t>.</w:t>
      </w:r>
    </w:p>
    <w:p w14:paraId="77C21A69" w14:textId="77777777" w:rsidR="00525DBC" w:rsidRPr="00B90AB5" w:rsidRDefault="00525DBC" w:rsidP="00525DBC">
      <w:pPr>
        <w:pStyle w:val="ListParagraph"/>
      </w:pPr>
      <w:r w:rsidRPr="00B90AB5">
        <w:t>Evidence-Based Medicine Analysis: “</w:t>
      </w:r>
      <w:r w:rsidRPr="00B421ED">
        <w:t>Phosphodiesterase Inhibitors for COPD, Oral</w:t>
      </w:r>
      <w:r w:rsidRPr="00B90AB5">
        <w:t>”, UMKC-DIC; Last updated November 202</w:t>
      </w:r>
      <w:r>
        <w:t>4</w:t>
      </w:r>
      <w:r w:rsidRPr="00B90AB5">
        <w:t>.</w:t>
      </w:r>
    </w:p>
    <w:p w14:paraId="6C7C1565" w14:textId="52455473" w:rsidR="00525DBC" w:rsidRPr="00267EF6" w:rsidRDefault="00525DBC" w:rsidP="00525DBC">
      <w:pPr>
        <w:pStyle w:val="ListParagraph"/>
      </w:pPr>
      <w:r w:rsidRPr="00267EF6">
        <w:t>Global Initiative for Chronic Obstructive Lung Disease: Global strategy for the diagnosis, management, and prevention of chronic obstructive pulmonary disease (GOLD 202</w:t>
      </w:r>
      <w:r w:rsidR="000A4EAF">
        <w:t>6</w:t>
      </w:r>
      <w:r w:rsidRPr="00267EF6">
        <w:t xml:space="preserve"> report). </w:t>
      </w:r>
      <w:r w:rsidR="000A4EAF" w:rsidRPr="000A4EAF">
        <w:t>https://goldcopd.org/2026-gold-report-and-pocket-guide/</w:t>
      </w:r>
    </w:p>
    <w:p w14:paraId="6F4DA937" w14:textId="3A05FC23" w:rsidR="00525DBC" w:rsidRPr="00700A44" w:rsidRDefault="00525DBC" w:rsidP="00525DBC">
      <w:pPr>
        <w:pStyle w:val="ListParagraph"/>
        <w:rPr>
          <w:rStyle w:val="normaltextrun"/>
          <w:rFonts w:cs="Arial"/>
        </w:rPr>
      </w:pPr>
      <w:r w:rsidRPr="00BF4E23">
        <w:t>USPDI, Micromedex; 202</w:t>
      </w:r>
      <w:r>
        <w:t>6</w:t>
      </w:r>
      <w:r w:rsidRPr="00BF4E23">
        <w:t xml:space="preserve">. </w:t>
      </w:r>
    </w:p>
    <w:p w14:paraId="3FA1E7DB" w14:textId="1F53FE21" w:rsidR="00777CA4" w:rsidRDefault="00525DBC" w:rsidP="00525DBC">
      <w:pPr>
        <w:pStyle w:val="ListParagraph"/>
      </w:pPr>
      <w:r w:rsidRPr="00191765">
        <w:rPr>
          <w:rStyle w:val="normaltextrun"/>
          <w:rFonts w:cs="Arial"/>
          <w:szCs w:val="20"/>
        </w:rPr>
        <w:t>Facts and Comparisons </w:t>
      </w:r>
      <w:proofErr w:type="spellStart"/>
      <w:r w:rsidRPr="00191765">
        <w:rPr>
          <w:rStyle w:val="spellingerror"/>
          <w:rFonts w:cs="Arial"/>
          <w:szCs w:val="20"/>
        </w:rPr>
        <w:t>eAnswers</w:t>
      </w:r>
      <w:proofErr w:type="spellEnd"/>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03B2" w14:textId="77777777" w:rsidR="00C31AD4" w:rsidRPr="00C02553" w:rsidRDefault="00C31AD4" w:rsidP="00AE77DB">
      <w:r w:rsidRPr="00C02553">
        <w:separator/>
      </w:r>
    </w:p>
  </w:endnote>
  <w:endnote w:type="continuationSeparator" w:id="0">
    <w:p w14:paraId="4C6BD011" w14:textId="77777777" w:rsidR="00C31AD4" w:rsidRPr="00C02553" w:rsidRDefault="00C31AD4" w:rsidP="00AE77DB">
      <w:r w:rsidRPr="00C02553">
        <w:continuationSeparator/>
      </w:r>
    </w:p>
  </w:endnote>
  <w:endnote w:type="continuationNotice" w:id="1">
    <w:p w14:paraId="0566C1F1" w14:textId="77777777" w:rsidR="00C31AD4" w:rsidRPr="00C02553" w:rsidRDefault="00C31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2B51" w14:textId="77777777" w:rsidR="00C31AD4" w:rsidRPr="00C02553" w:rsidRDefault="00C31AD4" w:rsidP="00AE77DB">
      <w:r w:rsidRPr="00C02553">
        <w:separator/>
      </w:r>
    </w:p>
  </w:footnote>
  <w:footnote w:type="continuationSeparator" w:id="0">
    <w:p w14:paraId="75F54B03" w14:textId="77777777" w:rsidR="00C31AD4" w:rsidRPr="00C02553" w:rsidRDefault="00C31AD4" w:rsidP="00AE77DB">
      <w:r w:rsidRPr="00C02553">
        <w:continuationSeparator/>
      </w:r>
    </w:p>
  </w:footnote>
  <w:footnote w:type="continuationNotice" w:id="1">
    <w:p w14:paraId="177FAA61" w14:textId="77777777" w:rsidR="00C31AD4" w:rsidRPr="00C02553" w:rsidRDefault="00C31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1777AA">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1777AA">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1777AA">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1F4A60"/>
    <w:multiLevelType w:val="hybridMultilevel"/>
    <w:tmpl w:val="DB1C7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643976"/>
    <w:multiLevelType w:val="hybridMultilevel"/>
    <w:tmpl w:val="2820C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977E2CD6">
      <w:numFmt w:val="bullet"/>
      <w:lvlText w:val="•"/>
      <w:lvlJc w:val="left"/>
      <w:pPr>
        <w:ind w:left="3240" w:hanging="360"/>
      </w:pPr>
      <w:rPr>
        <w:rFonts w:ascii="Arial" w:eastAsia="Times New Roman" w:hAnsi="Arial"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CC2B0B"/>
    <w:multiLevelType w:val="hybridMultilevel"/>
    <w:tmpl w:val="E370E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6"/>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5"/>
  </w:num>
  <w:num w:numId="14" w16cid:durableId="1805081292">
    <w:abstractNumId w:val="13"/>
  </w:num>
  <w:num w:numId="15" w16cid:durableId="150559867">
    <w:abstractNumId w:val="15"/>
  </w:num>
  <w:num w:numId="16" w16cid:durableId="57678633">
    <w:abstractNumId w:val="10"/>
  </w:num>
  <w:num w:numId="17" w16cid:durableId="162858218">
    <w:abstractNumId w:val="12"/>
  </w:num>
  <w:num w:numId="18" w16cid:durableId="358968017">
    <w:abstractNumId w:val="7"/>
  </w:num>
  <w:num w:numId="19" w16cid:durableId="199055530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0+BzWZI1acN19Xv4sFfskAcVhpTmCeDu4SVUF3Kp75usR6gXfL1xgvMpN8a/NYkX3ddaFg+SPpa3wxplIAEANQ==" w:salt="Et6evmZ4NHTBdFhFiLlZE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43554"/>
    <w:rsid w:val="00046C6A"/>
    <w:rsid w:val="00053807"/>
    <w:rsid w:val="000572E5"/>
    <w:rsid w:val="00057F84"/>
    <w:rsid w:val="00061541"/>
    <w:rsid w:val="00064162"/>
    <w:rsid w:val="00065C22"/>
    <w:rsid w:val="00066885"/>
    <w:rsid w:val="00074464"/>
    <w:rsid w:val="00076030"/>
    <w:rsid w:val="00082590"/>
    <w:rsid w:val="00084890"/>
    <w:rsid w:val="000913C3"/>
    <w:rsid w:val="000953B9"/>
    <w:rsid w:val="000A413B"/>
    <w:rsid w:val="000A4EAF"/>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7AA"/>
    <w:rsid w:val="00177A80"/>
    <w:rsid w:val="0018172E"/>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596F"/>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7005C"/>
    <w:rsid w:val="003878C1"/>
    <w:rsid w:val="00396C0B"/>
    <w:rsid w:val="003A630F"/>
    <w:rsid w:val="003A7C4B"/>
    <w:rsid w:val="003B3958"/>
    <w:rsid w:val="003B481F"/>
    <w:rsid w:val="003B4820"/>
    <w:rsid w:val="003B5F4B"/>
    <w:rsid w:val="003B682F"/>
    <w:rsid w:val="003C53FC"/>
    <w:rsid w:val="003C7013"/>
    <w:rsid w:val="003D3344"/>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1F51"/>
    <w:rsid w:val="005233E7"/>
    <w:rsid w:val="00525DBC"/>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0CA6"/>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3EDF"/>
    <w:rsid w:val="0065477F"/>
    <w:rsid w:val="00656896"/>
    <w:rsid w:val="00661656"/>
    <w:rsid w:val="0066374F"/>
    <w:rsid w:val="00677C65"/>
    <w:rsid w:val="00693152"/>
    <w:rsid w:val="00694FAE"/>
    <w:rsid w:val="00696E3A"/>
    <w:rsid w:val="006A0834"/>
    <w:rsid w:val="006A4BBD"/>
    <w:rsid w:val="006A52F1"/>
    <w:rsid w:val="006B561D"/>
    <w:rsid w:val="006B6D5D"/>
    <w:rsid w:val="006C5090"/>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51DD"/>
    <w:rsid w:val="00846FA4"/>
    <w:rsid w:val="008524BA"/>
    <w:rsid w:val="00852B74"/>
    <w:rsid w:val="00856928"/>
    <w:rsid w:val="00865538"/>
    <w:rsid w:val="00870875"/>
    <w:rsid w:val="0088225C"/>
    <w:rsid w:val="00884026"/>
    <w:rsid w:val="00884C78"/>
    <w:rsid w:val="008859E1"/>
    <w:rsid w:val="00896264"/>
    <w:rsid w:val="008A5D88"/>
    <w:rsid w:val="008B2851"/>
    <w:rsid w:val="008B6C5A"/>
    <w:rsid w:val="008C000E"/>
    <w:rsid w:val="008C1688"/>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756A9"/>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27CC"/>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E3E2F"/>
    <w:rsid w:val="00BF5EEF"/>
    <w:rsid w:val="00C02553"/>
    <w:rsid w:val="00C03299"/>
    <w:rsid w:val="00C04EB6"/>
    <w:rsid w:val="00C056F9"/>
    <w:rsid w:val="00C1018C"/>
    <w:rsid w:val="00C1150E"/>
    <w:rsid w:val="00C14D52"/>
    <w:rsid w:val="00C2586C"/>
    <w:rsid w:val="00C26001"/>
    <w:rsid w:val="00C31AD4"/>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4FB4"/>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089F"/>
    <w:rsid w:val="00DE1388"/>
    <w:rsid w:val="00DE7501"/>
    <w:rsid w:val="00DF3146"/>
    <w:rsid w:val="00DF57C3"/>
    <w:rsid w:val="00E008D9"/>
    <w:rsid w:val="00E02FE0"/>
    <w:rsid w:val="00E07ABE"/>
    <w:rsid w:val="00E11A3F"/>
    <w:rsid w:val="00E12F1B"/>
    <w:rsid w:val="00E1386E"/>
    <w:rsid w:val="00E2369B"/>
    <w:rsid w:val="00E23EC0"/>
    <w:rsid w:val="00E32206"/>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34B76"/>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014"/>
    <w:rsid w:val="00FD34EA"/>
    <w:rsid w:val="00FD55DE"/>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BodyText">
    <w:name w:val="Body Text"/>
    <w:basedOn w:val="Normal"/>
    <w:link w:val="BodyTextChar"/>
    <w:uiPriority w:val="99"/>
    <w:semiHidden/>
    <w:unhideWhenUsed/>
    <w:rsid w:val="009756A9"/>
    <w:pPr>
      <w:spacing w:after="120"/>
    </w:pPr>
  </w:style>
  <w:style w:type="character" w:customStyle="1" w:styleId="BodyTextChar">
    <w:name w:val="Body Text Char"/>
    <w:basedOn w:val="DefaultParagraphFont"/>
    <w:link w:val="BodyText"/>
    <w:uiPriority w:val="99"/>
    <w:semiHidden/>
    <w:rsid w:val="009756A9"/>
    <w:rPr>
      <w:rFonts w:ascii="Arial" w:hAnsi="Arial"/>
      <w:szCs w:val="24"/>
    </w:rPr>
  </w:style>
  <w:style w:type="character" w:customStyle="1" w:styleId="CommentTextChar">
    <w:name w:val="Comment Text Char"/>
    <w:basedOn w:val="DefaultParagraphFont"/>
    <w:link w:val="CommentText"/>
    <w:semiHidden/>
    <w:rsid w:val="00DE089F"/>
    <w:rPr>
      <w:rFonts w:ascii="Arial" w:hAnsi="Arial"/>
    </w:rPr>
  </w:style>
  <w:style w:type="character" w:customStyle="1" w:styleId="spellingerror">
    <w:name w:val="spellingerror"/>
    <w:basedOn w:val="DefaultParagraphFont"/>
    <w:rsid w:val="00525DBC"/>
  </w:style>
  <w:style w:type="paragraph" w:styleId="Revision">
    <w:name w:val="Revision"/>
    <w:hidden/>
    <w:uiPriority w:val="99"/>
    <w:semiHidden/>
    <w:rsid w:val="008451DD"/>
    <w:rPr>
      <w:rFonts w:ascii="Arial" w:hAnsi="Arial"/>
      <w:szCs w:val="24"/>
    </w:rPr>
  </w:style>
  <w:style w:type="character" w:styleId="CommentReference">
    <w:name w:val="annotation reference"/>
    <w:basedOn w:val="DefaultParagraphFont"/>
    <w:uiPriority w:val="99"/>
    <w:semiHidden/>
    <w:unhideWhenUsed/>
    <w:rsid w:val="00084890"/>
    <w:rPr>
      <w:sz w:val="16"/>
      <w:szCs w:val="16"/>
    </w:rPr>
  </w:style>
  <w:style w:type="paragraph" w:styleId="CommentSubject">
    <w:name w:val="annotation subject"/>
    <w:basedOn w:val="CommentText"/>
    <w:next w:val="CommentText"/>
    <w:link w:val="CommentSubjectChar"/>
    <w:uiPriority w:val="99"/>
    <w:semiHidden/>
    <w:unhideWhenUsed/>
    <w:rsid w:val="00084890"/>
    <w:rPr>
      <w:b/>
      <w:bCs/>
    </w:rPr>
  </w:style>
  <w:style w:type="character" w:customStyle="1" w:styleId="CommentSubjectChar">
    <w:name w:val="Comment Subject Char"/>
    <w:basedOn w:val="CommentTextChar"/>
    <w:link w:val="CommentSubject"/>
    <w:uiPriority w:val="99"/>
    <w:semiHidden/>
    <w:rsid w:val="0008489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5E7FB-4943-422E-885A-093AD92B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microsoft.com/sharepoint/v3"/>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702</Words>
  <Characters>4414</Characters>
  <Application>Microsoft Office Word</Application>
  <DocSecurity>10</DocSecurity>
  <Lines>36</Lines>
  <Paragraphs>10</Paragraphs>
  <ScaleCrop>false</ScaleCrop>
  <HeadingPairs>
    <vt:vector size="2" baseType="variant">
      <vt:variant>
        <vt:lpstr>Title</vt:lpstr>
      </vt:variant>
      <vt:variant>
        <vt:i4>1</vt:i4>
      </vt:variant>
    </vt:vector>
  </HeadingPairs>
  <TitlesOfParts>
    <vt:vector size="1" baseType="lpstr">
      <vt:lpstr>Phosphodiesterase (PDE) Inhibitors for Chronic Obstructive Pulmonary Disease (COPD) PDL Edit</vt:lpstr>
    </vt:vector>
  </TitlesOfParts>
  <Company>DSS</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Phosphodiesterase (PDE) Inhibitors for Chronic Obstructive Pulmonary Disease (COPD) PDL Edit</dc:title>
  <dc:creator>DMS</dc:creator>
  <cp:lastModifiedBy>Heriford, Katherine</cp:lastModifiedBy>
  <cp:revision>20</cp:revision>
  <cp:lastPrinted>2018-10-31T20:17:00Z</cp:lastPrinted>
  <dcterms:created xsi:type="dcterms:W3CDTF">2026-02-26T22:47:00Z</dcterms:created>
  <dcterms:modified xsi:type="dcterms:W3CDTF">2026-04-06T15:58:00Z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