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F01" w14:textId="73DFAB63" w:rsidR="005D2929" w:rsidRDefault="00CF56AC" w:rsidP="00466AF1">
      <w:pPr>
        <w:pStyle w:val="Heading1"/>
      </w:pPr>
      <w:r>
        <w:rPr>
          <w:noProof/>
          <w14:ligatures w14:val="none"/>
        </w:rPr>
        <w:drawing>
          <wp:anchor distT="0" distB="0" distL="114300" distR="114300" simplePos="0" relativeHeight="251658240" behindDoc="1" locked="0" layoutInCell="1" allowOverlap="1" wp14:anchorId="66BEF6E3" wp14:editId="0FF9C375">
            <wp:simplePos x="0" y="0"/>
            <wp:positionH relativeFrom="column">
              <wp:posOffset>-695325</wp:posOffset>
            </wp:positionH>
            <wp:positionV relativeFrom="page">
              <wp:posOffset>-38100</wp:posOffset>
            </wp:positionV>
            <wp:extent cx="7842885" cy="10153650"/>
            <wp:effectExtent l="0" t="0" r="5715" b="0"/>
            <wp:wrapNone/>
            <wp:docPr id="1390921393"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21393" name="Picture 1" descr="MO HealthNet"/>
                    <pic:cNvPicPr/>
                  </pic:nvPicPr>
                  <pic:blipFill>
                    <a:blip r:embed="rId11"/>
                    <a:stretch>
                      <a:fillRect/>
                    </a:stretch>
                  </pic:blipFill>
                  <pic:spPr>
                    <a:xfrm>
                      <a:off x="0" y="0"/>
                      <a:ext cx="7842885" cy="10153650"/>
                    </a:xfrm>
                    <a:prstGeom prst="rect">
                      <a:avLst/>
                    </a:prstGeom>
                  </pic:spPr>
                </pic:pic>
              </a:graphicData>
            </a:graphic>
            <wp14:sizeRelH relativeFrom="margin">
              <wp14:pctWidth>0</wp14:pctWidth>
            </wp14:sizeRelH>
            <wp14:sizeRelV relativeFrom="margin">
              <wp14:pctHeight>0</wp14:pctHeight>
            </wp14:sizeRelV>
          </wp:anchor>
        </w:drawing>
      </w:r>
      <w:r w:rsidR="00466AF1">
        <w:t>AIDS Waiver Provider Manual</w:t>
      </w:r>
    </w:p>
    <w:p w14:paraId="70AEBA41" w14:textId="61F39FED" w:rsidR="00CF56AC" w:rsidRDefault="00CF56AC" w:rsidP="00CF56AC"/>
    <w:p w14:paraId="68AAEF09" w14:textId="77777777" w:rsidR="00CF56AC" w:rsidRDefault="00CF56AC" w:rsidP="00CF56AC"/>
    <w:p w14:paraId="44039C00" w14:textId="77777777" w:rsidR="00CF56AC" w:rsidRDefault="00CF56AC" w:rsidP="00CF56AC"/>
    <w:p w14:paraId="1CE527AE" w14:textId="77777777" w:rsidR="00CF56AC" w:rsidRDefault="00CF56AC" w:rsidP="00CF56AC">
      <w:pPr>
        <w:sectPr w:rsidR="00CF56AC" w:rsidSect="00CF56AC">
          <w:headerReference w:type="default" r:id="rId12"/>
          <w:footerReference w:type="default" r:id="rId13"/>
          <w:pgSz w:w="12240" w:h="15840"/>
          <w:pgMar w:top="1080" w:right="1080" w:bottom="1080" w:left="1080" w:header="720" w:footer="720" w:gutter="0"/>
          <w:pgNumType w:fmt="lowerRoman" w:start="1"/>
          <w:cols w:space="720"/>
          <w:noEndnote/>
          <w:titlePg/>
          <w:docGrid w:linePitch="326"/>
        </w:sectPr>
      </w:pPr>
    </w:p>
    <w:sdt>
      <w:sdtPr>
        <w:id w:val="-1419164576"/>
        <w:docPartObj>
          <w:docPartGallery w:val="Table of Contents"/>
          <w:docPartUnique/>
        </w:docPartObj>
      </w:sdtPr>
      <w:sdtEndPr>
        <w:rPr>
          <w:rFonts w:eastAsiaTheme="minorEastAsia"/>
          <w:noProof/>
          <w:color w:val="000000" w:themeColor="text1"/>
          <w:kern w:val="2"/>
          <w:sz w:val="23"/>
          <w:szCs w:val="23"/>
          <w:lang w:eastAsia="zh-CN"/>
          <w14:ligatures w14:val="standardContextual"/>
        </w:rPr>
      </w:sdtEndPr>
      <w:sdtContent>
        <w:p w14:paraId="38DE9589" w14:textId="2A854502" w:rsidR="00CF56AC" w:rsidRDefault="00CF56AC">
          <w:pPr>
            <w:pStyle w:val="TOCHeading"/>
          </w:pPr>
          <w:r>
            <w:t>Table of Contents</w:t>
          </w:r>
        </w:p>
        <w:p w14:paraId="04CC6DB6" w14:textId="7FC0C578" w:rsidR="00CF56AC" w:rsidRDefault="00CF56AC">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9051493" w:history="1">
            <w:r w:rsidRPr="00DF10BB">
              <w:rPr>
                <w:rStyle w:val="Hyperlink"/>
                <w:noProof/>
              </w:rPr>
              <w:t>Section 1:  Reimbursement Methodology</w:t>
            </w:r>
            <w:r>
              <w:rPr>
                <w:noProof/>
                <w:webHidden/>
              </w:rPr>
              <w:tab/>
            </w:r>
            <w:r>
              <w:rPr>
                <w:noProof/>
                <w:webHidden/>
              </w:rPr>
              <w:fldChar w:fldCharType="begin"/>
            </w:r>
            <w:r>
              <w:rPr>
                <w:noProof/>
                <w:webHidden/>
              </w:rPr>
              <w:instrText xml:space="preserve"> PAGEREF _Toc229051493 \h </w:instrText>
            </w:r>
            <w:r>
              <w:rPr>
                <w:noProof/>
                <w:webHidden/>
              </w:rPr>
            </w:r>
            <w:r>
              <w:rPr>
                <w:noProof/>
                <w:webHidden/>
              </w:rPr>
              <w:fldChar w:fldCharType="separate"/>
            </w:r>
            <w:r>
              <w:rPr>
                <w:noProof/>
                <w:webHidden/>
              </w:rPr>
              <w:t>1</w:t>
            </w:r>
            <w:r>
              <w:rPr>
                <w:noProof/>
                <w:webHidden/>
              </w:rPr>
              <w:fldChar w:fldCharType="end"/>
            </w:r>
          </w:hyperlink>
        </w:p>
        <w:p w14:paraId="3199A088" w14:textId="2B09CDF5" w:rsidR="00CF56AC" w:rsidRDefault="00CF56AC">
          <w:pPr>
            <w:pStyle w:val="TOC2"/>
            <w:rPr>
              <w:rFonts w:asciiTheme="minorHAnsi" w:hAnsiTheme="minorHAnsi" w:cstheme="minorBidi"/>
              <w:b w:val="0"/>
              <w:bCs w:val="0"/>
              <w:noProof/>
              <w:color w:val="auto"/>
              <w:sz w:val="24"/>
              <w:szCs w:val="24"/>
              <w:lang w:eastAsia="en-US"/>
            </w:rPr>
          </w:pPr>
          <w:hyperlink w:anchor="_Toc229051494" w:history="1">
            <w:r w:rsidRPr="00DF10BB">
              <w:rPr>
                <w:rStyle w:val="Hyperlink"/>
                <w:noProof/>
              </w:rPr>
              <w:t>1.1 AIDS Waiver Services</w:t>
            </w:r>
            <w:r>
              <w:rPr>
                <w:noProof/>
                <w:webHidden/>
              </w:rPr>
              <w:tab/>
            </w:r>
            <w:r>
              <w:rPr>
                <w:noProof/>
                <w:webHidden/>
              </w:rPr>
              <w:fldChar w:fldCharType="begin"/>
            </w:r>
            <w:r>
              <w:rPr>
                <w:noProof/>
                <w:webHidden/>
              </w:rPr>
              <w:instrText xml:space="preserve"> PAGEREF _Toc229051494 \h </w:instrText>
            </w:r>
            <w:r>
              <w:rPr>
                <w:noProof/>
                <w:webHidden/>
              </w:rPr>
            </w:r>
            <w:r>
              <w:rPr>
                <w:noProof/>
                <w:webHidden/>
              </w:rPr>
              <w:fldChar w:fldCharType="separate"/>
            </w:r>
            <w:r>
              <w:rPr>
                <w:noProof/>
                <w:webHidden/>
              </w:rPr>
              <w:t>1</w:t>
            </w:r>
            <w:r>
              <w:rPr>
                <w:noProof/>
                <w:webHidden/>
              </w:rPr>
              <w:fldChar w:fldCharType="end"/>
            </w:r>
          </w:hyperlink>
        </w:p>
        <w:p w14:paraId="6DB04AD5" w14:textId="4E43BB8D" w:rsidR="00CF56AC" w:rsidRDefault="00CF56AC">
          <w:pPr>
            <w:pStyle w:val="TOC2"/>
            <w:rPr>
              <w:rFonts w:asciiTheme="minorHAnsi" w:hAnsiTheme="minorHAnsi" w:cstheme="minorBidi"/>
              <w:b w:val="0"/>
              <w:bCs w:val="0"/>
              <w:noProof/>
              <w:color w:val="auto"/>
              <w:sz w:val="24"/>
              <w:szCs w:val="24"/>
              <w:lang w:eastAsia="en-US"/>
            </w:rPr>
          </w:pPr>
          <w:hyperlink w:anchor="_Toc229051495" w:history="1">
            <w:r w:rsidRPr="00DF10BB">
              <w:rPr>
                <w:rStyle w:val="Hyperlink"/>
                <w:noProof/>
              </w:rPr>
              <w:t>1.2 Fee Schedule</w:t>
            </w:r>
            <w:r>
              <w:rPr>
                <w:noProof/>
                <w:webHidden/>
              </w:rPr>
              <w:tab/>
            </w:r>
            <w:r>
              <w:rPr>
                <w:noProof/>
                <w:webHidden/>
              </w:rPr>
              <w:fldChar w:fldCharType="begin"/>
            </w:r>
            <w:r>
              <w:rPr>
                <w:noProof/>
                <w:webHidden/>
              </w:rPr>
              <w:instrText xml:space="preserve"> PAGEREF _Toc229051495 \h </w:instrText>
            </w:r>
            <w:r>
              <w:rPr>
                <w:noProof/>
                <w:webHidden/>
              </w:rPr>
            </w:r>
            <w:r>
              <w:rPr>
                <w:noProof/>
                <w:webHidden/>
              </w:rPr>
              <w:fldChar w:fldCharType="separate"/>
            </w:r>
            <w:r>
              <w:rPr>
                <w:noProof/>
                <w:webHidden/>
              </w:rPr>
              <w:t>1</w:t>
            </w:r>
            <w:r>
              <w:rPr>
                <w:noProof/>
                <w:webHidden/>
              </w:rPr>
              <w:fldChar w:fldCharType="end"/>
            </w:r>
          </w:hyperlink>
        </w:p>
        <w:p w14:paraId="1F33CDE2" w14:textId="7A482098" w:rsidR="00CF56AC" w:rsidRDefault="00CF56AC">
          <w:pPr>
            <w:pStyle w:val="TOC1"/>
            <w:tabs>
              <w:tab w:val="right" w:leader="dot" w:pos="10070"/>
            </w:tabs>
            <w:rPr>
              <w:rFonts w:asciiTheme="minorHAnsi" w:hAnsiTheme="minorHAnsi" w:cstheme="minorBidi"/>
              <w:b w:val="0"/>
              <w:bCs w:val="0"/>
              <w:noProof/>
              <w:color w:val="auto"/>
              <w:sz w:val="24"/>
              <w:szCs w:val="24"/>
              <w:lang w:eastAsia="en-US"/>
            </w:rPr>
          </w:pPr>
          <w:hyperlink w:anchor="_Toc229051496" w:history="1">
            <w:r w:rsidRPr="00DF10BB">
              <w:rPr>
                <w:rStyle w:val="Hyperlink"/>
                <w:noProof/>
              </w:rPr>
              <w:t>Section 2:  Benefits and Limitations</w:t>
            </w:r>
            <w:r>
              <w:rPr>
                <w:noProof/>
                <w:webHidden/>
              </w:rPr>
              <w:tab/>
            </w:r>
            <w:r>
              <w:rPr>
                <w:noProof/>
                <w:webHidden/>
              </w:rPr>
              <w:fldChar w:fldCharType="begin"/>
            </w:r>
            <w:r>
              <w:rPr>
                <w:noProof/>
                <w:webHidden/>
              </w:rPr>
              <w:instrText xml:space="preserve"> PAGEREF _Toc229051496 \h </w:instrText>
            </w:r>
            <w:r>
              <w:rPr>
                <w:noProof/>
                <w:webHidden/>
              </w:rPr>
            </w:r>
            <w:r>
              <w:rPr>
                <w:noProof/>
                <w:webHidden/>
              </w:rPr>
              <w:fldChar w:fldCharType="separate"/>
            </w:r>
            <w:r>
              <w:rPr>
                <w:noProof/>
                <w:webHidden/>
              </w:rPr>
              <w:t>1</w:t>
            </w:r>
            <w:r>
              <w:rPr>
                <w:noProof/>
                <w:webHidden/>
              </w:rPr>
              <w:fldChar w:fldCharType="end"/>
            </w:r>
          </w:hyperlink>
        </w:p>
        <w:p w14:paraId="216E1E5C" w14:textId="684F12E9" w:rsidR="00CF56AC" w:rsidRDefault="00CF56AC">
          <w:pPr>
            <w:pStyle w:val="TOC2"/>
            <w:rPr>
              <w:rFonts w:asciiTheme="minorHAnsi" w:hAnsiTheme="minorHAnsi" w:cstheme="minorBidi"/>
              <w:b w:val="0"/>
              <w:bCs w:val="0"/>
              <w:noProof/>
              <w:color w:val="auto"/>
              <w:sz w:val="24"/>
              <w:szCs w:val="24"/>
              <w:lang w:eastAsia="en-US"/>
            </w:rPr>
          </w:pPr>
          <w:hyperlink w:anchor="_Toc229051497" w:history="1">
            <w:r w:rsidRPr="00DF10BB">
              <w:rPr>
                <w:rStyle w:val="Hyperlink"/>
                <w:noProof/>
              </w:rPr>
              <w:t>2.1 General Information</w:t>
            </w:r>
            <w:r>
              <w:rPr>
                <w:noProof/>
                <w:webHidden/>
              </w:rPr>
              <w:tab/>
            </w:r>
            <w:r>
              <w:rPr>
                <w:noProof/>
                <w:webHidden/>
              </w:rPr>
              <w:fldChar w:fldCharType="begin"/>
            </w:r>
            <w:r>
              <w:rPr>
                <w:noProof/>
                <w:webHidden/>
              </w:rPr>
              <w:instrText xml:space="preserve"> PAGEREF _Toc229051497 \h </w:instrText>
            </w:r>
            <w:r>
              <w:rPr>
                <w:noProof/>
                <w:webHidden/>
              </w:rPr>
            </w:r>
            <w:r>
              <w:rPr>
                <w:noProof/>
                <w:webHidden/>
              </w:rPr>
              <w:fldChar w:fldCharType="separate"/>
            </w:r>
            <w:r>
              <w:rPr>
                <w:noProof/>
                <w:webHidden/>
              </w:rPr>
              <w:t>1</w:t>
            </w:r>
            <w:r>
              <w:rPr>
                <w:noProof/>
                <w:webHidden/>
              </w:rPr>
              <w:fldChar w:fldCharType="end"/>
            </w:r>
          </w:hyperlink>
        </w:p>
        <w:p w14:paraId="188F7F4C" w14:textId="4732D9BE" w:rsidR="00CF56AC" w:rsidRDefault="00CF56AC">
          <w:pPr>
            <w:pStyle w:val="TOC3"/>
            <w:rPr>
              <w:rFonts w:asciiTheme="minorHAnsi" w:hAnsiTheme="minorHAnsi" w:cstheme="minorBidi"/>
              <w:noProof/>
              <w:color w:val="auto"/>
              <w:sz w:val="24"/>
              <w:szCs w:val="24"/>
              <w:lang w:eastAsia="en-US"/>
            </w:rPr>
          </w:pPr>
          <w:hyperlink w:anchor="_Toc229051498" w:history="1">
            <w:r w:rsidRPr="00DF10BB">
              <w:rPr>
                <w:rStyle w:val="Hyperlink"/>
                <w:noProof/>
              </w:rPr>
              <w:t>Service Definitions</w:t>
            </w:r>
            <w:r>
              <w:rPr>
                <w:noProof/>
                <w:webHidden/>
              </w:rPr>
              <w:tab/>
            </w:r>
            <w:r>
              <w:rPr>
                <w:noProof/>
                <w:webHidden/>
              </w:rPr>
              <w:fldChar w:fldCharType="begin"/>
            </w:r>
            <w:r>
              <w:rPr>
                <w:noProof/>
                <w:webHidden/>
              </w:rPr>
              <w:instrText xml:space="preserve"> PAGEREF _Toc229051498 \h </w:instrText>
            </w:r>
            <w:r>
              <w:rPr>
                <w:noProof/>
                <w:webHidden/>
              </w:rPr>
            </w:r>
            <w:r>
              <w:rPr>
                <w:noProof/>
                <w:webHidden/>
              </w:rPr>
              <w:fldChar w:fldCharType="separate"/>
            </w:r>
            <w:r>
              <w:rPr>
                <w:noProof/>
                <w:webHidden/>
              </w:rPr>
              <w:t>2</w:t>
            </w:r>
            <w:r>
              <w:rPr>
                <w:noProof/>
                <w:webHidden/>
              </w:rPr>
              <w:fldChar w:fldCharType="end"/>
            </w:r>
          </w:hyperlink>
        </w:p>
        <w:p w14:paraId="54135236" w14:textId="7677D8AF" w:rsidR="00CF56AC" w:rsidRDefault="00CF56AC">
          <w:pPr>
            <w:pStyle w:val="TOC3"/>
            <w:rPr>
              <w:rFonts w:asciiTheme="minorHAnsi" w:hAnsiTheme="minorHAnsi" w:cstheme="minorBidi"/>
              <w:noProof/>
              <w:color w:val="auto"/>
              <w:sz w:val="24"/>
              <w:szCs w:val="24"/>
              <w:lang w:eastAsia="en-US"/>
            </w:rPr>
          </w:pPr>
          <w:hyperlink w:anchor="_Toc229051499" w:history="1">
            <w:r w:rsidRPr="00DF10BB">
              <w:rPr>
                <w:rStyle w:val="Hyperlink"/>
                <w:noProof/>
              </w:rPr>
              <w:t>Waiver Personal Care</w:t>
            </w:r>
            <w:r>
              <w:rPr>
                <w:noProof/>
                <w:webHidden/>
              </w:rPr>
              <w:tab/>
            </w:r>
            <w:r>
              <w:rPr>
                <w:noProof/>
                <w:webHidden/>
              </w:rPr>
              <w:fldChar w:fldCharType="begin"/>
            </w:r>
            <w:r>
              <w:rPr>
                <w:noProof/>
                <w:webHidden/>
              </w:rPr>
              <w:instrText xml:space="preserve"> PAGEREF _Toc229051499 \h </w:instrText>
            </w:r>
            <w:r>
              <w:rPr>
                <w:noProof/>
                <w:webHidden/>
              </w:rPr>
            </w:r>
            <w:r>
              <w:rPr>
                <w:noProof/>
                <w:webHidden/>
              </w:rPr>
              <w:fldChar w:fldCharType="separate"/>
            </w:r>
            <w:r>
              <w:rPr>
                <w:noProof/>
                <w:webHidden/>
              </w:rPr>
              <w:t>2</w:t>
            </w:r>
            <w:r>
              <w:rPr>
                <w:noProof/>
                <w:webHidden/>
              </w:rPr>
              <w:fldChar w:fldCharType="end"/>
            </w:r>
          </w:hyperlink>
        </w:p>
        <w:p w14:paraId="0445C606" w14:textId="6EB0B0CC" w:rsidR="00CF56AC" w:rsidRDefault="00CF56AC">
          <w:pPr>
            <w:pStyle w:val="TOC3"/>
            <w:rPr>
              <w:rFonts w:asciiTheme="minorHAnsi" w:hAnsiTheme="minorHAnsi" w:cstheme="minorBidi"/>
              <w:noProof/>
              <w:color w:val="auto"/>
              <w:sz w:val="24"/>
              <w:szCs w:val="24"/>
              <w:lang w:eastAsia="en-US"/>
            </w:rPr>
          </w:pPr>
          <w:hyperlink w:anchor="_Toc229051500" w:history="1">
            <w:r w:rsidRPr="00DF10BB">
              <w:rPr>
                <w:rStyle w:val="Hyperlink"/>
                <w:noProof/>
              </w:rPr>
              <w:t>Limitations</w:t>
            </w:r>
            <w:r>
              <w:rPr>
                <w:noProof/>
                <w:webHidden/>
              </w:rPr>
              <w:tab/>
            </w:r>
            <w:r>
              <w:rPr>
                <w:noProof/>
                <w:webHidden/>
              </w:rPr>
              <w:fldChar w:fldCharType="begin"/>
            </w:r>
            <w:r>
              <w:rPr>
                <w:noProof/>
                <w:webHidden/>
              </w:rPr>
              <w:instrText xml:space="preserve"> PAGEREF _Toc229051500 \h </w:instrText>
            </w:r>
            <w:r>
              <w:rPr>
                <w:noProof/>
                <w:webHidden/>
              </w:rPr>
            </w:r>
            <w:r>
              <w:rPr>
                <w:noProof/>
                <w:webHidden/>
              </w:rPr>
              <w:fldChar w:fldCharType="separate"/>
            </w:r>
            <w:r>
              <w:rPr>
                <w:noProof/>
                <w:webHidden/>
              </w:rPr>
              <w:t>3</w:t>
            </w:r>
            <w:r>
              <w:rPr>
                <w:noProof/>
                <w:webHidden/>
              </w:rPr>
              <w:fldChar w:fldCharType="end"/>
            </w:r>
          </w:hyperlink>
        </w:p>
        <w:p w14:paraId="03CA96F2" w14:textId="1A601E8A" w:rsidR="00CF56AC" w:rsidRDefault="00CF56AC">
          <w:pPr>
            <w:pStyle w:val="TOC3"/>
            <w:rPr>
              <w:rFonts w:asciiTheme="minorHAnsi" w:hAnsiTheme="minorHAnsi" w:cstheme="minorBidi"/>
              <w:noProof/>
              <w:color w:val="auto"/>
              <w:sz w:val="24"/>
              <w:szCs w:val="24"/>
              <w:lang w:eastAsia="en-US"/>
            </w:rPr>
          </w:pPr>
          <w:hyperlink w:anchor="_Toc229051501" w:history="1">
            <w:r w:rsidRPr="00DF10BB">
              <w:rPr>
                <w:rStyle w:val="Hyperlink"/>
                <w:noProof/>
              </w:rPr>
              <w:t>Waiver Attendant Care</w:t>
            </w:r>
            <w:r>
              <w:rPr>
                <w:noProof/>
                <w:webHidden/>
              </w:rPr>
              <w:tab/>
            </w:r>
            <w:r>
              <w:rPr>
                <w:noProof/>
                <w:webHidden/>
              </w:rPr>
              <w:fldChar w:fldCharType="begin"/>
            </w:r>
            <w:r>
              <w:rPr>
                <w:noProof/>
                <w:webHidden/>
              </w:rPr>
              <w:instrText xml:space="preserve"> PAGEREF _Toc229051501 \h </w:instrText>
            </w:r>
            <w:r>
              <w:rPr>
                <w:noProof/>
                <w:webHidden/>
              </w:rPr>
            </w:r>
            <w:r>
              <w:rPr>
                <w:noProof/>
                <w:webHidden/>
              </w:rPr>
              <w:fldChar w:fldCharType="separate"/>
            </w:r>
            <w:r>
              <w:rPr>
                <w:noProof/>
                <w:webHidden/>
              </w:rPr>
              <w:t>3</w:t>
            </w:r>
            <w:r>
              <w:rPr>
                <w:noProof/>
                <w:webHidden/>
              </w:rPr>
              <w:fldChar w:fldCharType="end"/>
            </w:r>
          </w:hyperlink>
        </w:p>
        <w:p w14:paraId="0E0D6F53" w14:textId="79870EFC" w:rsidR="00CF56AC" w:rsidRDefault="00CF56AC">
          <w:pPr>
            <w:pStyle w:val="TOC3"/>
            <w:rPr>
              <w:rFonts w:asciiTheme="minorHAnsi" w:hAnsiTheme="minorHAnsi" w:cstheme="minorBidi"/>
              <w:noProof/>
              <w:color w:val="auto"/>
              <w:sz w:val="24"/>
              <w:szCs w:val="24"/>
              <w:lang w:eastAsia="en-US"/>
            </w:rPr>
          </w:pPr>
          <w:hyperlink w:anchor="_Toc229051502" w:history="1">
            <w:r w:rsidRPr="00DF10BB">
              <w:rPr>
                <w:rStyle w:val="Hyperlink"/>
                <w:noProof/>
              </w:rPr>
              <w:t>Training of Waiver Personal Care and Attendant Care Aides</w:t>
            </w:r>
            <w:r>
              <w:rPr>
                <w:noProof/>
                <w:webHidden/>
              </w:rPr>
              <w:tab/>
            </w:r>
            <w:r>
              <w:rPr>
                <w:noProof/>
                <w:webHidden/>
              </w:rPr>
              <w:fldChar w:fldCharType="begin"/>
            </w:r>
            <w:r>
              <w:rPr>
                <w:noProof/>
                <w:webHidden/>
              </w:rPr>
              <w:instrText xml:space="preserve"> PAGEREF _Toc229051502 \h </w:instrText>
            </w:r>
            <w:r>
              <w:rPr>
                <w:noProof/>
                <w:webHidden/>
              </w:rPr>
            </w:r>
            <w:r>
              <w:rPr>
                <w:noProof/>
                <w:webHidden/>
              </w:rPr>
              <w:fldChar w:fldCharType="separate"/>
            </w:r>
            <w:r>
              <w:rPr>
                <w:noProof/>
                <w:webHidden/>
              </w:rPr>
              <w:t>3</w:t>
            </w:r>
            <w:r>
              <w:rPr>
                <w:noProof/>
                <w:webHidden/>
              </w:rPr>
              <w:fldChar w:fldCharType="end"/>
            </w:r>
          </w:hyperlink>
        </w:p>
        <w:p w14:paraId="3474797A" w14:textId="184E281A" w:rsidR="00CF56AC" w:rsidRDefault="00CF56AC">
          <w:pPr>
            <w:pStyle w:val="TOC3"/>
            <w:rPr>
              <w:rFonts w:asciiTheme="minorHAnsi" w:hAnsiTheme="minorHAnsi" w:cstheme="minorBidi"/>
              <w:noProof/>
              <w:color w:val="auto"/>
              <w:sz w:val="24"/>
              <w:szCs w:val="24"/>
              <w:lang w:eastAsia="en-US"/>
            </w:rPr>
          </w:pPr>
          <w:hyperlink w:anchor="_Toc229051503" w:history="1">
            <w:r w:rsidRPr="00DF10BB">
              <w:rPr>
                <w:rStyle w:val="Hyperlink"/>
                <w:noProof/>
              </w:rPr>
              <w:t>Specialized Medical Supplies</w:t>
            </w:r>
            <w:r>
              <w:rPr>
                <w:noProof/>
                <w:webHidden/>
              </w:rPr>
              <w:tab/>
            </w:r>
            <w:r>
              <w:rPr>
                <w:noProof/>
                <w:webHidden/>
              </w:rPr>
              <w:fldChar w:fldCharType="begin"/>
            </w:r>
            <w:r>
              <w:rPr>
                <w:noProof/>
                <w:webHidden/>
              </w:rPr>
              <w:instrText xml:space="preserve"> PAGEREF _Toc229051503 \h </w:instrText>
            </w:r>
            <w:r>
              <w:rPr>
                <w:noProof/>
                <w:webHidden/>
              </w:rPr>
            </w:r>
            <w:r>
              <w:rPr>
                <w:noProof/>
                <w:webHidden/>
              </w:rPr>
              <w:fldChar w:fldCharType="separate"/>
            </w:r>
            <w:r>
              <w:rPr>
                <w:noProof/>
                <w:webHidden/>
              </w:rPr>
              <w:t>3</w:t>
            </w:r>
            <w:r>
              <w:rPr>
                <w:noProof/>
                <w:webHidden/>
              </w:rPr>
              <w:fldChar w:fldCharType="end"/>
            </w:r>
          </w:hyperlink>
        </w:p>
        <w:p w14:paraId="73650B3E" w14:textId="0AA68D23" w:rsidR="00CF56AC" w:rsidRDefault="00CF56AC">
          <w:pPr>
            <w:pStyle w:val="TOC2"/>
            <w:rPr>
              <w:rFonts w:asciiTheme="minorHAnsi" w:hAnsiTheme="minorHAnsi" w:cstheme="minorBidi"/>
              <w:b w:val="0"/>
              <w:bCs w:val="0"/>
              <w:noProof/>
              <w:color w:val="auto"/>
              <w:sz w:val="24"/>
              <w:szCs w:val="24"/>
              <w:lang w:eastAsia="en-US"/>
            </w:rPr>
          </w:pPr>
          <w:hyperlink w:anchor="_Toc229051504" w:history="1">
            <w:r w:rsidRPr="00DF10BB">
              <w:rPr>
                <w:rStyle w:val="Hyperlink"/>
                <w:noProof/>
              </w:rPr>
              <w:t>2.2 Participant Conditions of Participation</w:t>
            </w:r>
            <w:r>
              <w:rPr>
                <w:noProof/>
                <w:webHidden/>
              </w:rPr>
              <w:tab/>
            </w:r>
            <w:r>
              <w:rPr>
                <w:noProof/>
                <w:webHidden/>
              </w:rPr>
              <w:fldChar w:fldCharType="begin"/>
            </w:r>
            <w:r>
              <w:rPr>
                <w:noProof/>
                <w:webHidden/>
              </w:rPr>
              <w:instrText xml:space="preserve"> PAGEREF _Toc229051504 \h </w:instrText>
            </w:r>
            <w:r>
              <w:rPr>
                <w:noProof/>
                <w:webHidden/>
              </w:rPr>
            </w:r>
            <w:r>
              <w:rPr>
                <w:noProof/>
                <w:webHidden/>
              </w:rPr>
              <w:fldChar w:fldCharType="separate"/>
            </w:r>
            <w:r>
              <w:rPr>
                <w:noProof/>
                <w:webHidden/>
              </w:rPr>
              <w:t>4</w:t>
            </w:r>
            <w:r>
              <w:rPr>
                <w:noProof/>
                <w:webHidden/>
              </w:rPr>
              <w:fldChar w:fldCharType="end"/>
            </w:r>
          </w:hyperlink>
        </w:p>
        <w:p w14:paraId="066D4622" w14:textId="236245F2" w:rsidR="00CF56AC" w:rsidRDefault="00CF56AC">
          <w:pPr>
            <w:pStyle w:val="TOC3"/>
            <w:rPr>
              <w:rFonts w:asciiTheme="minorHAnsi" w:hAnsiTheme="minorHAnsi" w:cstheme="minorBidi"/>
              <w:noProof/>
              <w:color w:val="auto"/>
              <w:sz w:val="24"/>
              <w:szCs w:val="24"/>
              <w:lang w:eastAsia="en-US"/>
            </w:rPr>
          </w:pPr>
          <w:hyperlink w:anchor="_Toc229051505" w:history="1">
            <w:r w:rsidRPr="00DF10BB">
              <w:rPr>
                <w:rStyle w:val="Hyperlink"/>
                <w:noProof/>
              </w:rPr>
              <w:t>Participant Exclusions</w:t>
            </w:r>
            <w:r>
              <w:rPr>
                <w:noProof/>
                <w:webHidden/>
              </w:rPr>
              <w:tab/>
            </w:r>
            <w:r>
              <w:rPr>
                <w:noProof/>
                <w:webHidden/>
              </w:rPr>
              <w:fldChar w:fldCharType="begin"/>
            </w:r>
            <w:r>
              <w:rPr>
                <w:noProof/>
                <w:webHidden/>
              </w:rPr>
              <w:instrText xml:space="preserve"> PAGEREF _Toc229051505 \h </w:instrText>
            </w:r>
            <w:r>
              <w:rPr>
                <w:noProof/>
                <w:webHidden/>
              </w:rPr>
            </w:r>
            <w:r>
              <w:rPr>
                <w:noProof/>
                <w:webHidden/>
              </w:rPr>
              <w:fldChar w:fldCharType="separate"/>
            </w:r>
            <w:r>
              <w:rPr>
                <w:noProof/>
                <w:webHidden/>
              </w:rPr>
              <w:t>4</w:t>
            </w:r>
            <w:r>
              <w:rPr>
                <w:noProof/>
                <w:webHidden/>
              </w:rPr>
              <w:fldChar w:fldCharType="end"/>
            </w:r>
          </w:hyperlink>
        </w:p>
        <w:p w14:paraId="29283C87" w14:textId="126C01B3" w:rsidR="00CF56AC" w:rsidRDefault="00CF56AC">
          <w:pPr>
            <w:pStyle w:val="TOC3"/>
            <w:rPr>
              <w:rFonts w:asciiTheme="minorHAnsi" w:hAnsiTheme="minorHAnsi" w:cstheme="minorBidi"/>
              <w:noProof/>
              <w:color w:val="auto"/>
              <w:sz w:val="24"/>
              <w:szCs w:val="24"/>
              <w:lang w:eastAsia="en-US"/>
            </w:rPr>
          </w:pPr>
          <w:hyperlink w:anchor="_Toc229051506" w:history="1">
            <w:r w:rsidRPr="00DF10BB">
              <w:rPr>
                <w:rStyle w:val="Hyperlink"/>
                <w:noProof/>
              </w:rPr>
              <w:t>MO HealthNet Managed Care</w:t>
            </w:r>
            <w:r>
              <w:rPr>
                <w:noProof/>
                <w:webHidden/>
              </w:rPr>
              <w:tab/>
            </w:r>
            <w:r>
              <w:rPr>
                <w:noProof/>
                <w:webHidden/>
              </w:rPr>
              <w:fldChar w:fldCharType="begin"/>
            </w:r>
            <w:r>
              <w:rPr>
                <w:noProof/>
                <w:webHidden/>
              </w:rPr>
              <w:instrText xml:space="preserve"> PAGEREF _Toc229051506 \h </w:instrText>
            </w:r>
            <w:r>
              <w:rPr>
                <w:noProof/>
                <w:webHidden/>
              </w:rPr>
            </w:r>
            <w:r>
              <w:rPr>
                <w:noProof/>
                <w:webHidden/>
              </w:rPr>
              <w:fldChar w:fldCharType="separate"/>
            </w:r>
            <w:r>
              <w:rPr>
                <w:noProof/>
                <w:webHidden/>
              </w:rPr>
              <w:t>5</w:t>
            </w:r>
            <w:r>
              <w:rPr>
                <w:noProof/>
                <w:webHidden/>
              </w:rPr>
              <w:fldChar w:fldCharType="end"/>
            </w:r>
          </w:hyperlink>
        </w:p>
        <w:p w14:paraId="07A6C709" w14:textId="499EB563" w:rsidR="00CF56AC" w:rsidRDefault="00CF56AC">
          <w:pPr>
            <w:pStyle w:val="TOC2"/>
            <w:rPr>
              <w:rFonts w:asciiTheme="minorHAnsi" w:hAnsiTheme="minorHAnsi" w:cstheme="minorBidi"/>
              <w:b w:val="0"/>
              <w:bCs w:val="0"/>
              <w:noProof/>
              <w:color w:val="auto"/>
              <w:sz w:val="24"/>
              <w:szCs w:val="24"/>
              <w:lang w:eastAsia="en-US"/>
            </w:rPr>
          </w:pPr>
          <w:hyperlink w:anchor="_Toc229051507" w:history="1">
            <w:r w:rsidRPr="00DF10BB">
              <w:rPr>
                <w:rStyle w:val="Hyperlink"/>
                <w:noProof/>
              </w:rPr>
              <w:t>2.3 Provider Conditions of Participation</w:t>
            </w:r>
            <w:r>
              <w:rPr>
                <w:noProof/>
                <w:webHidden/>
              </w:rPr>
              <w:tab/>
            </w:r>
            <w:r>
              <w:rPr>
                <w:noProof/>
                <w:webHidden/>
              </w:rPr>
              <w:fldChar w:fldCharType="begin"/>
            </w:r>
            <w:r>
              <w:rPr>
                <w:noProof/>
                <w:webHidden/>
              </w:rPr>
              <w:instrText xml:space="preserve"> PAGEREF _Toc229051507 \h </w:instrText>
            </w:r>
            <w:r>
              <w:rPr>
                <w:noProof/>
                <w:webHidden/>
              </w:rPr>
            </w:r>
            <w:r>
              <w:rPr>
                <w:noProof/>
                <w:webHidden/>
              </w:rPr>
              <w:fldChar w:fldCharType="separate"/>
            </w:r>
            <w:r>
              <w:rPr>
                <w:noProof/>
                <w:webHidden/>
              </w:rPr>
              <w:t>5</w:t>
            </w:r>
            <w:r>
              <w:rPr>
                <w:noProof/>
                <w:webHidden/>
              </w:rPr>
              <w:fldChar w:fldCharType="end"/>
            </w:r>
          </w:hyperlink>
        </w:p>
        <w:p w14:paraId="242E5C65" w14:textId="15B631E6" w:rsidR="00CF56AC" w:rsidRDefault="00CF56AC">
          <w:pPr>
            <w:pStyle w:val="TOC3"/>
            <w:rPr>
              <w:rFonts w:asciiTheme="minorHAnsi" w:hAnsiTheme="minorHAnsi" w:cstheme="minorBidi"/>
              <w:noProof/>
              <w:color w:val="auto"/>
              <w:sz w:val="24"/>
              <w:szCs w:val="24"/>
              <w:lang w:eastAsia="en-US"/>
            </w:rPr>
          </w:pPr>
          <w:hyperlink w:anchor="_Toc229051508" w:history="1">
            <w:r w:rsidRPr="00DF10BB">
              <w:rPr>
                <w:rStyle w:val="Hyperlink"/>
                <w:noProof/>
              </w:rPr>
              <w:t>Participant Rights</w:t>
            </w:r>
            <w:r>
              <w:rPr>
                <w:noProof/>
                <w:webHidden/>
              </w:rPr>
              <w:tab/>
            </w:r>
            <w:r>
              <w:rPr>
                <w:noProof/>
                <w:webHidden/>
              </w:rPr>
              <w:fldChar w:fldCharType="begin"/>
            </w:r>
            <w:r>
              <w:rPr>
                <w:noProof/>
                <w:webHidden/>
              </w:rPr>
              <w:instrText xml:space="preserve"> PAGEREF _Toc229051508 \h </w:instrText>
            </w:r>
            <w:r>
              <w:rPr>
                <w:noProof/>
                <w:webHidden/>
              </w:rPr>
            </w:r>
            <w:r>
              <w:rPr>
                <w:noProof/>
                <w:webHidden/>
              </w:rPr>
              <w:fldChar w:fldCharType="separate"/>
            </w:r>
            <w:r>
              <w:rPr>
                <w:noProof/>
                <w:webHidden/>
              </w:rPr>
              <w:t>6</w:t>
            </w:r>
            <w:r>
              <w:rPr>
                <w:noProof/>
                <w:webHidden/>
              </w:rPr>
              <w:fldChar w:fldCharType="end"/>
            </w:r>
          </w:hyperlink>
        </w:p>
        <w:p w14:paraId="219B440B" w14:textId="17EEC68A" w:rsidR="00CF56AC" w:rsidRDefault="00CF56AC">
          <w:pPr>
            <w:pStyle w:val="TOC3"/>
            <w:rPr>
              <w:rFonts w:asciiTheme="minorHAnsi" w:hAnsiTheme="minorHAnsi" w:cstheme="minorBidi"/>
              <w:noProof/>
              <w:color w:val="auto"/>
              <w:sz w:val="24"/>
              <w:szCs w:val="24"/>
              <w:lang w:eastAsia="en-US"/>
            </w:rPr>
          </w:pPr>
          <w:hyperlink w:anchor="_Toc229051509" w:history="1">
            <w:r w:rsidRPr="00DF10BB">
              <w:rPr>
                <w:rStyle w:val="Hyperlink"/>
                <w:noProof/>
              </w:rPr>
              <w:t>Discharge Policies and Procedures</w:t>
            </w:r>
            <w:r>
              <w:rPr>
                <w:noProof/>
                <w:webHidden/>
              </w:rPr>
              <w:tab/>
            </w:r>
            <w:r>
              <w:rPr>
                <w:noProof/>
                <w:webHidden/>
              </w:rPr>
              <w:fldChar w:fldCharType="begin"/>
            </w:r>
            <w:r>
              <w:rPr>
                <w:noProof/>
                <w:webHidden/>
              </w:rPr>
              <w:instrText xml:space="preserve"> PAGEREF _Toc229051509 \h </w:instrText>
            </w:r>
            <w:r>
              <w:rPr>
                <w:noProof/>
                <w:webHidden/>
              </w:rPr>
            </w:r>
            <w:r>
              <w:rPr>
                <w:noProof/>
                <w:webHidden/>
              </w:rPr>
              <w:fldChar w:fldCharType="separate"/>
            </w:r>
            <w:r>
              <w:rPr>
                <w:noProof/>
                <w:webHidden/>
              </w:rPr>
              <w:t>7</w:t>
            </w:r>
            <w:r>
              <w:rPr>
                <w:noProof/>
                <w:webHidden/>
              </w:rPr>
              <w:fldChar w:fldCharType="end"/>
            </w:r>
          </w:hyperlink>
        </w:p>
        <w:p w14:paraId="5C8E1A0F" w14:textId="38D03425" w:rsidR="00CF56AC" w:rsidRDefault="00CF56AC">
          <w:pPr>
            <w:pStyle w:val="TOC2"/>
            <w:rPr>
              <w:rFonts w:asciiTheme="minorHAnsi" w:hAnsiTheme="minorHAnsi" w:cstheme="minorBidi"/>
              <w:b w:val="0"/>
              <w:bCs w:val="0"/>
              <w:noProof/>
              <w:color w:val="auto"/>
              <w:sz w:val="24"/>
              <w:szCs w:val="24"/>
              <w:lang w:eastAsia="en-US"/>
            </w:rPr>
          </w:pPr>
          <w:hyperlink w:anchor="_Toc229051510" w:history="1">
            <w:r w:rsidRPr="00DF10BB">
              <w:rPr>
                <w:rStyle w:val="Hyperlink"/>
                <w:noProof/>
              </w:rPr>
              <w:t>2.4 Home and Community-Based Services Settings Requirements</w:t>
            </w:r>
            <w:r>
              <w:rPr>
                <w:noProof/>
                <w:webHidden/>
              </w:rPr>
              <w:tab/>
            </w:r>
            <w:r>
              <w:rPr>
                <w:noProof/>
                <w:webHidden/>
              </w:rPr>
              <w:fldChar w:fldCharType="begin"/>
            </w:r>
            <w:r>
              <w:rPr>
                <w:noProof/>
                <w:webHidden/>
              </w:rPr>
              <w:instrText xml:space="preserve"> PAGEREF _Toc229051510 \h </w:instrText>
            </w:r>
            <w:r>
              <w:rPr>
                <w:noProof/>
                <w:webHidden/>
              </w:rPr>
            </w:r>
            <w:r>
              <w:rPr>
                <w:noProof/>
                <w:webHidden/>
              </w:rPr>
              <w:fldChar w:fldCharType="separate"/>
            </w:r>
            <w:r>
              <w:rPr>
                <w:noProof/>
                <w:webHidden/>
              </w:rPr>
              <w:t>8</w:t>
            </w:r>
            <w:r>
              <w:rPr>
                <w:noProof/>
                <w:webHidden/>
              </w:rPr>
              <w:fldChar w:fldCharType="end"/>
            </w:r>
          </w:hyperlink>
        </w:p>
        <w:p w14:paraId="528A96E7" w14:textId="47E9549D" w:rsidR="00CF56AC" w:rsidRDefault="00CF56AC">
          <w:pPr>
            <w:pStyle w:val="TOC2"/>
            <w:rPr>
              <w:rFonts w:asciiTheme="minorHAnsi" w:hAnsiTheme="minorHAnsi" w:cstheme="minorBidi"/>
              <w:b w:val="0"/>
              <w:bCs w:val="0"/>
              <w:noProof/>
              <w:color w:val="auto"/>
              <w:sz w:val="24"/>
              <w:szCs w:val="24"/>
              <w:lang w:eastAsia="en-US"/>
            </w:rPr>
          </w:pPr>
          <w:hyperlink w:anchor="_Toc229051511" w:history="1">
            <w:r w:rsidRPr="00DF10BB">
              <w:rPr>
                <w:rStyle w:val="Hyperlink"/>
                <w:noProof/>
              </w:rPr>
              <w:t>2.5 Personnel</w:t>
            </w:r>
            <w:r>
              <w:rPr>
                <w:noProof/>
                <w:webHidden/>
              </w:rPr>
              <w:tab/>
            </w:r>
            <w:r>
              <w:rPr>
                <w:noProof/>
                <w:webHidden/>
              </w:rPr>
              <w:fldChar w:fldCharType="begin"/>
            </w:r>
            <w:r>
              <w:rPr>
                <w:noProof/>
                <w:webHidden/>
              </w:rPr>
              <w:instrText xml:space="preserve"> PAGEREF _Toc229051511 \h </w:instrText>
            </w:r>
            <w:r>
              <w:rPr>
                <w:noProof/>
                <w:webHidden/>
              </w:rPr>
            </w:r>
            <w:r>
              <w:rPr>
                <w:noProof/>
                <w:webHidden/>
              </w:rPr>
              <w:fldChar w:fldCharType="separate"/>
            </w:r>
            <w:r>
              <w:rPr>
                <w:noProof/>
                <w:webHidden/>
              </w:rPr>
              <w:t>9</w:t>
            </w:r>
            <w:r>
              <w:rPr>
                <w:noProof/>
                <w:webHidden/>
              </w:rPr>
              <w:fldChar w:fldCharType="end"/>
            </w:r>
          </w:hyperlink>
        </w:p>
        <w:p w14:paraId="29CBF383" w14:textId="454BFAFC" w:rsidR="00CF56AC" w:rsidRDefault="00CF56AC">
          <w:pPr>
            <w:pStyle w:val="TOC3"/>
            <w:rPr>
              <w:rFonts w:asciiTheme="minorHAnsi" w:hAnsiTheme="minorHAnsi" w:cstheme="minorBidi"/>
              <w:noProof/>
              <w:color w:val="auto"/>
              <w:sz w:val="24"/>
              <w:szCs w:val="24"/>
              <w:lang w:eastAsia="en-US"/>
            </w:rPr>
          </w:pPr>
          <w:hyperlink w:anchor="_Toc229051512" w:history="1">
            <w:r w:rsidRPr="00DF10BB">
              <w:rPr>
                <w:rStyle w:val="Hyperlink"/>
                <w:noProof/>
              </w:rPr>
              <w:t>Criminal History Screening</w:t>
            </w:r>
            <w:r>
              <w:rPr>
                <w:noProof/>
                <w:webHidden/>
              </w:rPr>
              <w:tab/>
            </w:r>
            <w:r>
              <w:rPr>
                <w:noProof/>
                <w:webHidden/>
              </w:rPr>
              <w:fldChar w:fldCharType="begin"/>
            </w:r>
            <w:r>
              <w:rPr>
                <w:noProof/>
                <w:webHidden/>
              </w:rPr>
              <w:instrText xml:space="preserve"> PAGEREF _Toc229051512 \h </w:instrText>
            </w:r>
            <w:r>
              <w:rPr>
                <w:noProof/>
                <w:webHidden/>
              </w:rPr>
            </w:r>
            <w:r>
              <w:rPr>
                <w:noProof/>
                <w:webHidden/>
              </w:rPr>
              <w:fldChar w:fldCharType="separate"/>
            </w:r>
            <w:r>
              <w:rPr>
                <w:noProof/>
                <w:webHidden/>
              </w:rPr>
              <w:t>9</w:t>
            </w:r>
            <w:r>
              <w:rPr>
                <w:noProof/>
                <w:webHidden/>
              </w:rPr>
              <w:fldChar w:fldCharType="end"/>
            </w:r>
          </w:hyperlink>
        </w:p>
        <w:p w14:paraId="1049A908" w14:textId="042BAFFB" w:rsidR="00CF56AC" w:rsidRDefault="00CF56AC">
          <w:pPr>
            <w:pStyle w:val="TOC3"/>
            <w:rPr>
              <w:rFonts w:asciiTheme="minorHAnsi" w:hAnsiTheme="minorHAnsi" w:cstheme="minorBidi"/>
              <w:noProof/>
              <w:color w:val="auto"/>
              <w:sz w:val="24"/>
              <w:szCs w:val="24"/>
              <w:lang w:eastAsia="en-US"/>
            </w:rPr>
          </w:pPr>
          <w:hyperlink w:anchor="_Toc229051513" w:history="1">
            <w:r w:rsidRPr="00DF10BB">
              <w:rPr>
                <w:rStyle w:val="Hyperlink"/>
                <w:noProof/>
              </w:rPr>
              <w:t>Administrative Supervisor Qualifications</w:t>
            </w:r>
            <w:r>
              <w:rPr>
                <w:noProof/>
                <w:webHidden/>
              </w:rPr>
              <w:tab/>
            </w:r>
            <w:r>
              <w:rPr>
                <w:noProof/>
                <w:webHidden/>
              </w:rPr>
              <w:fldChar w:fldCharType="begin"/>
            </w:r>
            <w:r>
              <w:rPr>
                <w:noProof/>
                <w:webHidden/>
              </w:rPr>
              <w:instrText xml:space="preserve"> PAGEREF _Toc229051513 \h </w:instrText>
            </w:r>
            <w:r>
              <w:rPr>
                <w:noProof/>
                <w:webHidden/>
              </w:rPr>
            </w:r>
            <w:r>
              <w:rPr>
                <w:noProof/>
                <w:webHidden/>
              </w:rPr>
              <w:fldChar w:fldCharType="separate"/>
            </w:r>
            <w:r>
              <w:rPr>
                <w:noProof/>
                <w:webHidden/>
              </w:rPr>
              <w:t>9</w:t>
            </w:r>
            <w:r>
              <w:rPr>
                <w:noProof/>
                <w:webHidden/>
              </w:rPr>
              <w:fldChar w:fldCharType="end"/>
            </w:r>
          </w:hyperlink>
        </w:p>
        <w:p w14:paraId="74E65379" w14:textId="0A260F15" w:rsidR="00CF56AC" w:rsidRDefault="00CF56AC">
          <w:pPr>
            <w:pStyle w:val="TOC3"/>
            <w:rPr>
              <w:rFonts w:asciiTheme="minorHAnsi" w:hAnsiTheme="minorHAnsi" w:cstheme="minorBidi"/>
              <w:noProof/>
              <w:color w:val="auto"/>
              <w:sz w:val="24"/>
              <w:szCs w:val="24"/>
              <w:lang w:eastAsia="en-US"/>
            </w:rPr>
          </w:pPr>
          <w:hyperlink w:anchor="_Toc229051514" w:history="1">
            <w:r w:rsidRPr="00DF10BB">
              <w:rPr>
                <w:rStyle w:val="Hyperlink"/>
                <w:noProof/>
              </w:rPr>
              <w:t>Attendant Care Aide Requirements</w:t>
            </w:r>
            <w:r>
              <w:rPr>
                <w:noProof/>
                <w:webHidden/>
              </w:rPr>
              <w:tab/>
            </w:r>
            <w:r>
              <w:rPr>
                <w:noProof/>
                <w:webHidden/>
              </w:rPr>
              <w:fldChar w:fldCharType="begin"/>
            </w:r>
            <w:r>
              <w:rPr>
                <w:noProof/>
                <w:webHidden/>
              </w:rPr>
              <w:instrText xml:space="preserve"> PAGEREF _Toc229051514 \h </w:instrText>
            </w:r>
            <w:r>
              <w:rPr>
                <w:noProof/>
                <w:webHidden/>
              </w:rPr>
            </w:r>
            <w:r>
              <w:rPr>
                <w:noProof/>
                <w:webHidden/>
              </w:rPr>
              <w:fldChar w:fldCharType="separate"/>
            </w:r>
            <w:r>
              <w:rPr>
                <w:noProof/>
                <w:webHidden/>
              </w:rPr>
              <w:t>10</w:t>
            </w:r>
            <w:r>
              <w:rPr>
                <w:noProof/>
                <w:webHidden/>
              </w:rPr>
              <w:fldChar w:fldCharType="end"/>
            </w:r>
          </w:hyperlink>
        </w:p>
        <w:p w14:paraId="431D324E" w14:textId="0AB8A819" w:rsidR="00CF56AC" w:rsidRDefault="00CF56AC">
          <w:pPr>
            <w:pStyle w:val="TOC3"/>
            <w:rPr>
              <w:rFonts w:asciiTheme="minorHAnsi" w:hAnsiTheme="minorHAnsi" w:cstheme="minorBidi"/>
              <w:noProof/>
              <w:color w:val="auto"/>
              <w:sz w:val="24"/>
              <w:szCs w:val="24"/>
              <w:lang w:eastAsia="en-US"/>
            </w:rPr>
          </w:pPr>
          <w:hyperlink w:anchor="_Toc229051515" w:history="1">
            <w:r w:rsidRPr="00DF10BB">
              <w:rPr>
                <w:rStyle w:val="Hyperlink"/>
                <w:noProof/>
              </w:rPr>
              <w:t>Supervision of In-Home Services</w:t>
            </w:r>
            <w:r>
              <w:rPr>
                <w:noProof/>
                <w:webHidden/>
              </w:rPr>
              <w:tab/>
            </w:r>
            <w:r>
              <w:rPr>
                <w:noProof/>
                <w:webHidden/>
              </w:rPr>
              <w:fldChar w:fldCharType="begin"/>
            </w:r>
            <w:r>
              <w:rPr>
                <w:noProof/>
                <w:webHidden/>
              </w:rPr>
              <w:instrText xml:space="preserve"> PAGEREF _Toc229051515 \h </w:instrText>
            </w:r>
            <w:r>
              <w:rPr>
                <w:noProof/>
                <w:webHidden/>
              </w:rPr>
            </w:r>
            <w:r>
              <w:rPr>
                <w:noProof/>
                <w:webHidden/>
              </w:rPr>
              <w:fldChar w:fldCharType="separate"/>
            </w:r>
            <w:r>
              <w:rPr>
                <w:noProof/>
                <w:webHidden/>
              </w:rPr>
              <w:t>10</w:t>
            </w:r>
            <w:r>
              <w:rPr>
                <w:noProof/>
                <w:webHidden/>
              </w:rPr>
              <w:fldChar w:fldCharType="end"/>
            </w:r>
          </w:hyperlink>
        </w:p>
        <w:p w14:paraId="521FC329" w14:textId="78C94915" w:rsidR="00CF56AC" w:rsidRDefault="00CF56AC">
          <w:pPr>
            <w:pStyle w:val="TOC2"/>
            <w:rPr>
              <w:rFonts w:asciiTheme="minorHAnsi" w:hAnsiTheme="minorHAnsi" w:cstheme="minorBidi"/>
              <w:b w:val="0"/>
              <w:bCs w:val="0"/>
              <w:noProof/>
              <w:color w:val="auto"/>
              <w:sz w:val="24"/>
              <w:szCs w:val="24"/>
              <w:lang w:eastAsia="en-US"/>
            </w:rPr>
          </w:pPr>
          <w:hyperlink w:anchor="_Toc229051516" w:history="1">
            <w:r w:rsidRPr="00DF10BB">
              <w:rPr>
                <w:rStyle w:val="Hyperlink"/>
                <w:noProof/>
              </w:rPr>
              <w:t>2.6 Records</w:t>
            </w:r>
            <w:r>
              <w:rPr>
                <w:noProof/>
                <w:webHidden/>
              </w:rPr>
              <w:tab/>
            </w:r>
            <w:r>
              <w:rPr>
                <w:noProof/>
                <w:webHidden/>
              </w:rPr>
              <w:fldChar w:fldCharType="begin"/>
            </w:r>
            <w:r>
              <w:rPr>
                <w:noProof/>
                <w:webHidden/>
              </w:rPr>
              <w:instrText xml:space="preserve"> PAGEREF _Toc229051516 \h </w:instrText>
            </w:r>
            <w:r>
              <w:rPr>
                <w:noProof/>
                <w:webHidden/>
              </w:rPr>
            </w:r>
            <w:r>
              <w:rPr>
                <w:noProof/>
                <w:webHidden/>
              </w:rPr>
              <w:fldChar w:fldCharType="separate"/>
            </w:r>
            <w:r>
              <w:rPr>
                <w:noProof/>
                <w:webHidden/>
              </w:rPr>
              <w:t>11</w:t>
            </w:r>
            <w:r>
              <w:rPr>
                <w:noProof/>
                <w:webHidden/>
              </w:rPr>
              <w:fldChar w:fldCharType="end"/>
            </w:r>
          </w:hyperlink>
        </w:p>
        <w:p w14:paraId="278EDA28" w14:textId="3CE205DA" w:rsidR="00CF56AC" w:rsidRDefault="00CF56AC">
          <w:pPr>
            <w:pStyle w:val="TOC3"/>
            <w:rPr>
              <w:rFonts w:asciiTheme="minorHAnsi" w:hAnsiTheme="minorHAnsi" w:cstheme="minorBidi"/>
              <w:noProof/>
              <w:color w:val="auto"/>
              <w:sz w:val="24"/>
              <w:szCs w:val="24"/>
              <w:lang w:eastAsia="en-US"/>
            </w:rPr>
          </w:pPr>
          <w:hyperlink w:anchor="_Toc229051517" w:history="1">
            <w:r w:rsidRPr="00DF10BB">
              <w:rPr>
                <w:rStyle w:val="Hyperlink"/>
                <w:noProof/>
              </w:rPr>
              <w:t>Participant Case Record</w:t>
            </w:r>
            <w:r>
              <w:rPr>
                <w:noProof/>
                <w:webHidden/>
              </w:rPr>
              <w:tab/>
            </w:r>
            <w:r>
              <w:rPr>
                <w:noProof/>
                <w:webHidden/>
              </w:rPr>
              <w:fldChar w:fldCharType="begin"/>
            </w:r>
            <w:r>
              <w:rPr>
                <w:noProof/>
                <w:webHidden/>
              </w:rPr>
              <w:instrText xml:space="preserve"> PAGEREF _Toc229051517 \h </w:instrText>
            </w:r>
            <w:r>
              <w:rPr>
                <w:noProof/>
                <w:webHidden/>
              </w:rPr>
            </w:r>
            <w:r>
              <w:rPr>
                <w:noProof/>
                <w:webHidden/>
              </w:rPr>
              <w:fldChar w:fldCharType="separate"/>
            </w:r>
            <w:r>
              <w:rPr>
                <w:noProof/>
                <w:webHidden/>
              </w:rPr>
              <w:t>11</w:t>
            </w:r>
            <w:r>
              <w:rPr>
                <w:noProof/>
                <w:webHidden/>
              </w:rPr>
              <w:fldChar w:fldCharType="end"/>
            </w:r>
          </w:hyperlink>
        </w:p>
        <w:p w14:paraId="2E53F757" w14:textId="2115191C" w:rsidR="00CF56AC" w:rsidRDefault="00CF56AC">
          <w:pPr>
            <w:pStyle w:val="TOC3"/>
            <w:rPr>
              <w:rFonts w:asciiTheme="minorHAnsi" w:hAnsiTheme="minorHAnsi" w:cstheme="minorBidi"/>
              <w:noProof/>
              <w:color w:val="auto"/>
              <w:sz w:val="24"/>
              <w:szCs w:val="24"/>
              <w:lang w:eastAsia="en-US"/>
            </w:rPr>
          </w:pPr>
          <w:hyperlink w:anchor="_Toc229051518" w:history="1">
            <w:r w:rsidRPr="00DF10BB">
              <w:rPr>
                <w:rStyle w:val="Hyperlink"/>
                <w:noProof/>
              </w:rPr>
              <w:t>Personnel Record</w:t>
            </w:r>
            <w:r>
              <w:rPr>
                <w:noProof/>
                <w:webHidden/>
              </w:rPr>
              <w:tab/>
            </w:r>
            <w:r>
              <w:rPr>
                <w:noProof/>
                <w:webHidden/>
              </w:rPr>
              <w:fldChar w:fldCharType="begin"/>
            </w:r>
            <w:r>
              <w:rPr>
                <w:noProof/>
                <w:webHidden/>
              </w:rPr>
              <w:instrText xml:space="preserve"> PAGEREF _Toc229051518 \h </w:instrText>
            </w:r>
            <w:r>
              <w:rPr>
                <w:noProof/>
                <w:webHidden/>
              </w:rPr>
            </w:r>
            <w:r>
              <w:rPr>
                <w:noProof/>
                <w:webHidden/>
              </w:rPr>
              <w:fldChar w:fldCharType="separate"/>
            </w:r>
            <w:r>
              <w:rPr>
                <w:noProof/>
                <w:webHidden/>
              </w:rPr>
              <w:t>12</w:t>
            </w:r>
            <w:r>
              <w:rPr>
                <w:noProof/>
                <w:webHidden/>
              </w:rPr>
              <w:fldChar w:fldCharType="end"/>
            </w:r>
          </w:hyperlink>
        </w:p>
        <w:p w14:paraId="66449108" w14:textId="28B0C86F" w:rsidR="00CF56AC" w:rsidRDefault="00CF56AC">
          <w:pPr>
            <w:pStyle w:val="TOC3"/>
            <w:rPr>
              <w:rFonts w:asciiTheme="minorHAnsi" w:hAnsiTheme="minorHAnsi" w:cstheme="minorBidi"/>
              <w:noProof/>
              <w:color w:val="auto"/>
              <w:sz w:val="24"/>
              <w:szCs w:val="24"/>
              <w:lang w:eastAsia="en-US"/>
            </w:rPr>
          </w:pPr>
          <w:hyperlink w:anchor="_Toc229051519" w:history="1">
            <w:r w:rsidRPr="00DF10BB">
              <w:rPr>
                <w:rStyle w:val="Hyperlink"/>
                <w:noProof/>
              </w:rPr>
              <w:t>Adequate Documentation</w:t>
            </w:r>
            <w:r>
              <w:rPr>
                <w:noProof/>
                <w:webHidden/>
              </w:rPr>
              <w:tab/>
            </w:r>
            <w:r>
              <w:rPr>
                <w:noProof/>
                <w:webHidden/>
              </w:rPr>
              <w:fldChar w:fldCharType="begin"/>
            </w:r>
            <w:r>
              <w:rPr>
                <w:noProof/>
                <w:webHidden/>
              </w:rPr>
              <w:instrText xml:space="preserve"> PAGEREF _Toc229051519 \h </w:instrText>
            </w:r>
            <w:r>
              <w:rPr>
                <w:noProof/>
                <w:webHidden/>
              </w:rPr>
            </w:r>
            <w:r>
              <w:rPr>
                <w:noProof/>
                <w:webHidden/>
              </w:rPr>
              <w:fldChar w:fldCharType="separate"/>
            </w:r>
            <w:r>
              <w:rPr>
                <w:noProof/>
                <w:webHidden/>
              </w:rPr>
              <w:t>12</w:t>
            </w:r>
            <w:r>
              <w:rPr>
                <w:noProof/>
                <w:webHidden/>
              </w:rPr>
              <w:fldChar w:fldCharType="end"/>
            </w:r>
          </w:hyperlink>
        </w:p>
        <w:p w14:paraId="6F7CC43C" w14:textId="7E848C07" w:rsidR="00CF56AC" w:rsidRDefault="00CF56AC">
          <w:pPr>
            <w:pStyle w:val="TOC3"/>
            <w:rPr>
              <w:rFonts w:asciiTheme="minorHAnsi" w:hAnsiTheme="minorHAnsi" w:cstheme="minorBidi"/>
              <w:noProof/>
              <w:color w:val="auto"/>
              <w:sz w:val="24"/>
              <w:szCs w:val="24"/>
              <w:lang w:eastAsia="en-US"/>
            </w:rPr>
          </w:pPr>
          <w:hyperlink w:anchor="_Toc229051520" w:history="1">
            <w:r w:rsidRPr="00DF10BB">
              <w:rPr>
                <w:rStyle w:val="Hyperlink"/>
                <w:noProof/>
              </w:rPr>
              <w:t>Participant Non-Liability</w:t>
            </w:r>
            <w:r>
              <w:rPr>
                <w:noProof/>
                <w:webHidden/>
              </w:rPr>
              <w:tab/>
            </w:r>
            <w:r>
              <w:rPr>
                <w:noProof/>
                <w:webHidden/>
              </w:rPr>
              <w:fldChar w:fldCharType="begin"/>
            </w:r>
            <w:r>
              <w:rPr>
                <w:noProof/>
                <w:webHidden/>
              </w:rPr>
              <w:instrText xml:space="preserve"> PAGEREF _Toc229051520 \h </w:instrText>
            </w:r>
            <w:r>
              <w:rPr>
                <w:noProof/>
                <w:webHidden/>
              </w:rPr>
            </w:r>
            <w:r>
              <w:rPr>
                <w:noProof/>
                <w:webHidden/>
              </w:rPr>
              <w:fldChar w:fldCharType="separate"/>
            </w:r>
            <w:r>
              <w:rPr>
                <w:noProof/>
                <w:webHidden/>
              </w:rPr>
              <w:t>13</w:t>
            </w:r>
            <w:r>
              <w:rPr>
                <w:noProof/>
                <w:webHidden/>
              </w:rPr>
              <w:fldChar w:fldCharType="end"/>
            </w:r>
          </w:hyperlink>
        </w:p>
        <w:p w14:paraId="208113F5" w14:textId="2AEF93C2" w:rsidR="00CF56AC" w:rsidRDefault="00CF56AC">
          <w:pPr>
            <w:pStyle w:val="TOC2"/>
            <w:rPr>
              <w:rFonts w:asciiTheme="minorHAnsi" w:hAnsiTheme="minorHAnsi" w:cstheme="minorBidi"/>
              <w:b w:val="0"/>
              <w:bCs w:val="0"/>
              <w:noProof/>
              <w:color w:val="auto"/>
              <w:sz w:val="24"/>
              <w:szCs w:val="24"/>
              <w:lang w:eastAsia="en-US"/>
            </w:rPr>
          </w:pPr>
          <w:hyperlink w:anchor="_Toc229051521" w:history="1">
            <w:r w:rsidRPr="00DF10BB">
              <w:rPr>
                <w:rStyle w:val="Hyperlink"/>
                <w:noProof/>
              </w:rPr>
              <w:t>2.7 HIV/AIDS Care Service Coordination</w:t>
            </w:r>
            <w:r>
              <w:rPr>
                <w:noProof/>
                <w:webHidden/>
              </w:rPr>
              <w:tab/>
            </w:r>
            <w:r>
              <w:rPr>
                <w:noProof/>
                <w:webHidden/>
              </w:rPr>
              <w:fldChar w:fldCharType="begin"/>
            </w:r>
            <w:r>
              <w:rPr>
                <w:noProof/>
                <w:webHidden/>
              </w:rPr>
              <w:instrText xml:space="preserve"> PAGEREF _Toc229051521 \h </w:instrText>
            </w:r>
            <w:r>
              <w:rPr>
                <w:noProof/>
                <w:webHidden/>
              </w:rPr>
            </w:r>
            <w:r>
              <w:rPr>
                <w:noProof/>
                <w:webHidden/>
              </w:rPr>
              <w:fldChar w:fldCharType="separate"/>
            </w:r>
            <w:r>
              <w:rPr>
                <w:noProof/>
                <w:webHidden/>
              </w:rPr>
              <w:t>13</w:t>
            </w:r>
            <w:r>
              <w:rPr>
                <w:noProof/>
                <w:webHidden/>
              </w:rPr>
              <w:fldChar w:fldCharType="end"/>
            </w:r>
          </w:hyperlink>
        </w:p>
        <w:p w14:paraId="12E74FAF" w14:textId="7298D7A4" w:rsidR="00CF56AC" w:rsidRDefault="00CF56AC">
          <w:pPr>
            <w:pStyle w:val="TOC3"/>
            <w:rPr>
              <w:rFonts w:asciiTheme="minorHAnsi" w:hAnsiTheme="minorHAnsi" w:cstheme="minorBidi"/>
              <w:noProof/>
              <w:color w:val="auto"/>
              <w:sz w:val="24"/>
              <w:szCs w:val="24"/>
              <w:lang w:eastAsia="en-US"/>
            </w:rPr>
          </w:pPr>
          <w:hyperlink w:anchor="_Toc229051522" w:history="1">
            <w:r w:rsidRPr="00DF10BB">
              <w:rPr>
                <w:rStyle w:val="Hyperlink"/>
                <w:noProof/>
              </w:rPr>
              <w:t>Evaluation and Assessment</w:t>
            </w:r>
            <w:r>
              <w:rPr>
                <w:noProof/>
                <w:webHidden/>
              </w:rPr>
              <w:tab/>
            </w:r>
            <w:r>
              <w:rPr>
                <w:noProof/>
                <w:webHidden/>
              </w:rPr>
              <w:fldChar w:fldCharType="begin"/>
            </w:r>
            <w:r>
              <w:rPr>
                <w:noProof/>
                <w:webHidden/>
              </w:rPr>
              <w:instrText xml:space="preserve"> PAGEREF _Toc229051522 \h </w:instrText>
            </w:r>
            <w:r>
              <w:rPr>
                <w:noProof/>
                <w:webHidden/>
              </w:rPr>
            </w:r>
            <w:r>
              <w:rPr>
                <w:noProof/>
                <w:webHidden/>
              </w:rPr>
              <w:fldChar w:fldCharType="separate"/>
            </w:r>
            <w:r>
              <w:rPr>
                <w:noProof/>
                <w:webHidden/>
              </w:rPr>
              <w:t>13</w:t>
            </w:r>
            <w:r>
              <w:rPr>
                <w:noProof/>
                <w:webHidden/>
              </w:rPr>
              <w:fldChar w:fldCharType="end"/>
            </w:r>
          </w:hyperlink>
        </w:p>
        <w:p w14:paraId="4EE8B075" w14:textId="449E68FE" w:rsidR="00CF56AC" w:rsidRDefault="00CF56AC">
          <w:pPr>
            <w:pStyle w:val="TOC3"/>
            <w:rPr>
              <w:rFonts w:asciiTheme="minorHAnsi" w:hAnsiTheme="minorHAnsi" w:cstheme="minorBidi"/>
              <w:noProof/>
              <w:color w:val="auto"/>
              <w:sz w:val="24"/>
              <w:szCs w:val="24"/>
              <w:lang w:eastAsia="en-US"/>
            </w:rPr>
          </w:pPr>
          <w:hyperlink w:anchor="_Toc229051523" w:history="1">
            <w:r w:rsidRPr="00DF10BB">
              <w:rPr>
                <w:rStyle w:val="Hyperlink"/>
                <w:noProof/>
              </w:rPr>
              <w:t>Service Plan Development</w:t>
            </w:r>
            <w:r>
              <w:rPr>
                <w:noProof/>
                <w:webHidden/>
              </w:rPr>
              <w:tab/>
            </w:r>
            <w:r>
              <w:rPr>
                <w:noProof/>
                <w:webHidden/>
              </w:rPr>
              <w:fldChar w:fldCharType="begin"/>
            </w:r>
            <w:r>
              <w:rPr>
                <w:noProof/>
                <w:webHidden/>
              </w:rPr>
              <w:instrText xml:space="preserve"> PAGEREF _Toc229051523 \h </w:instrText>
            </w:r>
            <w:r>
              <w:rPr>
                <w:noProof/>
                <w:webHidden/>
              </w:rPr>
            </w:r>
            <w:r>
              <w:rPr>
                <w:noProof/>
                <w:webHidden/>
              </w:rPr>
              <w:fldChar w:fldCharType="separate"/>
            </w:r>
            <w:r>
              <w:rPr>
                <w:noProof/>
                <w:webHidden/>
              </w:rPr>
              <w:t>13</w:t>
            </w:r>
            <w:r>
              <w:rPr>
                <w:noProof/>
                <w:webHidden/>
              </w:rPr>
              <w:fldChar w:fldCharType="end"/>
            </w:r>
          </w:hyperlink>
        </w:p>
        <w:p w14:paraId="4FC66812" w14:textId="7787C7CA" w:rsidR="00CF56AC" w:rsidRDefault="00CF56AC">
          <w:pPr>
            <w:pStyle w:val="TOC3"/>
            <w:rPr>
              <w:rFonts w:asciiTheme="minorHAnsi" w:hAnsiTheme="minorHAnsi" w:cstheme="minorBidi"/>
              <w:noProof/>
              <w:color w:val="auto"/>
              <w:sz w:val="24"/>
              <w:szCs w:val="24"/>
              <w:lang w:eastAsia="en-US"/>
            </w:rPr>
          </w:pPr>
          <w:hyperlink w:anchor="_Toc229051524" w:history="1">
            <w:r w:rsidRPr="00DF10BB">
              <w:rPr>
                <w:rStyle w:val="Hyperlink"/>
                <w:noProof/>
              </w:rPr>
              <w:t>Plan of Care</w:t>
            </w:r>
            <w:r>
              <w:rPr>
                <w:noProof/>
                <w:webHidden/>
              </w:rPr>
              <w:tab/>
            </w:r>
            <w:r>
              <w:rPr>
                <w:noProof/>
                <w:webHidden/>
              </w:rPr>
              <w:fldChar w:fldCharType="begin"/>
            </w:r>
            <w:r>
              <w:rPr>
                <w:noProof/>
                <w:webHidden/>
              </w:rPr>
              <w:instrText xml:space="preserve"> PAGEREF _Toc229051524 \h </w:instrText>
            </w:r>
            <w:r>
              <w:rPr>
                <w:noProof/>
                <w:webHidden/>
              </w:rPr>
            </w:r>
            <w:r>
              <w:rPr>
                <w:noProof/>
                <w:webHidden/>
              </w:rPr>
              <w:fldChar w:fldCharType="separate"/>
            </w:r>
            <w:r>
              <w:rPr>
                <w:noProof/>
                <w:webHidden/>
              </w:rPr>
              <w:t>14</w:t>
            </w:r>
            <w:r>
              <w:rPr>
                <w:noProof/>
                <w:webHidden/>
              </w:rPr>
              <w:fldChar w:fldCharType="end"/>
            </w:r>
          </w:hyperlink>
        </w:p>
        <w:p w14:paraId="09936624" w14:textId="74C271B4" w:rsidR="00CF56AC" w:rsidRDefault="00CF56AC">
          <w:pPr>
            <w:pStyle w:val="TOC3"/>
            <w:rPr>
              <w:rFonts w:asciiTheme="minorHAnsi" w:hAnsiTheme="minorHAnsi" w:cstheme="minorBidi"/>
              <w:noProof/>
              <w:color w:val="auto"/>
              <w:sz w:val="24"/>
              <w:szCs w:val="24"/>
              <w:lang w:eastAsia="en-US"/>
            </w:rPr>
          </w:pPr>
          <w:hyperlink w:anchor="_Toc229051525" w:history="1">
            <w:r w:rsidRPr="00DF10BB">
              <w:rPr>
                <w:rStyle w:val="Hyperlink"/>
                <w:noProof/>
              </w:rPr>
              <w:t>Provider Monitoring</w:t>
            </w:r>
            <w:r>
              <w:rPr>
                <w:noProof/>
                <w:webHidden/>
              </w:rPr>
              <w:tab/>
            </w:r>
            <w:r>
              <w:rPr>
                <w:noProof/>
                <w:webHidden/>
              </w:rPr>
              <w:fldChar w:fldCharType="begin"/>
            </w:r>
            <w:r>
              <w:rPr>
                <w:noProof/>
                <w:webHidden/>
              </w:rPr>
              <w:instrText xml:space="preserve"> PAGEREF _Toc229051525 \h </w:instrText>
            </w:r>
            <w:r>
              <w:rPr>
                <w:noProof/>
                <w:webHidden/>
              </w:rPr>
            </w:r>
            <w:r>
              <w:rPr>
                <w:noProof/>
                <w:webHidden/>
              </w:rPr>
              <w:fldChar w:fldCharType="separate"/>
            </w:r>
            <w:r>
              <w:rPr>
                <w:noProof/>
                <w:webHidden/>
              </w:rPr>
              <w:t>14</w:t>
            </w:r>
            <w:r>
              <w:rPr>
                <w:noProof/>
                <w:webHidden/>
              </w:rPr>
              <w:fldChar w:fldCharType="end"/>
            </w:r>
          </w:hyperlink>
        </w:p>
        <w:p w14:paraId="76C22042" w14:textId="70B9A6C2" w:rsidR="00CF56AC" w:rsidRDefault="00CF56AC">
          <w:pPr>
            <w:pStyle w:val="TOC2"/>
            <w:rPr>
              <w:rFonts w:asciiTheme="minorHAnsi" w:hAnsiTheme="minorHAnsi" w:cstheme="minorBidi"/>
              <w:b w:val="0"/>
              <w:bCs w:val="0"/>
              <w:noProof/>
              <w:color w:val="auto"/>
              <w:sz w:val="24"/>
              <w:szCs w:val="24"/>
              <w:lang w:eastAsia="en-US"/>
            </w:rPr>
          </w:pPr>
          <w:hyperlink w:anchor="_Toc229051526" w:history="1">
            <w:r w:rsidRPr="00DF10BB">
              <w:rPr>
                <w:rStyle w:val="Hyperlink"/>
                <w:noProof/>
              </w:rPr>
              <w:t>2.8 Prior Authorization</w:t>
            </w:r>
            <w:r>
              <w:rPr>
                <w:noProof/>
                <w:webHidden/>
              </w:rPr>
              <w:tab/>
            </w:r>
            <w:r>
              <w:rPr>
                <w:noProof/>
                <w:webHidden/>
              </w:rPr>
              <w:fldChar w:fldCharType="begin"/>
            </w:r>
            <w:r>
              <w:rPr>
                <w:noProof/>
                <w:webHidden/>
              </w:rPr>
              <w:instrText xml:space="preserve"> PAGEREF _Toc229051526 \h </w:instrText>
            </w:r>
            <w:r>
              <w:rPr>
                <w:noProof/>
                <w:webHidden/>
              </w:rPr>
            </w:r>
            <w:r>
              <w:rPr>
                <w:noProof/>
                <w:webHidden/>
              </w:rPr>
              <w:fldChar w:fldCharType="separate"/>
            </w:r>
            <w:r>
              <w:rPr>
                <w:noProof/>
                <w:webHidden/>
              </w:rPr>
              <w:t>14</w:t>
            </w:r>
            <w:r>
              <w:rPr>
                <w:noProof/>
                <w:webHidden/>
              </w:rPr>
              <w:fldChar w:fldCharType="end"/>
            </w:r>
          </w:hyperlink>
        </w:p>
        <w:p w14:paraId="105C7220" w14:textId="22BD6CEC" w:rsidR="00CF56AC" w:rsidRDefault="00CF56AC">
          <w:pPr>
            <w:pStyle w:val="TOC3"/>
            <w:rPr>
              <w:rFonts w:asciiTheme="minorHAnsi" w:hAnsiTheme="minorHAnsi" w:cstheme="minorBidi"/>
              <w:noProof/>
              <w:color w:val="auto"/>
              <w:sz w:val="24"/>
              <w:szCs w:val="24"/>
              <w:lang w:eastAsia="en-US"/>
            </w:rPr>
          </w:pPr>
          <w:hyperlink w:anchor="_Toc229051527" w:history="1">
            <w:r w:rsidRPr="00DF10BB">
              <w:rPr>
                <w:rStyle w:val="Hyperlink"/>
                <w:noProof/>
              </w:rPr>
              <w:t>Authorization of Services</w:t>
            </w:r>
            <w:r>
              <w:rPr>
                <w:noProof/>
                <w:webHidden/>
              </w:rPr>
              <w:tab/>
            </w:r>
            <w:r>
              <w:rPr>
                <w:noProof/>
                <w:webHidden/>
              </w:rPr>
              <w:fldChar w:fldCharType="begin"/>
            </w:r>
            <w:r>
              <w:rPr>
                <w:noProof/>
                <w:webHidden/>
              </w:rPr>
              <w:instrText xml:space="preserve"> PAGEREF _Toc229051527 \h </w:instrText>
            </w:r>
            <w:r>
              <w:rPr>
                <w:noProof/>
                <w:webHidden/>
              </w:rPr>
            </w:r>
            <w:r>
              <w:rPr>
                <w:noProof/>
                <w:webHidden/>
              </w:rPr>
              <w:fldChar w:fldCharType="separate"/>
            </w:r>
            <w:r>
              <w:rPr>
                <w:noProof/>
                <w:webHidden/>
              </w:rPr>
              <w:t>15</w:t>
            </w:r>
            <w:r>
              <w:rPr>
                <w:noProof/>
                <w:webHidden/>
              </w:rPr>
              <w:fldChar w:fldCharType="end"/>
            </w:r>
          </w:hyperlink>
        </w:p>
        <w:p w14:paraId="4592E9B3" w14:textId="56B9C669" w:rsidR="00CF56AC" w:rsidRDefault="00CF56AC">
          <w:pPr>
            <w:pStyle w:val="TOC3"/>
            <w:rPr>
              <w:rFonts w:asciiTheme="minorHAnsi" w:hAnsiTheme="minorHAnsi" w:cstheme="minorBidi"/>
              <w:noProof/>
              <w:color w:val="auto"/>
              <w:sz w:val="24"/>
              <w:szCs w:val="24"/>
              <w:lang w:eastAsia="en-US"/>
            </w:rPr>
          </w:pPr>
          <w:hyperlink w:anchor="_Toc229051528" w:history="1">
            <w:r w:rsidRPr="00DF10BB">
              <w:rPr>
                <w:rStyle w:val="Hyperlink"/>
                <w:noProof/>
              </w:rPr>
              <w:t>Changes to Authorized Services</w:t>
            </w:r>
            <w:r>
              <w:rPr>
                <w:noProof/>
                <w:webHidden/>
              </w:rPr>
              <w:tab/>
            </w:r>
            <w:r>
              <w:rPr>
                <w:noProof/>
                <w:webHidden/>
              </w:rPr>
              <w:fldChar w:fldCharType="begin"/>
            </w:r>
            <w:r>
              <w:rPr>
                <w:noProof/>
                <w:webHidden/>
              </w:rPr>
              <w:instrText xml:space="preserve"> PAGEREF _Toc229051528 \h </w:instrText>
            </w:r>
            <w:r>
              <w:rPr>
                <w:noProof/>
                <w:webHidden/>
              </w:rPr>
            </w:r>
            <w:r>
              <w:rPr>
                <w:noProof/>
                <w:webHidden/>
              </w:rPr>
              <w:fldChar w:fldCharType="separate"/>
            </w:r>
            <w:r>
              <w:rPr>
                <w:noProof/>
                <w:webHidden/>
              </w:rPr>
              <w:t>15</w:t>
            </w:r>
            <w:r>
              <w:rPr>
                <w:noProof/>
                <w:webHidden/>
              </w:rPr>
              <w:fldChar w:fldCharType="end"/>
            </w:r>
          </w:hyperlink>
        </w:p>
        <w:p w14:paraId="301C5B15" w14:textId="2D2FFB8A" w:rsidR="00CF56AC" w:rsidRDefault="00CF56AC">
          <w:pPr>
            <w:pStyle w:val="TOC3"/>
            <w:rPr>
              <w:rFonts w:asciiTheme="minorHAnsi" w:hAnsiTheme="minorHAnsi" w:cstheme="minorBidi"/>
              <w:noProof/>
              <w:color w:val="auto"/>
              <w:sz w:val="24"/>
              <w:szCs w:val="24"/>
              <w:lang w:eastAsia="en-US"/>
            </w:rPr>
          </w:pPr>
          <w:hyperlink w:anchor="_Toc229051529" w:history="1">
            <w:r w:rsidRPr="00DF10BB">
              <w:rPr>
                <w:rStyle w:val="Hyperlink"/>
                <w:noProof/>
              </w:rPr>
              <w:t>Billing for Authorized Services</w:t>
            </w:r>
            <w:r>
              <w:rPr>
                <w:noProof/>
                <w:webHidden/>
              </w:rPr>
              <w:tab/>
            </w:r>
            <w:r>
              <w:rPr>
                <w:noProof/>
                <w:webHidden/>
              </w:rPr>
              <w:fldChar w:fldCharType="begin"/>
            </w:r>
            <w:r>
              <w:rPr>
                <w:noProof/>
                <w:webHidden/>
              </w:rPr>
              <w:instrText xml:space="preserve"> PAGEREF _Toc229051529 \h </w:instrText>
            </w:r>
            <w:r>
              <w:rPr>
                <w:noProof/>
                <w:webHidden/>
              </w:rPr>
            </w:r>
            <w:r>
              <w:rPr>
                <w:noProof/>
                <w:webHidden/>
              </w:rPr>
              <w:fldChar w:fldCharType="separate"/>
            </w:r>
            <w:r>
              <w:rPr>
                <w:noProof/>
                <w:webHidden/>
              </w:rPr>
              <w:t>15</w:t>
            </w:r>
            <w:r>
              <w:rPr>
                <w:noProof/>
                <w:webHidden/>
              </w:rPr>
              <w:fldChar w:fldCharType="end"/>
            </w:r>
          </w:hyperlink>
        </w:p>
        <w:p w14:paraId="4ADF136A" w14:textId="176619AF" w:rsidR="00CF56AC" w:rsidRDefault="00CF56AC">
          <w:pPr>
            <w:pStyle w:val="TOC2"/>
            <w:rPr>
              <w:rFonts w:asciiTheme="minorHAnsi" w:hAnsiTheme="minorHAnsi" w:cstheme="minorBidi"/>
              <w:b w:val="0"/>
              <w:bCs w:val="0"/>
              <w:noProof/>
              <w:color w:val="auto"/>
              <w:sz w:val="24"/>
              <w:szCs w:val="24"/>
              <w:lang w:eastAsia="en-US"/>
            </w:rPr>
          </w:pPr>
          <w:hyperlink w:anchor="_Toc229051530" w:history="1">
            <w:r w:rsidRPr="00DF10BB">
              <w:rPr>
                <w:rStyle w:val="Hyperlink"/>
                <w:noProof/>
              </w:rPr>
              <w:t>2.9 Waiver Services for Participants Electing Hospice</w:t>
            </w:r>
            <w:r>
              <w:rPr>
                <w:noProof/>
                <w:webHidden/>
              </w:rPr>
              <w:tab/>
            </w:r>
            <w:r>
              <w:rPr>
                <w:noProof/>
                <w:webHidden/>
              </w:rPr>
              <w:fldChar w:fldCharType="begin"/>
            </w:r>
            <w:r>
              <w:rPr>
                <w:noProof/>
                <w:webHidden/>
              </w:rPr>
              <w:instrText xml:space="preserve"> PAGEREF _Toc229051530 \h </w:instrText>
            </w:r>
            <w:r>
              <w:rPr>
                <w:noProof/>
                <w:webHidden/>
              </w:rPr>
            </w:r>
            <w:r>
              <w:rPr>
                <w:noProof/>
                <w:webHidden/>
              </w:rPr>
              <w:fldChar w:fldCharType="separate"/>
            </w:r>
            <w:r>
              <w:rPr>
                <w:noProof/>
                <w:webHidden/>
              </w:rPr>
              <w:t>15</w:t>
            </w:r>
            <w:r>
              <w:rPr>
                <w:noProof/>
                <w:webHidden/>
              </w:rPr>
              <w:fldChar w:fldCharType="end"/>
            </w:r>
          </w:hyperlink>
        </w:p>
        <w:p w14:paraId="6AF89ABA" w14:textId="24CBEC3C" w:rsidR="00CF56AC" w:rsidRDefault="00CF56AC">
          <w:pPr>
            <w:pStyle w:val="TOC3"/>
            <w:rPr>
              <w:rFonts w:asciiTheme="minorHAnsi" w:hAnsiTheme="minorHAnsi" w:cstheme="minorBidi"/>
              <w:noProof/>
              <w:color w:val="auto"/>
              <w:sz w:val="24"/>
              <w:szCs w:val="24"/>
              <w:lang w:eastAsia="en-US"/>
            </w:rPr>
          </w:pPr>
          <w:hyperlink w:anchor="_Toc229051531" w:history="1">
            <w:r w:rsidRPr="00DF10BB">
              <w:rPr>
                <w:rStyle w:val="Hyperlink"/>
                <w:noProof/>
              </w:rPr>
              <w:t>Assessing Eligibility for Services in Hospice</w:t>
            </w:r>
            <w:r>
              <w:rPr>
                <w:noProof/>
                <w:webHidden/>
              </w:rPr>
              <w:tab/>
            </w:r>
            <w:r>
              <w:rPr>
                <w:noProof/>
                <w:webHidden/>
              </w:rPr>
              <w:fldChar w:fldCharType="begin"/>
            </w:r>
            <w:r>
              <w:rPr>
                <w:noProof/>
                <w:webHidden/>
              </w:rPr>
              <w:instrText xml:space="preserve"> PAGEREF _Toc229051531 \h </w:instrText>
            </w:r>
            <w:r>
              <w:rPr>
                <w:noProof/>
                <w:webHidden/>
              </w:rPr>
            </w:r>
            <w:r>
              <w:rPr>
                <w:noProof/>
                <w:webHidden/>
              </w:rPr>
              <w:fldChar w:fldCharType="separate"/>
            </w:r>
            <w:r>
              <w:rPr>
                <w:noProof/>
                <w:webHidden/>
              </w:rPr>
              <w:t>16</w:t>
            </w:r>
            <w:r>
              <w:rPr>
                <w:noProof/>
                <w:webHidden/>
              </w:rPr>
              <w:fldChar w:fldCharType="end"/>
            </w:r>
          </w:hyperlink>
        </w:p>
        <w:p w14:paraId="5E54CDE0" w14:textId="325CE829" w:rsidR="00CF56AC" w:rsidRDefault="00CF56AC">
          <w:pPr>
            <w:pStyle w:val="TOC3"/>
            <w:rPr>
              <w:rFonts w:asciiTheme="minorHAnsi" w:hAnsiTheme="minorHAnsi" w:cstheme="minorBidi"/>
              <w:noProof/>
              <w:color w:val="auto"/>
              <w:sz w:val="24"/>
              <w:szCs w:val="24"/>
              <w:lang w:eastAsia="en-US"/>
            </w:rPr>
          </w:pPr>
          <w:hyperlink w:anchor="_Toc229051532" w:history="1">
            <w:r w:rsidRPr="00DF10BB">
              <w:rPr>
                <w:rStyle w:val="Hyperlink"/>
                <w:noProof/>
              </w:rPr>
              <w:t>Specialized Medical Supplies for Participants Electing Hospice</w:t>
            </w:r>
            <w:r>
              <w:rPr>
                <w:noProof/>
                <w:webHidden/>
              </w:rPr>
              <w:tab/>
            </w:r>
            <w:r>
              <w:rPr>
                <w:noProof/>
                <w:webHidden/>
              </w:rPr>
              <w:fldChar w:fldCharType="begin"/>
            </w:r>
            <w:r>
              <w:rPr>
                <w:noProof/>
                <w:webHidden/>
              </w:rPr>
              <w:instrText xml:space="preserve"> PAGEREF _Toc229051532 \h </w:instrText>
            </w:r>
            <w:r>
              <w:rPr>
                <w:noProof/>
                <w:webHidden/>
              </w:rPr>
            </w:r>
            <w:r>
              <w:rPr>
                <w:noProof/>
                <w:webHidden/>
              </w:rPr>
              <w:fldChar w:fldCharType="separate"/>
            </w:r>
            <w:r>
              <w:rPr>
                <w:noProof/>
                <w:webHidden/>
              </w:rPr>
              <w:t>16</w:t>
            </w:r>
            <w:r>
              <w:rPr>
                <w:noProof/>
                <w:webHidden/>
              </w:rPr>
              <w:fldChar w:fldCharType="end"/>
            </w:r>
          </w:hyperlink>
        </w:p>
        <w:p w14:paraId="766AF166" w14:textId="79DB700C" w:rsidR="00CF56AC" w:rsidRDefault="00CF56AC">
          <w:pPr>
            <w:pStyle w:val="TOC3"/>
            <w:rPr>
              <w:rFonts w:asciiTheme="minorHAnsi" w:hAnsiTheme="minorHAnsi" w:cstheme="minorBidi"/>
              <w:noProof/>
              <w:color w:val="auto"/>
              <w:sz w:val="24"/>
              <w:szCs w:val="24"/>
              <w:lang w:eastAsia="en-US"/>
            </w:rPr>
          </w:pPr>
          <w:hyperlink w:anchor="_Toc229051533" w:history="1">
            <w:r w:rsidRPr="00DF10BB">
              <w:rPr>
                <w:rStyle w:val="Hyperlink"/>
                <w:noProof/>
              </w:rPr>
              <w:t>State Plan Personal Care and Waiver Attendant Care for Participants Electing Hospice</w:t>
            </w:r>
            <w:r>
              <w:rPr>
                <w:noProof/>
                <w:webHidden/>
              </w:rPr>
              <w:tab/>
            </w:r>
            <w:r>
              <w:rPr>
                <w:noProof/>
                <w:webHidden/>
              </w:rPr>
              <w:fldChar w:fldCharType="begin"/>
            </w:r>
            <w:r>
              <w:rPr>
                <w:noProof/>
                <w:webHidden/>
              </w:rPr>
              <w:instrText xml:space="preserve"> PAGEREF _Toc229051533 \h </w:instrText>
            </w:r>
            <w:r>
              <w:rPr>
                <w:noProof/>
                <w:webHidden/>
              </w:rPr>
            </w:r>
            <w:r>
              <w:rPr>
                <w:noProof/>
                <w:webHidden/>
              </w:rPr>
              <w:fldChar w:fldCharType="separate"/>
            </w:r>
            <w:r>
              <w:rPr>
                <w:noProof/>
                <w:webHidden/>
              </w:rPr>
              <w:t>16</w:t>
            </w:r>
            <w:r>
              <w:rPr>
                <w:noProof/>
                <w:webHidden/>
              </w:rPr>
              <w:fldChar w:fldCharType="end"/>
            </w:r>
          </w:hyperlink>
        </w:p>
        <w:p w14:paraId="7FBBCCE3" w14:textId="608914D9" w:rsidR="00CF56AC" w:rsidRDefault="00CF56AC">
          <w:pPr>
            <w:pStyle w:val="TOC3"/>
            <w:rPr>
              <w:rFonts w:asciiTheme="minorHAnsi" w:hAnsiTheme="minorHAnsi" w:cstheme="minorBidi"/>
              <w:noProof/>
              <w:color w:val="auto"/>
              <w:sz w:val="24"/>
              <w:szCs w:val="24"/>
              <w:lang w:eastAsia="en-US"/>
            </w:rPr>
          </w:pPr>
          <w:hyperlink w:anchor="_Toc229051534" w:history="1">
            <w:r w:rsidRPr="00DF10BB">
              <w:rPr>
                <w:rStyle w:val="Hyperlink"/>
                <w:noProof/>
              </w:rPr>
              <w:t>Waiver Attendant Care for Participants Electing Hospice</w:t>
            </w:r>
            <w:r>
              <w:rPr>
                <w:noProof/>
                <w:webHidden/>
              </w:rPr>
              <w:tab/>
            </w:r>
            <w:r>
              <w:rPr>
                <w:noProof/>
                <w:webHidden/>
              </w:rPr>
              <w:fldChar w:fldCharType="begin"/>
            </w:r>
            <w:r>
              <w:rPr>
                <w:noProof/>
                <w:webHidden/>
              </w:rPr>
              <w:instrText xml:space="preserve"> PAGEREF _Toc229051534 \h </w:instrText>
            </w:r>
            <w:r>
              <w:rPr>
                <w:noProof/>
                <w:webHidden/>
              </w:rPr>
            </w:r>
            <w:r>
              <w:rPr>
                <w:noProof/>
                <w:webHidden/>
              </w:rPr>
              <w:fldChar w:fldCharType="separate"/>
            </w:r>
            <w:r>
              <w:rPr>
                <w:noProof/>
                <w:webHidden/>
              </w:rPr>
              <w:t>16</w:t>
            </w:r>
            <w:r>
              <w:rPr>
                <w:noProof/>
                <w:webHidden/>
              </w:rPr>
              <w:fldChar w:fldCharType="end"/>
            </w:r>
          </w:hyperlink>
        </w:p>
        <w:p w14:paraId="62B023F6" w14:textId="257B49CF" w:rsidR="00CF56AC" w:rsidRDefault="00CF56AC">
          <w:pPr>
            <w:pStyle w:val="TOC2"/>
            <w:rPr>
              <w:rFonts w:asciiTheme="minorHAnsi" w:hAnsiTheme="minorHAnsi" w:cstheme="minorBidi"/>
              <w:b w:val="0"/>
              <w:bCs w:val="0"/>
              <w:noProof/>
              <w:color w:val="auto"/>
              <w:sz w:val="24"/>
              <w:szCs w:val="24"/>
              <w:lang w:eastAsia="en-US"/>
            </w:rPr>
          </w:pPr>
          <w:hyperlink w:anchor="_Toc229051535" w:history="1">
            <w:r w:rsidRPr="00DF10BB">
              <w:rPr>
                <w:rStyle w:val="Hyperlink"/>
                <w:noProof/>
              </w:rPr>
              <w:t>2.10 Confidentiality</w:t>
            </w:r>
            <w:r>
              <w:rPr>
                <w:noProof/>
                <w:webHidden/>
              </w:rPr>
              <w:tab/>
            </w:r>
            <w:r>
              <w:rPr>
                <w:noProof/>
                <w:webHidden/>
              </w:rPr>
              <w:fldChar w:fldCharType="begin"/>
            </w:r>
            <w:r>
              <w:rPr>
                <w:noProof/>
                <w:webHidden/>
              </w:rPr>
              <w:instrText xml:space="preserve"> PAGEREF _Toc229051535 \h </w:instrText>
            </w:r>
            <w:r>
              <w:rPr>
                <w:noProof/>
                <w:webHidden/>
              </w:rPr>
            </w:r>
            <w:r>
              <w:rPr>
                <w:noProof/>
                <w:webHidden/>
              </w:rPr>
              <w:fldChar w:fldCharType="separate"/>
            </w:r>
            <w:r>
              <w:rPr>
                <w:noProof/>
                <w:webHidden/>
              </w:rPr>
              <w:t>16</w:t>
            </w:r>
            <w:r>
              <w:rPr>
                <w:noProof/>
                <w:webHidden/>
              </w:rPr>
              <w:fldChar w:fldCharType="end"/>
            </w:r>
          </w:hyperlink>
        </w:p>
        <w:p w14:paraId="1A608C2E" w14:textId="63C18839" w:rsidR="00CF56AC" w:rsidRDefault="00CF56AC">
          <w:pPr>
            <w:pStyle w:val="TOC1"/>
            <w:tabs>
              <w:tab w:val="right" w:leader="dot" w:pos="10070"/>
            </w:tabs>
            <w:rPr>
              <w:rFonts w:asciiTheme="minorHAnsi" w:hAnsiTheme="minorHAnsi" w:cstheme="minorBidi"/>
              <w:b w:val="0"/>
              <w:bCs w:val="0"/>
              <w:noProof/>
              <w:color w:val="auto"/>
              <w:sz w:val="24"/>
              <w:szCs w:val="24"/>
              <w:lang w:eastAsia="en-US"/>
            </w:rPr>
          </w:pPr>
          <w:hyperlink w:anchor="_Toc229051536" w:history="1">
            <w:r w:rsidRPr="00DF10BB">
              <w:rPr>
                <w:rStyle w:val="Hyperlink"/>
                <w:noProof/>
              </w:rPr>
              <w:t>Section 3:  Special Documentation Requirements</w:t>
            </w:r>
            <w:r>
              <w:rPr>
                <w:noProof/>
                <w:webHidden/>
              </w:rPr>
              <w:tab/>
            </w:r>
            <w:r>
              <w:rPr>
                <w:noProof/>
                <w:webHidden/>
              </w:rPr>
              <w:fldChar w:fldCharType="begin"/>
            </w:r>
            <w:r>
              <w:rPr>
                <w:noProof/>
                <w:webHidden/>
              </w:rPr>
              <w:instrText xml:space="preserve"> PAGEREF _Toc229051536 \h </w:instrText>
            </w:r>
            <w:r>
              <w:rPr>
                <w:noProof/>
                <w:webHidden/>
              </w:rPr>
            </w:r>
            <w:r>
              <w:rPr>
                <w:noProof/>
                <w:webHidden/>
              </w:rPr>
              <w:fldChar w:fldCharType="separate"/>
            </w:r>
            <w:r>
              <w:rPr>
                <w:noProof/>
                <w:webHidden/>
              </w:rPr>
              <w:t>17</w:t>
            </w:r>
            <w:r>
              <w:rPr>
                <w:noProof/>
                <w:webHidden/>
              </w:rPr>
              <w:fldChar w:fldCharType="end"/>
            </w:r>
          </w:hyperlink>
        </w:p>
        <w:p w14:paraId="04EE8533" w14:textId="4B0F690C" w:rsidR="00CF56AC" w:rsidRDefault="00CF56AC">
          <w:pPr>
            <w:pStyle w:val="TOC1"/>
            <w:tabs>
              <w:tab w:val="right" w:leader="dot" w:pos="10070"/>
            </w:tabs>
            <w:rPr>
              <w:rFonts w:asciiTheme="minorHAnsi" w:hAnsiTheme="minorHAnsi" w:cstheme="minorBidi"/>
              <w:b w:val="0"/>
              <w:bCs w:val="0"/>
              <w:noProof/>
              <w:color w:val="auto"/>
              <w:sz w:val="24"/>
              <w:szCs w:val="24"/>
              <w:lang w:eastAsia="en-US"/>
            </w:rPr>
          </w:pPr>
          <w:hyperlink w:anchor="_Toc229051537" w:history="1">
            <w:r w:rsidRPr="00DF10BB">
              <w:rPr>
                <w:rStyle w:val="Hyperlink"/>
                <w:noProof/>
              </w:rPr>
              <w:t>Section 4: Billing Instructions</w:t>
            </w:r>
            <w:r>
              <w:rPr>
                <w:noProof/>
                <w:webHidden/>
              </w:rPr>
              <w:tab/>
            </w:r>
            <w:r>
              <w:rPr>
                <w:noProof/>
                <w:webHidden/>
              </w:rPr>
              <w:fldChar w:fldCharType="begin"/>
            </w:r>
            <w:r>
              <w:rPr>
                <w:noProof/>
                <w:webHidden/>
              </w:rPr>
              <w:instrText xml:space="preserve"> PAGEREF _Toc229051537 \h </w:instrText>
            </w:r>
            <w:r>
              <w:rPr>
                <w:noProof/>
                <w:webHidden/>
              </w:rPr>
            </w:r>
            <w:r>
              <w:rPr>
                <w:noProof/>
                <w:webHidden/>
              </w:rPr>
              <w:fldChar w:fldCharType="separate"/>
            </w:r>
            <w:r>
              <w:rPr>
                <w:noProof/>
                <w:webHidden/>
              </w:rPr>
              <w:t>17</w:t>
            </w:r>
            <w:r>
              <w:rPr>
                <w:noProof/>
                <w:webHidden/>
              </w:rPr>
              <w:fldChar w:fldCharType="end"/>
            </w:r>
          </w:hyperlink>
        </w:p>
        <w:p w14:paraId="4D78A9C0" w14:textId="45105986" w:rsidR="00CF56AC" w:rsidRDefault="00CF56AC">
          <w:pPr>
            <w:pStyle w:val="TOC2"/>
            <w:rPr>
              <w:rFonts w:asciiTheme="minorHAnsi" w:hAnsiTheme="minorHAnsi" w:cstheme="minorBidi"/>
              <w:b w:val="0"/>
              <w:bCs w:val="0"/>
              <w:noProof/>
              <w:color w:val="auto"/>
              <w:sz w:val="24"/>
              <w:szCs w:val="24"/>
              <w:lang w:eastAsia="en-US"/>
            </w:rPr>
          </w:pPr>
          <w:hyperlink w:anchor="_Toc229051538" w:history="1">
            <w:r w:rsidRPr="00DF10BB">
              <w:rPr>
                <w:rStyle w:val="Hyperlink"/>
                <w:noProof/>
              </w:rPr>
              <w:t>4.1 Electronic Data Interchange</w:t>
            </w:r>
            <w:r>
              <w:rPr>
                <w:noProof/>
                <w:webHidden/>
              </w:rPr>
              <w:tab/>
            </w:r>
            <w:r>
              <w:rPr>
                <w:noProof/>
                <w:webHidden/>
              </w:rPr>
              <w:fldChar w:fldCharType="begin"/>
            </w:r>
            <w:r>
              <w:rPr>
                <w:noProof/>
                <w:webHidden/>
              </w:rPr>
              <w:instrText xml:space="preserve"> PAGEREF _Toc229051538 \h </w:instrText>
            </w:r>
            <w:r>
              <w:rPr>
                <w:noProof/>
                <w:webHidden/>
              </w:rPr>
            </w:r>
            <w:r>
              <w:rPr>
                <w:noProof/>
                <w:webHidden/>
              </w:rPr>
              <w:fldChar w:fldCharType="separate"/>
            </w:r>
            <w:r>
              <w:rPr>
                <w:noProof/>
                <w:webHidden/>
              </w:rPr>
              <w:t>17</w:t>
            </w:r>
            <w:r>
              <w:rPr>
                <w:noProof/>
                <w:webHidden/>
              </w:rPr>
              <w:fldChar w:fldCharType="end"/>
            </w:r>
          </w:hyperlink>
        </w:p>
        <w:p w14:paraId="29151BBE" w14:textId="0BF616FE" w:rsidR="00CF56AC" w:rsidRDefault="00CF56AC">
          <w:pPr>
            <w:pStyle w:val="TOC2"/>
            <w:rPr>
              <w:rFonts w:asciiTheme="minorHAnsi" w:hAnsiTheme="minorHAnsi" w:cstheme="minorBidi"/>
              <w:b w:val="0"/>
              <w:bCs w:val="0"/>
              <w:noProof/>
              <w:color w:val="auto"/>
              <w:sz w:val="24"/>
              <w:szCs w:val="24"/>
              <w:lang w:eastAsia="en-US"/>
            </w:rPr>
          </w:pPr>
          <w:hyperlink w:anchor="_Toc229051539" w:history="1">
            <w:r w:rsidRPr="00DF10BB">
              <w:rPr>
                <w:rStyle w:val="Hyperlink"/>
                <w:noProof/>
              </w:rPr>
              <w:t>4.2 Claim Submission</w:t>
            </w:r>
            <w:r>
              <w:rPr>
                <w:noProof/>
                <w:webHidden/>
              </w:rPr>
              <w:tab/>
            </w:r>
            <w:r>
              <w:rPr>
                <w:noProof/>
                <w:webHidden/>
              </w:rPr>
              <w:fldChar w:fldCharType="begin"/>
            </w:r>
            <w:r>
              <w:rPr>
                <w:noProof/>
                <w:webHidden/>
              </w:rPr>
              <w:instrText xml:space="preserve"> PAGEREF _Toc229051539 \h </w:instrText>
            </w:r>
            <w:r>
              <w:rPr>
                <w:noProof/>
                <w:webHidden/>
              </w:rPr>
            </w:r>
            <w:r>
              <w:rPr>
                <w:noProof/>
                <w:webHidden/>
              </w:rPr>
              <w:fldChar w:fldCharType="separate"/>
            </w:r>
            <w:r>
              <w:rPr>
                <w:noProof/>
                <w:webHidden/>
              </w:rPr>
              <w:t>17</w:t>
            </w:r>
            <w:r>
              <w:rPr>
                <w:noProof/>
                <w:webHidden/>
              </w:rPr>
              <w:fldChar w:fldCharType="end"/>
            </w:r>
          </w:hyperlink>
        </w:p>
        <w:p w14:paraId="29D61E91" w14:textId="01F07534" w:rsidR="00CF56AC" w:rsidRDefault="00CF56AC">
          <w:pPr>
            <w:pStyle w:val="TOC2"/>
            <w:rPr>
              <w:rFonts w:asciiTheme="minorHAnsi" w:hAnsiTheme="minorHAnsi" w:cstheme="minorBidi"/>
              <w:b w:val="0"/>
              <w:bCs w:val="0"/>
              <w:noProof/>
              <w:color w:val="auto"/>
              <w:sz w:val="24"/>
              <w:szCs w:val="24"/>
              <w:lang w:eastAsia="en-US"/>
            </w:rPr>
          </w:pPr>
          <w:hyperlink w:anchor="_Toc229051540" w:history="1">
            <w:r w:rsidRPr="00DF10BB">
              <w:rPr>
                <w:rStyle w:val="Hyperlink"/>
                <w:noProof/>
              </w:rPr>
              <w:t>4.3 Resubmission of Claims</w:t>
            </w:r>
            <w:r>
              <w:rPr>
                <w:noProof/>
                <w:webHidden/>
              </w:rPr>
              <w:tab/>
            </w:r>
            <w:r>
              <w:rPr>
                <w:noProof/>
                <w:webHidden/>
              </w:rPr>
              <w:fldChar w:fldCharType="begin"/>
            </w:r>
            <w:r>
              <w:rPr>
                <w:noProof/>
                <w:webHidden/>
              </w:rPr>
              <w:instrText xml:space="preserve"> PAGEREF _Toc229051540 \h </w:instrText>
            </w:r>
            <w:r>
              <w:rPr>
                <w:noProof/>
                <w:webHidden/>
              </w:rPr>
            </w:r>
            <w:r>
              <w:rPr>
                <w:noProof/>
                <w:webHidden/>
              </w:rPr>
              <w:fldChar w:fldCharType="separate"/>
            </w:r>
            <w:r>
              <w:rPr>
                <w:noProof/>
                <w:webHidden/>
              </w:rPr>
              <w:t>18</w:t>
            </w:r>
            <w:r>
              <w:rPr>
                <w:noProof/>
                <w:webHidden/>
              </w:rPr>
              <w:fldChar w:fldCharType="end"/>
            </w:r>
          </w:hyperlink>
        </w:p>
        <w:p w14:paraId="165F72A6" w14:textId="51512323" w:rsidR="00CF56AC" w:rsidRDefault="00CF56AC">
          <w:pPr>
            <w:pStyle w:val="TOC2"/>
            <w:rPr>
              <w:rFonts w:asciiTheme="minorHAnsi" w:hAnsiTheme="minorHAnsi" w:cstheme="minorBidi"/>
              <w:b w:val="0"/>
              <w:bCs w:val="0"/>
              <w:noProof/>
              <w:color w:val="auto"/>
              <w:sz w:val="24"/>
              <w:szCs w:val="24"/>
              <w:lang w:eastAsia="en-US"/>
            </w:rPr>
          </w:pPr>
          <w:hyperlink w:anchor="_Toc229051541" w:history="1">
            <w:r w:rsidRPr="00DF10BB">
              <w:rPr>
                <w:rStyle w:val="Hyperlink"/>
                <w:noProof/>
              </w:rPr>
              <w:t>4.4 CMS-1500 Claim Form</w:t>
            </w:r>
            <w:r>
              <w:rPr>
                <w:noProof/>
                <w:webHidden/>
              </w:rPr>
              <w:tab/>
            </w:r>
            <w:r>
              <w:rPr>
                <w:noProof/>
                <w:webHidden/>
              </w:rPr>
              <w:fldChar w:fldCharType="begin"/>
            </w:r>
            <w:r>
              <w:rPr>
                <w:noProof/>
                <w:webHidden/>
              </w:rPr>
              <w:instrText xml:space="preserve"> PAGEREF _Toc229051541 \h </w:instrText>
            </w:r>
            <w:r>
              <w:rPr>
                <w:noProof/>
                <w:webHidden/>
              </w:rPr>
            </w:r>
            <w:r>
              <w:rPr>
                <w:noProof/>
                <w:webHidden/>
              </w:rPr>
              <w:fldChar w:fldCharType="separate"/>
            </w:r>
            <w:r>
              <w:rPr>
                <w:noProof/>
                <w:webHidden/>
              </w:rPr>
              <w:t>18</w:t>
            </w:r>
            <w:r>
              <w:rPr>
                <w:noProof/>
                <w:webHidden/>
              </w:rPr>
              <w:fldChar w:fldCharType="end"/>
            </w:r>
          </w:hyperlink>
        </w:p>
        <w:p w14:paraId="66BE1934" w14:textId="7B910124" w:rsidR="00CF56AC" w:rsidRDefault="00CF56AC">
          <w:pPr>
            <w:pStyle w:val="TOC3"/>
            <w:rPr>
              <w:rFonts w:asciiTheme="minorHAnsi" w:hAnsiTheme="minorHAnsi" w:cstheme="minorBidi"/>
              <w:noProof/>
              <w:color w:val="auto"/>
              <w:sz w:val="24"/>
              <w:szCs w:val="24"/>
              <w:lang w:eastAsia="en-US"/>
            </w:rPr>
          </w:pPr>
          <w:hyperlink w:anchor="_Toc229051542" w:history="1">
            <w:r w:rsidRPr="00DF10BB">
              <w:rPr>
                <w:rStyle w:val="Hyperlink"/>
                <w:noProof/>
              </w:rPr>
              <w:t>CMS-1500 Claim Filing Instructions</w:t>
            </w:r>
            <w:r>
              <w:rPr>
                <w:noProof/>
                <w:webHidden/>
              </w:rPr>
              <w:tab/>
            </w:r>
            <w:r>
              <w:rPr>
                <w:noProof/>
                <w:webHidden/>
              </w:rPr>
              <w:fldChar w:fldCharType="begin"/>
            </w:r>
            <w:r>
              <w:rPr>
                <w:noProof/>
                <w:webHidden/>
              </w:rPr>
              <w:instrText xml:space="preserve"> PAGEREF _Toc229051542 \h </w:instrText>
            </w:r>
            <w:r>
              <w:rPr>
                <w:noProof/>
                <w:webHidden/>
              </w:rPr>
            </w:r>
            <w:r>
              <w:rPr>
                <w:noProof/>
                <w:webHidden/>
              </w:rPr>
              <w:fldChar w:fldCharType="separate"/>
            </w:r>
            <w:r>
              <w:rPr>
                <w:noProof/>
                <w:webHidden/>
              </w:rPr>
              <w:t>19</w:t>
            </w:r>
            <w:r>
              <w:rPr>
                <w:noProof/>
                <w:webHidden/>
              </w:rPr>
              <w:fldChar w:fldCharType="end"/>
            </w:r>
          </w:hyperlink>
        </w:p>
        <w:p w14:paraId="25D9C3FF" w14:textId="7B0530CD" w:rsidR="00CF56AC" w:rsidRDefault="00CF56AC">
          <w:pPr>
            <w:pStyle w:val="TOC2"/>
            <w:rPr>
              <w:rFonts w:asciiTheme="minorHAnsi" w:hAnsiTheme="minorHAnsi" w:cstheme="minorBidi"/>
              <w:b w:val="0"/>
              <w:bCs w:val="0"/>
              <w:noProof/>
              <w:color w:val="auto"/>
              <w:sz w:val="24"/>
              <w:szCs w:val="24"/>
              <w:lang w:eastAsia="en-US"/>
            </w:rPr>
          </w:pPr>
          <w:hyperlink w:anchor="_Toc229051543" w:history="1">
            <w:r w:rsidRPr="00DF10BB">
              <w:rPr>
                <w:rStyle w:val="Hyperlink"/>
                <w:noProof/>
              </w:rPr>
              <w:t>4.5 Insurance Coverage</w:t>
            </w:r>
            <w:r>
              <w:rPr>
                <w:noProof/>
                <w:webHidden/>
              </w:rPr>
              <w:tab/>
            </w:r>
            <w:r>
              <w:rPr>
                <w:noProof/>
                <w:webHidden/>
              </w:rPr>
              <w:fldChar w:fldCharType="begin"/>
            </w:r>
            <w:r>
              <w:rPr>
                <w:noProof/>
                <w:webHidden/>
              </w:rPr>
              <w:instrText xml:space="preserve"> PAGEREF _Toc229051543 \h </w:instrText>
            </w:r>
            <w:r>
              <w:rPr>
                <w:noProof/>
                <w:webHidden/>
              </w:rPr>
            </w:r>
            <w:r>
              <w:rPr>
                <w:noProof/>
                <w:webHidden/>
              </w:rPr>
              <w:fldChar w:fldCharType="separate"/>
            </w:r>
            <w:r>
              <w:rPr>
                <w:noProof/>
                <w:webHidden/>
              </w:rPr>
              <w:t>31</w:t>
            </w:r>
            <w:r>
              <w:rPr>
                <w:noProof/>
                <w:webHidden/>
              </w:rPr>
              <w:fldChar w:fldCharType="end"/>
            </w:r>
          </w:hyperlink>
        </w:p>
        <w:p w14:paraId="2E40DAE4" w14:textId="300F86DF" w:rsidR="00CF56AC" w:rsidRDefault="00CF56AC">
          <w:pPr>
            <w:pStyle w:val="TOC2"/>
            <w:rPr>
              <w:rFonts w:asciiTheme="minorHAnsi" w:hAnsiTheme="minorHAnsi" w:cstheme="minorBidi"/>
              <w:b w:val="0"/>
              <w:bCs w:val="0"/>
              <w:noProof/>
              <w:color w:val="auto"/>
              <w:sz w:val="24"/>
              <w:szCs w:val="24"/>
              <w:lang w:eastAsia="en-US"/>
            </w:rPr>
          </w:pPr>
          <w:hyperlink w:anchor="_Toc229051544" w:history="1">
            <w:r w:rsidRPr="00DF10BB">
              <w:rPr>
                <w:rStyle w:val="Hyperlink"/>
                <w:noProof/>
              </w:rPr>
              <w:t>4.6 Diagnosis Code</w:t>
            </w:r>
            <w:r>
              <w:rPr>
                <w:noProof/>
                <w:webHidden/>
              </w:rPr>
              <w:tab/>
            </w:r>
            <w:r>
              <w:rPr>
                <w:noProof/>
                <w:webHidden/>
              </w:rPr>
              <w:fldChar w:fldCharType="begin"/>
            </w:r>
            <w:r>
              <w:rPr>
                <w:noProof/>
                <w:webHidden/>
              </w:rPr>
              <w:instrText xml:space="preserve"> PAGEREF _Toc229051544 \h </w:instrText>
            </w:r>
            <w:r>
              <w:rPr>
                <w:noProof/>
                <w:webHidden/>
              </w:rPr>
            </w:r>
            <w:r>
              <w:rPr>
                <w:noProof/>
                <w:webHidden/>
              </w:rPr>
              <w:fldChar w:fldCharType="separate"/>
            </w:r>
            <w:r>
              <w:rPr>
                <w:noProof/>
                <w:webHidden/>
              </w:rPr>
              <w:t>31</w:t>
            </w:r>
            <w:r>
              <w:rPr>
                <w:noProof/>
                <w:webHidden/>
              </w:rPr>
              <w:fldChar w:fldCharType="end"/>
            </w:r>
          </w:hyperlink>
        </w:p>
        <w:p w14:paraId="091A1AB9" w14:textId="05C50047" w:rsidR="00CF56AC" w:rsidRDefault="00CF56AC">
          <w:pPr>
            <w:pStyle w:val="TOC1"/>
            <w:tabs>
              <w:tab w:val="right" w:leader="dot" w:pos="10070"/>
            </w:tabs>
            <w:rPr>
              <w:rFonts w:asciiTheme="minorHAnsi" w:hAnsiTheme="minorHAnsi" w:cstheme="minorBidi"/>
              <w:b w:val="0"/>
              <w:bCs w:val="0"/>
              <w:noProof/>
              <w:color w:val="auto"/>
              <w:sz w:val="24"/>
              <w:szCs w:val="24"/>
              <w:lang w:eastAsia="en-US"/>
            </w:rPr>
          </w:pPr>
          <w:hyperlink w:anchor="_Toc229051545" w:history="1">
            <w:r w:rsidRPr="00DF10BB">
              <w:rPr>
                <w:rStyle w:val="Hyperlink"/>
                <w:noProof/>
              </w:rPr>
              <w:t>Section 5:  Procedure Codes</w:t>
            </w:r>
            <w:r>
              <w:rPr>
                <w:noProof/>
                <w:webHidden/>
              </w:rPr>
              <w:tab/>
            </w:r>
            <w:r>
              <w:rPr>
                <w:noProof/>
                <w:webHidden/>
              </w:rPr>
              <w:fldChar w:fldCharType="begin"/>
            </w:r>
            <w:r>
              <w:rPr>
                <w:noProof/>
                <w:webHidden/>
              </w:rPr>
              <w:instrText xml:space="preserve"> PAGEREF _Toc229051545 \h </w:instrText>
            </w:r>
            <w:r>
              <w:rPr>
                <w:noProof/>
                <w:webHidden/>
              </w:rPr>
            </w:r>
            <w:r>
              <w:rPr>
                <w:noProof/>
                <w:webHidden/>
              </w:rPr>
              <w:fldChar w:fldCharType="separate"/>
            </w:r>
            <w:r>
              <w:rPr>
                <w:noProof/>
                <w:webHidden/>
              </w:rPr>
              <w:t>31</w:t>
            </w:r>
            <w:r>
              <w:rPr>
                <w:noProof/>
                <w:webHidden/>
              </w:rPr>
              <w:fldChar w:fldCharType="end"/>
            </w:r>
          </w:hyperlink>
        </w:p>
        <w:p w14:paraId="497FE008" w14:textId="5F574433" w:rsidR="00CF56AC" w:rsidRDefault="00CF56AC">
          <w:pPr>
            <w:pStyle w:val="TOC2"/>
            <w:rPr>
              <w:rFonts w:asciiTheme="minorHAnsi" w:hAnsiTheme="minorHAnsi" w:cstheme="minorBidi"/>
              <w:b w:val="0"/>
              <w:bCs w:val="0"/>
              <w:noProof/>
              <w:color w:val="auto"/>
              <w:sz w:val="24"/>
              <w:szCs w:val="24"/>
              <w:lang w:eastAsia="en-US"/>
            </w:rPr>
          </w:pPr>
          <w:hyperlink w:anchor="_Toc229051546" w:history="1">
            <w:r w:rsidRPr="00DF10BB">
              <w:rPr>
                <w:rStyle w:val="Hyperlink"/>
                <w:noProof/>
              </w:rPr>
              <w:t>5.1 Waiver Personal Care</w:t>
            </w:r>
            <w:r>
              <w:rPr>
                <w:noProof/>
                <w:webHidden/>
              </w:rPr>
              <w:tab/>
            </w:r>
            <w:r>
              <w:rPr>
                <w:noProof/>
                <w:webHidden/>
              </w:rPr>
              <w:fldChar w:fldCharType="begin"/>
            </w:r>
            <w:r>
              <w:rPr>
                <w:noProof/>
                <w:webHidden/>
              </w:rPr>
              <w:instrText xml:space="preserve"> PAGEREF _Toc229051546 \h </w:instrText>
            </w:r>
            <w:r>
              <w:rPr>
                <w:noProof/>
                <w:webHidden/>
              </w:rPr>
            </w:r>
            <w:r>
              <w:rPr>
                <w:noProof/>
                <w:webHidden/>
              </w:rPr>
              <w:fldChar w:fldCharType="separate"/>
            </w:r>
            <w:r>
              <w:rPr>
                <w:noProof/>
                <w:webHidden/>
              </w:rPr>
              <w:t>32</w:t>
            </w:r>
            <w:r>
              <w:rPr>
                <w:noProof/>
                <w:webHidden/>
              </w:rPr>
              <w:fldChar w:fldCharType="end"/>
            </w:r>
          </w:hyperlink>
        </w:p>
        <w:p w14:paraId="49C26EEB" w14:textId="00B414EE" w:rsidR="00CF56AC" w:rsidRDefault="00CF56AC">
          <w:pPr>
            <w:pStyle w:val="TOC2"/>
            <w:rPr>
              <w:rFonts w:asciiTheme="minorHAnsi" w:hAnsiTheme="minorHAnsi" w:cstheme="minorBidi"/>
              <w:b w:val="0"/>
              <w:bCs w:val="0"/>
              <w:noProof/>
              <w:color w:val="auto"/>
              <w:sz w:val="24"/>
              <w:szCs w:val="24"/>
              <w:lang w:eastAsia="en-US"/>
            </w:rPr>
          </w:pPr>
          <w:hyperlink w:anchor="_Toc229051547" w:history="1">
            <w:r w:rsidRPr="00DF10BB">
              <w:rPr>
                <w:rStyle w:val="Hyperlink"/>
                <w:noProof/>
              </w:rPr>
              <w:t>5.2 Waiver Attendant Care</w:t>
            </w:r>
            <w:r>
              <w:rPr>
                <w:noProof/>
                <w:webHidden/>
              </w:rPr>
              <w:tab/>
            </w:r>
            <w:r>
              <w:rPr>
                <w:noProof/>
                <w:webHidden/>
              </w:rPr>
              <w:fldChar w:fldCharType="begin"/>
            </w:r>
            <w:r>
              <w:rPr>
                <w:noProof/>
                <w:webHidden/>
              </w:rPr>
              <w:instrText xml:space="preserve"> PAGEREF _Toc229051547 \h </w:instrText>
            </w:r>
            <w:r>
              <w:rPr>
                <w:noProof/>
                <w:webHidden/>
              </w:rPr>
            </w:r>
            <w:r>
              <w:rPr>
                <w:noProof/>
                <w:webHidden/>
              </w:rPr>
              <w:fldChar w:fldCharType="separate"/>
            </w:r>
            <w:r>
              <w:rPr>
                <w:noProof/>
                <w:webHidden/>
              </w:rPr>
              <w:t>32</w:t>
            </w:r>
            <w:r>
              <w:rPr>
                <w:noProof/>
                <w:webHidden/>
              </w:rPr>
              <w:fldChar w:fldCharType="end"/>
            </w:r>
          </w:hyperlink>
        </w:p>
        <w:p w14:paraId="4326094F" w14:textId="133A2293" w:rsidR="00CF56AC" w:rsidRDefault="00CF56AC">
          <w:pPr>
            <w:pStyle w:val="TOC2"/>
            <w:rPr>
              <w:rFonts w:asciiTheme="minorHAnsi" w:hAnsiTheme="minorHAnsi" w:cstheme="minorBidi"/>
              <w:b w:val="0"/>
              <w:bCs w:val="0"/>
              <w:noProof/>
              <w:color w:val="auto"/>
              <w:sz w:val="24"/>
              <w:szCs w:val="24"/>
              <w:lang w:eastAsia="en-US"/>
            </w:rPr>
          </w:pPr>
          <w:hyperlink w:anchor="_Toc229051548" w:history="1">
            <w:r w:rsidRPr="00DF10BB">
              <w:rPr>
                <w:rStyle w:val="Hyperlink"/>
                <w:noProof/>
              </w:rPr>
              <w:t>5.3 Specialized Medical Supplies</w:t>
            </w:r>
            <w:r>
              <w:rPr>
                <w:noProof/>
                <w:webHidden/>
              </w:rPr>
              <w:tab/>
            </w:r>
            <w:r>
              <w:rPr>
                <w:noProof/>
                <w:webHidden/>
              </w:rPr>
              <w:fldChar w:fldCharType="begin"/>
            </w:r>
            <w:r>
              <w:rPr>
                <w:noProof/>
                <w:webHidden/>
              </w:rPr>
              <w:instrText xml:space="preserve"> PAGEREF _Toc229051548 \h </w:instrText>
            </w:r>
            <w:r>
              <w:rPr>
                <w:noProof/>
                <w:webHidden/>
              </w:rPr>
            </w:r>
            <w:r>
              <w:rPr>
                <w:noProof/>
                <w:webHidden/>
              </w:rPr>
              <w:fldChar w:fldCharType="separate"/>
            </w:r>
            <w:r>
              <w:rPr>
                <w:noProof/>
                <w:webHidden/>
              </w:rPr>
              <w:t>32</w:t>
            </w:r>
            <w:r>
              <w:rPr>
                <w:noProof/>
                <w:webHidden/>
              </w:rPr>
              <w:fldChar w:fldCharType="end"/>
            </w:r>
          </w:hyperlink>
        </w:p>
        <w:p w14:paraId="4E1B690F" w14:textId="253FF0AB" w:rsidR="00CF56AC" w:rsidRDefault="00CF56AC">
          <w:r>
            <w:rPr>
              <w:b/>
              <w:bCs/>
            </w:rPr>
            <w:fldChar w:fldCharType="end"/>
          </w:r>
        </w:p>
      </w:sdtContent>
    </w:sdt>
    <w:p w14:paraId="4994175C" w14:textId="77777777" w:rsidR="00CF56AC" w:rsidRDefault="00CF56AC" w:rsidP="00CF56AC"/>
    <w:p w14:paraId="1F958FE3" w14:textId="77777777" w:rsidR="00CF56AC" w:rsidRDefault="00CF56AC" w:rsidP="00CF56AC">
      <w:pPr>
        <w:sectPr w:rsidR="00CF56AC" w:rsidSect="00CF56AC">
          <w:pgSz w:w="12240" w:h="15840"/>
          <w:pgMar w:top="1080" w:right="1080" w:bottom="1080" w:left="1080" w:header="720" w:footer="720" w:gutter="0"/>
          <w:pgNumType w:fmt="lowerRoman" w:start="1"/>
          <w:cols w:space="720"/>
          <w:noEndnote/>
          <w:docGrid w:linePitch="326"/>
        </w:sectPr>
      </w:pPr>
    </w:p>
    <w:p w14:paraId="3ACE68E6" w14:textId="77777777" w:rsidR="0033384D" w:rsidRPr="00CF56AC" w:rsidRDefault="0033384D" w:rsidP="00CF56AC">
      <w:pPr>
        <w:pStyle w:val="Introduction"/>
      </w:pPr>
      <w:bookmarkStart w:id="0" w:name="_Toc225253651"/>
      <w:r w:rsidRPr="00146CFB">
        <w:t>Introduction</w:t>
      </w:r>
      <w:bookmarkEnd w:id="0"/>
    </w:p>
    <w:p w14:paraId="1B9B1B32" w14:textId="0CDE3C4F" w:rsidR="00402D85" w:rsidRPr="002A0E56" w:rsidRDefault="0033384D" w:rsidP="002C5D18">
      <w:pPr>
        <w:rPr>
          <w:rFonts w:eastAsiaTheme="minorHAnsi"/>
        </w:rPr>
      </w:pPr>
      <w:r w:rsidRPr="002A0E56">
        <w:rPr>
          <w:rFonts w:eastAsiaTheme="minorHAnsi"/>
        </w:rPr>
        <w:t xml:space="preserve">The AIDS Waiver is designed for </w:t>
      </w:r>
      <w:r w:rsidR="00F92A2C">
        <w:rPr>
          <w:rFonts w:eastAsiaTheme="minorHAnsi"/>
        </w:rPr>
        <w:t xml:space="preserve">MO HealthNet </w:t>
      </w:r>
      <w:r w:rsidR="00A06E78" w:rsidRPr="002A0E56">
        <w:rPr>
          <w:rFonts w:eastAsiaTheme="minorHAnsi"/>
        </w:rPr>
        <w:t>partic</w:t>
      </w:r>
      <w:r w:rsidR="002346EF">
        <w:rPr>
          <w:rFonts w:eastAsiaTheme="minorHAnsi"/>
        </w:rPr>
        <w:t>i</w:t>
      </w:r>
      <w:r w:rsidR="00A06E78" w:rsidRPr="002A0E56">
        <w:rPr>
          <w:rFonts w:eastAsiaTheme="minorHAnsi"/>
        </w:rPr>
        <w:t>pants</w:t>
      </w:r>
      <w:r w:rsidR="006E6EFF" w:rsidRPr="002A0E56">
        <w:rPr>
          <w:rFonts w:eastAsiaTheme="minorHAnsi"/>
        </w:rPr>
        <w:t xml:space="preserve"> 21 </w:t>
      </w:r>
      <w:r w:rsidR="00A06E78" w:rsidRPr="002A0E56">
        <w:rPr>
          <w:rFonts w:eastAsiaTheme="minorHAnsi"/>
        </w:rPr>
        <w:t xml:space="preserve">years </w:t>
      </w:r>
      <w:r w:rsidR="006E6EFF" w:rsidRPr="002A0E56">
        <w:rPr>
          <w:rFonts w:eastAsiaTheme="minorHAnsi"/>
        </w:rPr>
        <w:t xml:space="preserve">and older </w:t>
      </w:r>
      <w:r w:rsidRPr="002A0E56">
        <w:rPr>
          <w:rFonts w:eastAsiaTheme="minorHAnsi"/>
        </w:rPr>
        <w:t xml:space="preserve">living with </w:t>
      </w:r>
      <w:r w:rsidR="001B5F28" w:rsidRPr="002A0E56">
        <w:rPr>
          <w:rFonts w:eastAsiaTheme="minorHAnsi"/>
        </w:rPr>
        <w:t>Human Immunodeficiency Virus</w:t>
      </w:r>
      <w:r w:rsidR="00F92A2C">
        <w:rPr>
          <w:rFonts w:eastAsiaTheme="minorHAnsi"/>
        </w:rPr>
        <w:t xml:space="preserve"> (HIV)</w:t>
      </w:r>
      <w:r w:rsidR="001B5F28" w:rsidRPr="002A0E56">
        <w:rPr>
          <w:rFonts w:eastAsiaTheme="minorHAnsi"/>
        </w:rPr>
        <w:t>/</w:t>
      </w:r>
      <w:proofErr w:type="gramStart"/>
      <w:r w:rsidR="001B5F28" w:rsidRPr="002A0E56">
        <w:rPr>
          <w:rFonts w:eastAsiaTheme="minorHAnsi"/>
        </w:rPr>
        <w:t>Acquired Immunodeficiency Syndrome</w:t>
      </w:r>
      <w:proofErr w:type="gramEnd"/>
      <w:r w:rsidR="001B5F28" w:rsidRPr="002A0E56">
        <w:rPr>
          <w:rFonts w:eastAsiaTheme="minorHAnsi"/>
        </w:rPr>
        <w:t xml:space="preserve"> (</w:t>
      </w:r>
      <w:r w:rsidRPr="002A0E56">
        <w:rPr>
          <w:rFonts w:eastAsiaTheme="minorHAnsi"/>
        </w:rPr>
        <w:t>HIV/AIDS</w:t>
      </w:r>
      <w:r w:rsidR="001B5F28" w:rsidRPr="002A0E56">
        <w:rPr>
          <w:rFonts w:eastAsiaTheme="minorHAnsi"/>
        </w:rPr>
        <w:t>)</w:t>
      </w:r>
      <w:r w:rsidRPr="002A0E56">
        <w:rPr>
          <w:rFonts w:eastAsiaTheme="minorHAnsi"/>
        </w:rPr>
        <w:t xml:space="preserve"> that, due to their disease, have a decreased level of function</w:t>
      </w:r>
      <w:r w:rsidR="00DE2C47" w:rsidRPr="002A0E56">
        <w:rPr>
          <w:rFonts w:eastAsiaTheme="minorHAnsi"/>
        </w:rPr>
        <w:t xml:space="preserve"> and meet nursing home level of care</w:t>
      </w:r>
      <w:r w:rsidRPr="002A0E56">
        <w:rPr>
          <w:rFonts w:eastAsiaTheme="minorHAnsi"/>
        </w:rPr>
        <w:t xml:space="preserve">. The </w:t>
      </w:r>
      <w:r w:rsidR="00A06E78" w:rsidRPr="002A0E56">
        <w:rPr>
          <w:rFonts w:eastAsiaTheme="minorHAnsi"/>
        </w:rPr>
        <w:t xml:space="preserve">AIDS </w:t>
      </w:r>
      <w:r w:rsidR="002346EF">
        <w:rPr>
          <w:rFonts w:eastAsiaTheme="minorHAnsi"/>
        </w:rPr>
        <w:t>W</w:t>
      </w:r>
      <w:r w:rsidRPr="002A0E56">
        <w:rPr>
          <w:rFonts w:eastAsiaTheme="minorHAnsi"/>
        </w:rPr>
        <w:t>aiver allows</w:t>
      </w:r>
      <w:r w:rsidR="006E6EFF" w:rsidRPr="002A0E56">
        <w:rPr>
          <w:rFonts w:eastAsiaTheme="minorHAnsi"/>
        </w:rPr>
        <w:t xml:space="preserve"> such</w:t>
      </w:r>
      <w:r w:rsidRPr="002A0E56">
        <w:rPr>
          <w:rFonts w:eastAsiaTheme="minorHAnsi"/>
        </w:rPr>
        <w:t xml:space="preserve"> </w:t>
      </w:r>
      <w:r w:rsidR="006E6EFF" w:rsidRPr="002A0E56">
        <w:rPr>
          <w:rFonts w:eastAsiaTheme="minorHAnsi"/>
        </w:rPr>
        <w:t>individuals</w:t>
      </w:r>
      <w:r w:rsidRPr="002A0E56">
        <w:rPr>
          <w:rFonts w:eastAsiaTheme="minorHAnsi"/>
        </w:rPr>
        <w:t xml:space="preserve"> to receive care in their homes as a cost-effective alternative to placement in a nursing facility.  </w:t>
      </w:r>
    </w:p>
    <w:p w14:paraId="286F0643" w14:textId="125FE8CB" w:rsidR="00DE2C47" w:rsidRDefault="00DE2C47" w:rsidP="002C5D18">
      <w:pPr>
        <w:rPr>
          <w:rFonts w:eastAsiaTheme="minorHAnsi"/>
        </w:rPr>
      </w:pPr>
      <w:r w:rsidRPr="002A0E56">
        <w:t>The AIDS Waiver provides medically</w:t>
      </w:r>
      <w:r w:rsidR="00A06E78" w:rsidRPr="002A0E56">
        <w:t xml:space="preserve"> </w:t>
      </w:r>
      <w:r w:rsidRPr="002A0E56">
        <w:t xml:space="preserve">oriented in-home services. </w:t>
      </w:r>
      <w:r w:rsidRPr="002A0E56">
        <w:rPr>
          <w:rFonts w:eastAsiaTheme="minorHAnsi"/>
        </w:rPr>
        <w:t xml:space="preserve">Services available in the AIDS Waiver </w:t>
      </w:r>
      <w:proofErr w:type="gramStart"/>
      <w:r w:rsidRPr="002A0E56">
        <w:rPr>
          <w:rFonts w:eastAsiaTheme="minorHAnsi"/>
        </w:rPr>
        <w:t>are:</w:t>
      </w:r>
      <w:proofErr w:type="gramEnd"/>
      <w:r w:rsidRPr="002A0E56">
        <w:rPr>
          <w:rFonts w:eastAsiaTheme="minorHAnsi"/>
        </w:rPr>
        <w:t xml:space="preserve"> </w:t>
      </w:r>
      <w:r w:rsidR="00054317" w:rsidRPr="002A0E56">
        <w:rPr>
          <w:rFonts w:eastAsiaTheme="minorHAnsi"/>
        </w:rPr>
        <w:t xml:space="preserve"> </w:t>
      </w:r>
      <w:r w:rsidR="006E6EFF" w:rsidRPr="002A0E56">
        <w:rPr>
          <w:rFonts w:eastAsiaTheme="minorHAnsi"/>
        </w:rPr>
        <w:t>W</w:t>
      </w:r>
      <w:r w:rsidR="00054317" w:rsidRPr="002A0E56">
        <w:rPr>
          <w:rFonts w:eastAsiaTheme="minorHAnsi"/>
        </w:rPr>
        <w:t xml:space="preserve">aiver </w:t>
      </w:r>
      <w:r w:rsidR="006E6EFF" w:rsidRPr="002A0E56">
        <w:rPr>
          <w:rFonts w:eastAsiaTheme="minorHAnsi"/>
        </w:rPr>
        <w:t>P</w:t>
      </w:r>
      <w:r w:rsidR="00054317" w:rsidRPr="002A0E56">
        <w:rPr>
          <w:rFonts w:eastAsiaTheme="minorHAnsi"/>
        </w:rPr>
        <w:t xml:space="preserve">ersonal </w:t>
      </w:r>
      <w:r w:rsidR="006E6EFF" w:rsidRPr="002A0E56">
        <w:rPr>
          <w:rFonts w:eastAsiaTheme="minorHAnsi"/>
        </w:rPr>
        <w:t>C</w:t>
      </w:r>
      <w:r w:rsidR="00054317" w:rsidRPr="002A0E56">
        <w:rPr>
          <w:rFonts w:eastAsiaTheme="minorHAnsi"/>
        </w:rPr>
        <w:t xml:space="preserve">are, </w:t>
      </w:r>
      <w:r w:rsidR="006E6EFF" w:rsidRPr="002A0E56">
        <w:rPr>
          <w:rFonts w:eastAsiaTheme="minorHAnsi"/>
        </w:rPr>
        <w:t>W</w:t>
      </w:r>
      <w:r w:rsidR="00054317" w:rsidRPr="002A0E56">
        <w:rPr>
          <w:rFonts w:eastAsiaTheme="minorHAnsi"/>
        </w:rPr>
        <w:t xml:space="preserve">aiver </w:t>
      </w:r>
      <w:r w:rsidR="006E6EFF" w:rsidRPr="002A0E56">
        <w:rPr>
          <w:rFonts w:eastAsiaTheme="minorHAnsi"/>
        </w:rPr>
        <w:t>A</w:t>
      </w:r>
      <w:r w:rsidR="00054317" w:rsidRPr="002A0E56">
        <w:rPr>
          <w:rFonts w:eastAsiaTheme="minorHAnsi"/>
        </w:rPr>
        <w:t xml:space="preserve">ttendant </w:t>
      </w:r>
      <w:r w:rsidR="006E6EFF" w:rsidRPr="002A0E56">
        <w:rPr>
          <w:rFonts w:eastAsiaTheme="minorHAnsi"/>
        </w:rPr>
        <w:t>C</w:t>
      </w:r>
      <w:r w:rsidR="00054317" w:rsidRPr="002A0E56">
        <w:rPr>
          <w:rFonts w:eastAsiaTheme="minorHAnsi"/>
        </w:rPr>
        <w:t>are</w:t>
      </w:r>
      <w:r w:rsidR="00F92A2C">
        <w:rPr>
          <w:rFonts w:eastAsiaTheme="minorHAnsi"/>
        </w:rPr>
        <w:t>,</w:t>
      </w:r>
      <w:r w:rsidR="00054317" w:rsidRPr="002A0E56">
        <w:rPr>
          <w:rFonts w:eastAsiaTheme="minorHAnsi"/>
        </w:rPr>
        <w:t xml:space="preserve"> and </w:t>
      </w:r>
      <w:r w:rsidR="00F422F1">
        <w:rPr>
          <w:rFonts w:eastAsiaTheme="minorHAnsi"/>
        </w:rPr>
        <w:t xml:space="preserve">Specialized </w:t>
      </w:r>
      <w:r w:rsidR="006E6EFF" w:rsidRPr="002A0E56">
        <w:rPr>
          <w:rFonts w:eastAsiaTheme="minorHAnsi"/>
        </w:rPr>
        <w:t>M</w:t>
      </w:r>
      <w:r w:rsidR="00054317" w:rsidRPr="002A0E56">
        <w:rPr>
          <w:rFonts w:eastAsiaTheme="minorHAnsi"/>
        </w:rPr>
        <w:t xml:space="preserve">edical </w:t>
      </w:r>
      <w:r w:rsidR="006E6EFF" w:rsidRPr="002A0E56">
        <w:rPr>
          <w:rFonts w:eastAsiaTheme="minorHAnsi"/>
        </w:rPr>
        <w:t>S</w:t>
      </w:r>
      <w:r w:rsidR="00054317" w:rsidRPr="002A0E56">
        <w:rPr>
          <w:rFonts w:eastAsiaTheme="minorHAnsi"/>
        </w:rPr>
        <w:t>upplies.</w:t>
      </w:r>
      <w:r w:rsidR="0033384D" w:rsidRPr="002A0E56">
        <w:rPr>
          <w:rFonts w:eastAsiaTheme="minorHAnsi"/>
        </w:rPr>
        <w:t xml:space="preserve">  </w:t>
      </w:r>
    </w:p>
    <w:p w14:paraId="464FFB8D" w14:textId="77777777" w:rsidR="003F51BB" w:rsidRPr="002A0E56" w:rsidRDefault="003F51BB" w:rsidP="002C5D18">
      <w:r w:rsidRPr="002A0E56">
        <w:t>It is recommended that in-home care providers practice universal precautions in the delivery of all services.</w:t>
      </w:r>
    </w:p>
    <w:p w14:paraId="05722771" w14:textId="60662A70" w:rsidR="00300851" w:rsidRPr="00146CFB" w:rsidRDefault="00723F56" w:rsidP="002669A6">
      <w:pPr>
        <w:pStyle w:val="Heading2"/>
      </w:pPr>
      <w:bookmarkStart w:id="1" w:name="_Toc225253652"/>
      <w:bookmarkStart w:id="2" w:name="_Toc229051493"/>
      <w:r w:rsidRPr="002669A6">
        <w:t>Section 1</w:t>
      </w:r>
      <w:r w:rsidR="00DD41AF" w:rsidRPr="002669A6">
        <w:t>:</w:t>
      </w:r>
      <w:r w:rsidR="00146CFB" w:rsidRPr="002669A6">
        <w:t xml:space="preserve">  </w:t>
      </w:r>
      <w:r w:rsidRPr="002669A6">
        <w:t>Reimbursement</w:t>
      </w:r>
      <w:r w:rsidRPr="00146CFB">
        <w:t xml:space="preserve"> </w:t>
      </w:r>
      <w:r w:rsidRPr="002669A6">
        <w:t>Methodology</w:t>
      </w:r>
      <w:bookmarkEnd w:id="1"/>
      <w:bookmarkEnd w:id="2"/>
      <w:r w:rsidRPr="00146CFB">
        <w:t xml:space="preserve"> </w:t>
      </w:r>
    </w:p>
    <w:p w14:paraId="2624BD25" w14:textId="55EEBA4D" w:rsidR="002B0F88" w:rsidRPr="00F67153" w:rsidRDefault="0028145D" w:rsidP="002669A6">
      <w:pPr>
        <w:pStyle w:val="Heading3"/>
      </w:pPr>
      <w:bookmarkStart w:id="3" w:name="_Toc225253653"/>
      <w:bookmarkStart w:id="4" w:name="_Toc229051494"/>
      <w:r w:rsidRPr="00F67153">
        <w:t>1.</w:t>
      </w:r>
      <w:r w:rsidR="005762AF" w:rsidRPr="00F67153">
        <w:t>1</w:t>
      </w:r>
      <w:r w:rsidR="00F67153">
        <w:t xml:space="preserve"> </w:t>
      </w:r>
      <w:r w:rsidR="00CA4655" w:rsidRPr="00F67153">
        <w:t xml:space="preserve">AIDS </w:t>
      </w:r>
      <w:r w:rsidRPr="00F67153">
        <w:t>Waiver Services</w:t>
      </w:r>
      <w:bookmarkEnd w:id="3"/>
      <w:bookmarkEnd w:id="4"/>
    </w:p>
    <w:p w14:paraId="6E3BD9BD" w14:textId="3FBCA0FA" w:rsidR="005B06A2" w:rsidRPr="00913E9A" w:rsidRDefault="00A87BA4" w:rsidP="00913E9A">
      <w:pPr>
        <w:spacing w:line="276" w:lineRule="auto"/>
      </w:pPr>
      <w:bookmarkStart w:id="5" w:name="_Toc224738020"/>
      <w:r w:rsidRPr="002C5D18">
        <w:t xml:space="preserve">Reimbursement for </w:t>
      </w:r>
      <w:r w:rsidR="00B73B5A" w:rsidRPr="002C5D18">
        <w:t xml:space="preserve">AIDS </w:t>
      </w:r>
      <w:r w:rsidR="005F3813" w:rsidRPr="002C5D18">
        <w:t>W</w:t>
      </w:r>
      <w:r w:rsidR="00B73B5A" w:rsidRPr="002C5D18">
        <w:t>aiver</w:t>
      </w:r>
      <w:r w:rsidR="00DB2007" w:rsidRPr="002C5D18">
        <w:t xml:space="preserve"> </w:t>
      </w:r>
      <w:r w:rsidRPr="002C5D18">
        <w:t xml:space="preserve">services </w:t>
      </w:r>
      <w:r w:rsidR="00A06E78" w:rsidRPr="002C5D18">
        <w:t xml:space="preserve">are </w:t>
      </w:r>
      <w:r w:rsidRPr="002C5D18">
        <w:t xml:space="preserve">made on a </w:t>
      </w:r>
      <w:r w:rsidR="00302633" w:rsidRPr="002C5D18">
        <w:t>Fee</w:t>
      </w:r>
      <w:r w:rsidRPr="002C5D18">
        <w:t>-</w:t>
      </w:r>
      <w:r w:rsidR="00302633" w:rsidRPr="002C5D18">
        <w:t>For</w:t>
      </w:r>
      <w:r w:rsidRPr="002C5D18">
        <w:t>-</w:t>
      </w:r>
      <w:r w:rsidR="00302633" w:rsidRPr="002C5D18">
        <w:t xml:space="preserve">Service (FFS) </w:t>
      </w:r>
      <w:r w:rsidRPr="002C5D18">
        <w:t xml:space="preserve">basis. The maximum allowable fee for a unit of service has been determined by the </w:t>
      </w:r>
      <w:r w:rsidR="00302633" w:rsidRPr="002C5D18">
        <w:t>MO HealthNet Division (MHD)</w:t>
      </w:r>
      <w:r w:rsidRPr="002C5D18">
        <w:t xml:space="preserve"> to be a reasonable fee, consistent with efficiency, economy, and quality of care. Payment for covered services is the lower of the provider's actual </w:t>
      </w:r>
      <w:r w:rsidR="00B4785B" w:rsidRPr="002C5D18">
        <w:t xml:space="preserve">billed </w:t>
      </w:r>
      <w:r w:rsidRPr="002C5D18">
        <w:t>charge</w:t>
      </w:r>
      <w:r w:rsidR="00DB2007" w:rsidRPr="002C5D18">
        <w:t xml:space="preserve"> (should be the provider’s charge to the </w:t>
      </w:r>
      <w:proofErr w:type="gramStart"/>
      <w:r w:rsidR="00DB2007" w:rsidRPr="002C5D18">
        <w:t>general public</w:t>
      </w:r>
      <w:proofErr w:type="gramEnd"/>
      <w:r w:rsidR="00DB2007" w:rsidRPr="002C5D18">
        <w:t xml:space="preserve"> for the service),</w:t>
      </w:r>
      <w:r w:rsidRPr="002C5D18">
        <w:t xml:space="preserve"> or the maximum allowable per unit of service</w:t>
      </w:r>
      <w:r w:rsidRPr="00102731">
        <w:rPr>
          <w:bCs/>
        </w:rPr>
        <w:t>.</w:t>
      </w:r>
      <w:bookmarkEnd w:id="5"/>
    </w:p>
    <w:p w14:paraId="3E964F51" w14:textId="04726B59" w:rsidR="00A87BA4" w:rsidRPr="00F67153" w:rsidRDefault="0028145D" w:rsidP="002669A6">
      <w:pPr>
        <w:pStyle w:val="Heading3"/>
      </w:pPr>
      <w:bookmarkStart w:id="6" w:name="_Toc225253654"/>
      <w:bookmarkStart w:id="7" w:name="_Toc229051495"/>
      <w:r w:rsidRPr="00F67153">
        <w:t>1.</w:t>
      </w:r>
      <w:r w:rsidR="005762AF" w:rsidRPr="00F67153">
        <w:t>2</w:t>
      </w:r>
      <w:r w:rsidR="00F67153">
        <w:t xml:space="preserve"> </w:t>
      </w:r>
      <w:r w:rsidRPr="00F67153">
        <w:t>Fee Schedule</w:t>
      </w:r>
      <w:bookmarkEnd w:id="6"/>
      <w:bookmarkEnd w:id="7"/>
    </w:p>
    <w:p w14:paraId="276D9C56" w14:textId="6A75A209" w:rsidR="00A87BA4" w:rsidRPr="00887137" w:rsidRDefault="00A87BA4" w:rsidP="002C5D18">
      <w:r w:rsidRPr="00887137">
        <w:t xml:space="preserve">The </w:t>
      </w:r>
      <w:r w:rsidR="00302633" w:rsidRPr="00887137">
        <w:t xml:space="preserve">MO HealthNet </w:t>
      </w:r>
      <w:hyperlink r:id="rId14" w:history="1">
        <w:r w:rsidRPr="00A45133">
          <w:rPr>
            <w:rStyle w:val="Hyperlink"/>
          </w:rPr>
          <w:t>Fee Schedule</w:t>
        </w:r>
      </w:hyperlink>
      <w:r w:rsidRPr="00887137">
        <w:t xml:space="preserve"> identifies covered and non-covered procedure codes, restrictions, allowed units and the allowable fee per unit. The Fee Schedule is updated </w:t>
      </w:r>
      <w:r w:rsidR="00F92A2C" w:rsidRPr="00887137">
        <w:t xml:space="preserve">monthly </w:t>
      </w:r>
      <w:r w:rsidRPr="00887137">
        <w:t>and is intended as a reference</w:t>
      </w:r>
      <w:r w:rsidR="00F92A2C" w:rsidRPr="00887137">
        <w:t>,</w:t>
      </w:r>
      <w:r w:rsidRPr="00887137">
        <w:t xml:space="preserve"> </w:t>
      </w:r>
      <w:r w:rsidRPr="00887137">
        <w:rPr>
          <w:rStyle w:val="Itlc"/>
          <w:i w:val="0"/>
          <w:iCs/>
          <w:color w:val="auto"/>
        </w:rPr>
        <w:t>not</w:t>
      </w:r>
      <w:r w:rsidRPr="00887137">
        <w:rPr>
          <w:i/>
        </w:rPr>
        <w:t xml:space="preserve"> </w:t>
      </w:r>
      <w:r w:rsidRPr="00887137">
        <w:t>a guarantee for payment.</w:t>
      </w:r>
    </w:p>
    <w:p w14:paraId="331354C7" w14:textId="236B258C" w:rsidR="00A87BA4" w:rsidRPr="00887137" w:rsidRDefault="00A87BA4" w:rsidP="002C5D18">
      <w:r w:rsidRPr="00887137">
        <w:t xml:space="preserve">The </w:t>
      </w:r>
      <w:hyperlink r:id="rId15" w:history="1">
        <w:r w:rsidRPr="00A45133">
          <w:rPr>
            <w:rStyle w:val="Hyperlink"/>
          </w:rPr>
          <w:t>Fee Schedule</w:t>
        </w:r>
      </w:hyperlink>
      <w:r w:rsidRPr="00887137">
        <w:t xml:space="preserve"> allows for the downloading of individual files or the search for a specific fee schedule. Some procedure codes may be billed by multiple provider types. Categories within the Fee Schedule are set up by the service rendered and are </w:t>
      </w:r>
      <w:r w:rsidRPr="00887137">
        <w:rPr>
          <w:rStyle w:val="Itlc"/>
          <w:i w:val="0"/>
          <w:iCs/>
          <w:color w:val="auto"/>
        </w:rPr>
        <w:t>not</w:t>
      </w:r>
      <w:r w:rsidRPr="00887137">
        <w:rPr>
          <w:i/>
        </w:rPr>
        <w:t xml:space="preserve"> </w:t>
      </w:r>
      <w:r w:rsidRPr="00887137">
        <w:t xml:space="preserve">necessarily </w:t>
      </w:r>
      <w:proofErr w:type="gramStart"/>
      <w:r w:rsidRPr="00887137">
        <w:t>provider</w:t>
      </w:r>
      <w:r w:rsidR="00CC25AD" w:rsidRPr="00887137">
        <w:t>-</w:t>
      </w:r>
      <w:r w:rsidRPr="00887137">
        <w:t>specific</w:t>
      </w:r>
      <w:proofErr w:type="gramEnd"/>
      <w:r w:rsidRPr="00887137">
        <w:t>.</w:t>
      </w:r>
    </w:p>
    <w:p w14:paraId="07A81F5A" w14:textId="175754A0" w:rsidR="00815B2F" w:rsidRPr="002A0E56" w:rsidRDefault="00A87BA4" w:rsidP="002C5D18">
      <w:r w:rsidRPr="00887137">
        <w:t xml:space="preserve">Refer to </w:t>
      </w:r>
      <w:hyperlink w:anchor="_Section_2:_" w:history="1">
        <w:r w:rsidRPr="00A52137">
          <w:rPr>
            <w:rStyle w:val="Hyperlink"/>
          </w:rPr>
          <w:t xml:space="preserve">Section </w:t>
        </w:r>
        <w:r w:rsidR="00A52042" w:rsidRPr="00A52137">
          <w:rPr>
            <w:rStyle w:val="Hyperlink"/>
          </w:rPr>
          <w:t>2</w:t>
        </w:r>
      </w:hyperlink>
      <w:r w:rsidR="00A52042" w:rsidRPr="00887137">
        <w:t xml:space="preserve"> </w:t>
      </w:r>
      <w:r w:rsidR="00EF0940" w:rsidRPr="00887137">
        <w:t xml:space="preserve">of this manual </w:t>
      </w:r>
      <w:r w:rsidRPr="00887137">
        <w:t>for program</w:t>
      </w:r>
      <w:r w:rsidR="00096631" w:rsidRPr="00887137">
        <w:t>-</w:t>
      </w:r>
      <w:r w:rsidRPr="00887137">
        <w:t>specific benefits and limitations</w:t>
      </w:r>
      <w:r w:rsidRPr="002A0E56">
        <w:t>.</w:t>
      </w:r>
    </w:p>
    <w:p w14:paraId="57C776FE" w14:textId="7E2D583F" w:rsidR="00D14326" w:rsidRPr="00F67153" w:rsidRDefault="00D14326" w:rsidP="002669A6">
      <w:pPr>
        <w:pStyle w:val="Heading2"/>
        <w:rPr>
          <w:rStyle w:val="placement"/>
          <w:vanish w:val="0"/>
          <w:color w:val="E56300"/>
          <w:sz w:val="32"/>
        </w:rPr>
      </w:pPr>
      <w:bookmarkStart w:id="8" w:name="AIDAppforProDirDep"/>
      <w:bookmarkStart w:id="9" w:name="_SECTION_13—BENEFITS_AND"/>
      <w:bookmarkStart w:id="10" w:name="_Section_2:_"/>
      <w:bookmarkStart w:id="11" w:name="_Toc225253655"/>
      <w:bookmarkStart w:id="12" w:name="_Toc229051496"/>
      <w:bookmarkEnd w:id="8"/>
      <w:bookmarkEnd w:id="9"/>
      <w:bookmarkEnd w:id="10"/>
      <w:r w:rsidRPr="00F67153">
        <w:t>Section 2</w:t>
      </w:r>
      <w:r w:rsidR="00DD41AF" w:rsidRPr="00F67153">
        <w:t>:</w:t>
      </w:r>
      <w:r w:rsidR="00F67153">
        <w:t xml:space="preserve">  </w:t>
      </w:r>
      <w:r w:rsidRPr="00F67153">
        <w:t>Benefits and Limitations</w:t>
      </w:r>
      <w:bookmarkEnd w:id="11"/>
      <w:bookmarkEnd w:id="12"/>
      <w:r w:rsidRPr="00F67153">
        <w:t xml:space="preserve"> </w:t>
      </w:r>
    </w:p>
    <w:p w14:paraId="1A2CCA10" w14:textId="2274D0CB" w:rsidR="00D14326" w:rsidRPr="00F67153" w:rsidRDefault="00D14326" w:rsidP="002669A6">
      <w:pPr>
        <w:pStyle w:val="Heading3"/>
      </w:pPr>
      <w:bookmarkStart w:id="13" w:name="_2.1_General_Information"/>
      <w:bookmarkStart w:id="14" w:name="_2.1_Covered"/>
      <w:bookmarkStart w:id="15" w:name="_Toc225253656"/>
      <w:bookmarkStart w:id="16" w:name="_Toc229051497"/>
      <w:bookmarkEnd w:id="13"/>
      <w:bookmarkEnd w:id="14"/>
      <w:r w:rsidRPr="00F67153">
        <w:t>2.1</w:t>
      </w:r>
      <w:r w:rsidR="00F67153">
        <w:t xml:space="preserve"> </w:t>
      </w:r>
      <w:r w:rsidRPr="00F67153">
        <w:t>General Information</w:t>
      </w:r>
      <w:bookmarkEnd w:id="15"/>
      <w:bookmarkEnd w:id="16"/>
    </w:p>
    <w:p w14:paraId="43508ED8" w14:textId="4B7EB91D" w:rsidR="00D14326" w:rsidRPr="002A0E56" w:rsidRDefault="00D14326" w:rsidP="002C5D18">
      <w:r w:rsidRPr="002A0E56">
        <w:t xml:space="preserve">The authority for this program is a </w:t>
      </w:r>
      <w:proofErr w:type="gramStart"/>
      <w:r w:rsidRPr="002A0E56">
        <w:t>federally</w:t>
      </w:r>
      <w:r w:rsidR="00B229F3">
        <w:t>-</w:t>
      </w:r>
      <w:r w:rsidRPr="002A0E56">
        <w:t>approved</w:t>
      </w:r>
      <w:proofErr w:type="gramEnd"/>
      <w:r w:rsidRPr="002A0E56">
        <w:t xml:space="preserve"> waiver under Section 1915(c) of the Social Security Act. Under this section, the Secretary of Health and Human Services may approve by waiver the inclusion of home and community-based services not otherwise covered by a state's Medicaid Plan. The AIDS Waiver is administered jointly by the Missouri Department of Social Services/MO HealthNet Division (DSS/MHD) and </w:t>
      </w:r>
      <w:r w:rsidR="001B5F28" w:rsidRPr="002A0E56">
        <w:t>the Department of Health and Senior Services (</w:t>
      </w:r>
      <w:r w:rsidRPr="002A0E56">
        <w:t>DHSS</w:t>
      </w:r>
      <w:r w:rsidR="001B5F28" w:rsidRPr="002A0E56">
        <w:t>)</w:t>
      </w:r>
      <w:r w:rsidRPr="002A0E56">
        <w:t xml:space="preserve"> according to an interagency agreement.</w:t>
      </w:r>
    </w:p>
    <w:p w14:paraId="0484D5CE" w14:textId="6459B66F" w:rsidR="00D14326" w:rsidRPr="002A0E56" w:rsidRDefault="00D14326" w:rsidP="002C5D18">
      <w:r w:rsidRPr="002A0E56">
        <w:t xml:space="preserve">The approval and continued operation of the waiver are contingent upon a yearly demonstration that the average annual per capita Medicaid expenditure with the AIDS Waiver does </w:t>
      </w:r>
      <w:r w:rsidRPr="002A0E56">
        <w:rPr>
          <w:rStyle w:val="Itlc"/>
          <w:i w:val="0"/>
          <w:color w:val="auto"/>
        </w:rPr>
        <w:t>not</w:t>
      </w:r>
      <w:r w:rsidRPr="002A0E56">
        <w:t xml:space="preserve"> exceed the average per capita expenditure, that would have been made under the State Medicaid Program had the AIDS Waiver </w:t>
      </w:r>
      <w:r w:rsidRPr="002A0E56">
        <w:rPr>
          <w:rStyle w:val="Itlc"/>
          <w:i w:val="0"/>
          <w:color w:val="auto"/>
        </w:rPr>
        <w:t>not</w:t>
      </w:r>
      <w:r w:rsidRPr="002A0E56">
        <w:t xml:space="preserve"> been implemented. To prove cost effectiveness, </w:t>
      </w:r>
      <w:r w:rsidR="001B5F28" w:rsidRPr="002A0E56">
        <w:t xml:space="preserve">the </w:t>
      </w:r>
      <w:r w:rsidRPr="002A0E56">
        <w:t>DHSS</w:t>
      </w:r>
      <w:r w:rsidR="00A50C78">
        <w:t xml:space="preserve"> </w:t>
      </w:r>
      <w:r w:rsidR="001B5F28" w:rsidRPr="002A0E56">
        <w:t>Bureau of HIV, STD, and Hepatitis (</w:t>
      </w:r>
      <w:r w:rsidRPr="002A0E56">
        <w:t>BHSH</w:t>
      </w:r>
      <w:r w:rsidR="001B5F28" w:rsidRPr="002A0E56">
        <w:t>)</w:t>
      </w:r>
      <w:r w:rsidRPr="002A0E56">
        <w:t xml:space="preserve"> </w:t>
      </w:r>
      <w:r w:rsidRPr="002A0E56">
        <w:rPr>
          <w:rStyle w:val="Itlc"/>
          <w:i w:val="0"/>
          <w:color w:val="auto"/>
        </w:rPr>
        <w:t>must</w:t>
      </w:r>
      <w:r w:rsidRPr="002A0E56">
        <w:t xml:space="preserve"> demonstrate that the cumulative cost of home and community-based services for participants does </w:t>
      </w:r>
      <w:r w:rsidRPr="002A0E56">
        <w:rPr>
          <w:rStyle w:val="Itlc"/>
          <w:i w:val="0"/>
          <w:color w:val="auto"/>
        </w:rPr>
        <w:t>not</w:t>
      </w:r>
      <w:r w:rsidRPr="002A0E56">
        <w:t xml:space="preserve"> exceed the cost of the institutional care that participants would require in the absence of the waiver.</w:t>
      </w:r>
    </w:p>
    <w:p w14:paraId="770AF16F" w14:textId="0A4305A1" w:rsidR="0025695A" w:rsidRPr="002A0E56" w:rsidRDefault="0025695A" w:rsidP="002C5D18">
      <w:r w:rsidRPr="002A0E56">
        <w:t xml:space="preserve">A functional assessment is completed by </w:t>
      </w:r>
      <w:r w:rsidR="00DF3D1E">
        <w:t>AIDS W</w:t>
      </w:r>
      <w:r w:rsidRPr="002A0E56">
        <w:t xml:space="preserve">aiver case managers from local health departments and community-based organizations with which DHSS/BHSH </w:t>
      </w:r>
      <w:r w:rsidR="00334A82">
        <w:t>has</w:t>
      </w:r>
      <w:r w:rsidR="00334A82" w:rsidRPr="002A0E56">
        <w:t xml:space="preserve"> </w:t>
      </w:r>
      <w:r w:rsidRPr="002A0E56">
        <w:t xml:space="preserve">contracts to complete this function. </w:t>
      </w:r>
      <w:r w:rsidR="00DF3D1E">
        <w:t xml:space="preserve">AIDS </w:t>
      </w:r>
      <w:r w:rsidRPr="002A0E56">
        <w:t xml:space="preserve">Waiver case managers determine eligibility for both State Plan </w:t>
      </w:r>
      <w:r w:rsidR="002A4469">
        <w:t>P</w:t>
      </w:r>
      <w:r w:rsidR="002A4469" w:rsidRPr="002A0E56">
        <w:t xml:space="preserve">ersonal </w:t>
      </w:r>
      <w:r w:rsidR="002A4469">
        <w:t>C</w:t>
      </w:r>
      <w:r w:rsidRPr="002A0E56">
        <w:t xml:space="preserve">are and AIDS Waiver services. </w:t>
      </w:r>
    </w:p>
    <w:p w14:paraId="79DD38F7" w14:textId="34D59904" w:rsidR="00D14326" w:rsidRPr="002A0E56" w:rsidRDefault="00D14326" w:rsidP="002C5D18">
      <w:r w:rsidRPr="002A0E56">
        <w:t xml:space="preserve">Several of the services offered through the AIDS Waiver are already covered by </w:t>
      </w:r>
      <w:r w:rsidR="009150CC">
        <w:t>MO HealthNet</w:t>
      </w:r>
      <w:r w:rsidRPr="002A0E56">
        <w:t xml:space="preserve">, but under the waiver, program limitations are removed or expanded to meet the extensive needs of these participants. </w:t>
      </w:r>
    </w:p>
    <w:p w14:paraId="36DF4F7F" w14:textId="65258FD8" w:rsidR="00D14326" w:rsidRPr="00887137" w:rsidRDefault="00D14326" w:rsidP="002669A6">
      <w:pPr>
        <w:pStyle w:val="Heading4"/>
        <w:rPr>
          <w:i/>
        </w:rPr>
      </w:pPr>
      <w:bookmarkStart w:id="17" w:name="_Toc229051498"/>
      <w:r w:rsidRPr="00A52137">
        <w:t>Service Definitions</w:t>
      </w:r>
      <w:bookmarkEnd w:id="17"/>
    </w:p>
    <w:p w14:paraId="2FF9870A" w14:textId="0B510609" w:rsidR="00D14326" w:rsidRPr="002A0E56" w:rsidRDefault="00D14326" w:rsidP="002C5D18">
      <w:r w:rsidRPr="002A0E56">
        <w:t>The following services are available under the AIDS Waiver and are provided on a prior authorized</w:t>
      </w:r>
      <w:r w:rsidR="004914CF">
        <w:t>.</w:t>
      </w:r>
      <w:r w:rsidRPr="002A0E56">
        <w:t xml:space="preserve"> basis which eliminates the duplication and overlap in services by not providing the same service at the same time on the same day. </w:t>
      </w:r>
    </w:p>
    <w:p w14:paraId="6AD6DE6E" w14:textId="4AA6E863" w:rsidR="00D14326" w:rsidRPr="002608F9" w:rsidRDefault="00D14326" w:rsidP="002669A6">
      <w:pPr>
        <w:pStyle w:val="Heading4"/>
      </w:pPr>
      <w:bookmarkStart w:id="18" w:name="_Toc229051499"/>
      <w:r w:rsidRPr="002608F9">
        <w:t>Waiver Personal Care</w:t>
      </w:r>
      <w:bookmarkEnd w:id="18"/>
    </w:p>
    <w:p w14:paraId="50201DE4" w14:textId="77777777" w:rsidR="00D14326" w:rsidRPr="002A0E56" w:rsidRDefault="00D14326" w:rsidP="002C5D18">
      <w:r w:rsidRPr="002A0E56">
        <w:t xml:space="preserve">Waiver personal care services are </w:t>
      </w:r>
      <w:proofErr w:type="gramStart"/>
      <w:r w:rsidRPr="002A0E56">
        <w:t>medically</w:t>
      </w:r>
      <w:r w:rsidR="00800889">
        <w:t>-</w:t>
      </w:r>
      <w:r w:rsidRPr="002A0E56">
        <w:t>oriented</w:t>
      </w:r>
      <w:proofErr w:type="gramEnd"/>
      <w:r w:rsidRPr="002A0E56">
        <w:t xml:space="preserve"> tasks that are authorized by the </w:t>
      </w:r>
      <w:r w:rsidR="00DF3D1E">
        <w:t>AIDS W</w:t>
      </w:r>
      <w:r w:rsidRPr="002A0E56">
        <w:t xml:space="preserve">aiver case manager to meet a participant’s physical needs and thereby enable the individual to receive treatment in the individual’s home rather than in a hospital or nursing facility. These services must be reasonable and necessary for the treatment of a medical condition and must maintain or increase the functional capacity of the participant. Waiver personal care services are intended to meet personal and physical requirements as opposed to general housekeeping requirements and to meet needs that cannot be met by other resources. </w:t>
      </w:r>
    </w:p>
    <w:p w14:paraId="7B279E73" w14:textId="7ED60803" w:rsidR="00D14326" w:rsidRPr="00AA7956" w:rsidRDefault="00D14326" w:rsidP="002C5D18">
      <w:pPr>
        <w:rPr>
          <w:b/>
          <w:color w:val="04427D"/>
        </w:rPr>
      </w:pPr>
      <w:r w:rsidRPr="005C456E">
        <w:t>AIDS Waiver services may be provided to eligible participants in residential care facilities</w:t>
      </w:r>
      <w:r w:rsidR="001611D9">
        <w:t xml:space="preserve"> (RCFs)</w:t>
      </w:r>
      <w:r w:rsidRPr="005C456E">
        <w:t xml:space="preserve"> that meet applicable standards specified in </w:t>
      </w:r>
      <w:r w:rsidR="000A0524" w:rsidRPr="005C456E">
        <w:t>the</w:t>
      </w:r>
      <w:r w:rsidRPr="005C456E">
        <w:rPr>
          <w:color w:val="F79646" w:themeColor="accent6"/>
        </w:rPr>
        <w:t xml:space="preserve"> </w:t>
      </w:r>
      <w:hyperlink r:id="rId16" w:history="1">
        <w:r w:rsidR="00A13B2E" w:rsidRPr="00A45133">
          <w:rPr>
            <w:rStyle w:val="Hyperlink"/>
          </w:rPr>
          <w:t>S</w:t>
        </w:r>
        <w:r w:rsidRPr="00A45133">
          <w:rPr>
            <w:rStyle w:val="Hyperlink"/>
          </w:rPr>
          <w:t>ection 1616(e) of the Social Security Act (45 CFR 1397)</w:t>
        </w:r>
        <w:r w:rsidRPr="00AA7956">
          <w:rPr>
            <w:rStyle w:val="Hyperlink"/>
            <w:b w:val="0"/>
            <w:u w:val="none"/>
          </w:rPr>
          <w:t>.</w:t>
        </w:r>
      </w:hyperlink>
    </w:p>
    <w:p w14:paraId="39F68DD3" w14:textId="29F5CA93" w:rsidR="00D14326" w:rsidRDefault="00D14326" w:rsidP="002C5D18">
      <w:r w:rsidRPr="002A0E56">
        <w:t xml:space="preserve">Waiver personal care services may include assistance with activities of daily living </w:t>
      </w:r>
      <w:r w:rsidR="00B273C4">
        <w:t xml:space="preserve">(ADLs), </w:t>
      </w:r>
      <w:r w:rsidRPr="002A0E56">
        <w:t>such as bathing, grooming, dressing</w:t>
      </w:r>
      <w:r w:rsidR="00592CCB">
        <w:t>,</w:t>
      </w:r>
      <w:r w:rsidRPr="002A0E56">
        <w:t xml:space="preserve"> and meal preparation. State Plan Personal Care</w:t>
      </w:r>
      <w:r w:rsidR="00935BAE" w:rsidRPr="002A0E56">
        <w:t xml:space="preserve"> (SPPC)</w:t>
      </w:r>
      <w:r w:rsidRPr="002A0E56">
        <w:t xml:space="preserve"> services are limited by a financial cap, set in state regulation. The waiver personal care services provided under the waiver are </w:t>
      </w:r>
      <w:proofErr w:type="gramStart"/>
      <w:r w:rsidRPr="002A0E56">
        <w:t>in excess of</w:t>
      </w:r>
      <w:proofErr w:type="gramEnd"/>
      <w:r w:rsidRPr="002A0E56">
        <w:t xml:space="preserve"> the benefit available under the SPPC Program. Each month</w:t>
      </w:r>
      <w:r w:rsidR="00CA66A7">
        <w:t>,</w:t>
      </w:r>
      <w:r w:rsidRPr="002A0E56">
        <w:t xml:space="preserve"> participants must exhaust or use the current maximum units of </w:t>
      </w:r>
      <w:r w:rsidR="00935BAE" w:rsidRPr="002A0E56">
        <w:t>SPPC</w:t>
      </w:r>
      <w:r w:rsidRPr="002A0E56">
        <w:t xml:space="preserve"> services prior to receipt of waiver personal care</w:t>
      </w:r>
      <w:r w:rsidR="00935BAE" w:rsidRPr="002A0E56">
        <w:t xml:space="preserve"> services</w:t>
      </w:r>
      <w:r w:rsidRPr="002A0E56">
        <w:t xml:space="preserve">. </w:t>
      </w:r>
    </w:p>
    <w:p w14:paraId="2EBA1AA6" w14:textId="45698B93" w:rsidR="00592CCB" w:rsidRPr="00AA7956" w:rsidRDefault="00592CCB" w:rsidP="00AA7956">
      <w:pPr>
        <w:pStyle w:val="Heading4"/>
      </w:pPr>
      <w:bookmarkStart w:id="19" w:name="_Toc229051500"/>
      <w:r w:rsidRPr="00AA7956">
        <w:t>Limitations</w:t>
      </w:r>
      <w:bookmarkEnd w:id="19"/>
    </w:p>
    <w:p w14:paraId="42ABAECB" w14:textId="73FE5EAA" w:rsidR="00D14326" w:rsidRPr="002A0E56" w:rsidRDefault="00592CCB" w:rsidP="00AA7956">
      <w:pPr>
        <w:pStyle w:val="Text3"/>
        <w:spacing w:line="276" w:lineRule="auto"/>
        <w:ind w:left="0"/>
        <w:rPr>
          <w:bCs/>
        </w:rPr>
      </w:pPr>
      <w:r>
        <w:rPr>
          <w:bCs/>
        </w:rPr>
        <w:t>The following are l</w:t>
      </w:r>
      <w:r w:rsidR="00D14326" w:rsidRPr="002A0E56">
        <w:rPr>
          <w:bCs/>
        </w:rPr>
        <w:t>imitations</w:t>
      </w:r>
      <w:r w:rsidR="00935BAE" w:rsidRPr="002A0E56">
        <w:rPr>
          <w:bCs/>
        </w:rPr>
        <w:t xml:space="preserve"> to waiver personal care services</w:t>
      </w:r>
      <w:r w:rsidR="00D14326" w:rsidRPr="002A0E56">
        <w:rPr>
          <w:bCs/>
        </w:rPr>
        <w:t xml:space="preserve">:  </w:t>
      </w:r>
    </w:p>
    <w:p w14:paraId="1B1AE415" w14:textId="0082867D" w:rsidR="00592CCB" w:rsidRPr="00B76CE0" w:rsidRDefault="00935BAE" w:rsidP="00AA7956">
      <w:pPr>
        <w:pStyle w:val="ListBullet"/>
        <w:rPr>
          <w:b/>
          <w:bCs/>
        </w:rPr>
      </w:pPr>
      <w:r w:rsidRPr="002A0E56">
        <w:t>C</w:t>
      </w:r>
      <w:r w:rsidR="00D14326" w:rsidRPr="002A0E56">
        <w:t>overed only in the participant’s home or licensed residential setting where the participant resides</w:t>
      </w:r>
    </w:p>
    <w:p w14:paraId="4F5D851A" w14:textId="2A6E1E16" w:rsidR="00D14326" w:rsidRPr="00B76CE0" w:rsidRDefault="00D14326" w:rsidP="00AA7956">
      <w:pPr>
        <w:pStyle w:val="ListBullet"/>
        <w:rPr>
          <w:b/>
          <w:bCs/>
        </w:rPr>
      </w:pPr>
      <w:r w:rsidRPr="002A0E56">
        <w:t>Services are not covered in a hospital or nursing facility</w:t>
      </w:r>
    </w:p>
    <w:p w14:paraId="70958669" w14:textId="3F96E1BB" w:rsidR="00223805" w:rsidRPr="00223805" w:rsidRDefault="00223805" w:rsidP="00AA7956">
      <w:pPr>
        <w:pStyle w:val="ListBullet"/>
        <w:rPr>
          <w:b/>
          <w:bCs/>
        </w:rPr>
      </w:pPr>
      <w:r w:rsidRPr="002A0E56">
        <w:t xml:space="preserve">Waiver personal care aides may accompany and </w:t>
      </w:r>
      <w:proofErr w:type="gramStart"/>
      <w:r w:rsidRPr="002A0E56">
        <w:t>provide assistance to</w:t>
      </w:r>
      <w:proofErr w:type="gramEnd"/>
      <w:r w:rsidRPr="002A0E56">
        <w:t xml:space="preserve"> participants during transport to receive non-emergency medical care, whereas the aide under personal care cannot</w:t>
      </w:r>
    </w:p>
    <w:p w14:paraId="51C80ABD" w14:textId="12E5FB8C" w:rsidR="00D14326" w:rsidRPr="002A0E56" w:rsidRDefault="00D14326" w:rsidP="00AA7956">
      <w:pPr>
        <w:pStyle w:val="ListBullet"/>
      </w:pPr>
      <w:r w:rsidRPr="002A0E56">
        <w:t xml:space="preserve">Reimbursement is not made when services are provided to a participant by a member of the participant’s family. </w:t>
      </w:r>
      <w:r w:rsidR="00E30390">
        <w:t>A family member is defined as a spouse; parent; sibling; child by blood, adoption or marriage (</w:t>
      </w:r>
      <w:proofErr w:type="gramStart"/>
      <w:r w:rsidR="00E30390">
        <w:t>step-child</w:t>
      </w:r>
      <w:proofErr w:type="gramEnd"/>
      <w:r w:rsidR="00E30390">
        <w:t>); grandparent; or grandchild.</w:t>
      </w:r>
    </w:p>
    <w:p w14:paraId="1FEA6607" w14:textId="77777777" w:rsidR="00D14326" w:rsidRPr="00A52137" w:rsidRDefault="00D14326" w:rsidP="00AA7956">
      <w:pPr>
        <w:pStyle w:val="Heading4"/>
      </w:pPr>
      <w:bookmarkStart w:id="20" w:name="_Toc229051501"/>
      <w:r w:rsidRPr="00A52137">
        <w:t>Waiver Attendant Care</w:t>
      </w:r>
      <w:bookmarkEnd w:id="20"/>
    </w:p>
    <w:p w14:paraId="702C9B94" w14:textId="77777777" w:rsidR="00A9677E" w:rsidRDefault="00D14326" w:rsidP="00AA7956">
      <w:r w:rsidRPr="002A0E56">
        <w:t>Waiver Attendant Care (WAC) offers supportive and health-related personal care services</w:t>
      </w:r>
      <w:r w:rsidR="00232566" w:rsidRPr="002A0E56">
        <w:t>. T</w:t>
      </w:r>
      <w:r w:rsidRPr="002A0E56">
        <w:t>hese services are provided in the participant’s home</w:t>
      </w:r>
      <w:r w:rsidR="0002083E">
        <w:t>,</w:t>
      </w:r>
      <w:r w:rsidRPr="002A0E56">
        <w:t xml:space="preserve"> </w:t>
      </w:r>
      <w:r w:rsidR="00711CCF" w:rsidRPr="002A0E56">
        <w:t xml:space="preserve">which </w:t>
      </w:r>
      <w:r w:rsidRPr="002A0E56">
        <w:t>includes single-family homes, single-room occupancy units</w:t>
      </w:r>
      <w:r w:rsidR="00A9677E">
        <w:t>,</w:t>
      </w:r>
      <w:r w:rsidRPr="002A0E56">
        <w:t xml:space="preserve"> and other home-like living arrangements. Supportive services are those that substitute for the absence, loss, diminution</w:t>
      </w:r>
      <w:r w:rsidR="00A9677E">
        <w:t>,</w:t>
      </w:r>
      <w:r w:rsidRPr="002A0E56">
        <w:t xml:space="preserve"> or impartment of a physical or cognitive function. </w:t>
      </w:r>
    </w:p>
    <w:p w14:paraId="00451EC6" w14:textId="77777777" w:rsidR="00A9677E" w:rsidRDefault="00D14326" w:rsidP="00AA7956">
      <w:r w:rsidRPr="002A0E56">
        <w:t xml:space="preserve">Attendant care is paid at a per diem rate. Housekeeping activities that are incidental to the performance of care may also be furnished as part of this activity. </w:t>
      </w:r>
    </w:p>
    <w:p w14:paraId="7E58CF10" w14:textId="69B72E75" w:rsidR="00D14326" w:rsidRDefault="00D14326" w:rsidP="00AA7956">
      <w:r w:rsidRPr="002A0E56">
        <w:t>Services listed in the service plan that are within the scope of the State’s Nurse Practice Act are provided by a registered nurse</w:t>
      </w:r>
      <w:r w:rsidR="00A9677E">
        <w:t xml:space="preserve"> (RN), or a </w:t>
      </w:r>
      <w:r w:rsidRPr="002A0E56">
        <w:t xml:space="preserve">licensed practical </w:t>
      </w:r>
      <w:r w:rsidR="00A9677E">
        <w:t xml:space="preserve">nurse (LPN) </w:t>
      </w:r>
      <w:r w:rsidRPr="002A0E56">
        <w:t>or</w:t>
      </w:r>
      <w:r w:rsidR="00A9677E">
        <w:t xml:space="preserve"> </w:t>
      </w:r>
      <w:r w:rsidRPr="002A0E56">
        <w:t xml:space="preserve">vocational nurse under the supervision of a </w:t>
      </w:r>
      <w:r w:rsidR="006C42BE" w:rsidRPr="002A0E56">
        <w:t>RN</w:t>
      </w:r>
      <w:r w:rsidRPr="002A0E56">
        <w:t xml:space="preserve">, licensed to practice in the state. </w:t>
      </w:r>
    </w:p>
    <w:p w14:paraId="300CA5AE" w14:textId="77777777" w:rsidR="00EB1958" w:rsidRPr="002669A6" w:rsidRDefault="00EB1958" w:rsidP="00AA7956">
      <w:pPr>
        <w:pStyle w:val="Heading4"/>
      </w:pPr>
      <w:bookmarkStart w:id="21" w:name="_Toc229051502"/>
      <w:r w:rsidRPr="002669A6">
        <w:t>Training of Waiver Personal Care and Attendant Care Aides</w:t>
      </w:r>
      <w:bookmarkEnd w:id="21"/>
    </w:p>
    <w:p w14:paraId="703CCA44" w14:textId="72DB3F46" w:rsidR="00EB1958" w:rsidRPr="005C456E" w:rsidRDefault="003D2813" w:rsidP="00AA7956">
      <w:r w:rsidRPr="005C456E">
        <w:t xml:space="preserve">In accordance with </w:t>
      </w:r>
      <w:hyperlink r:id="rId17" w:history="1">
        <w:r w:rsidRPr="00A45133">
          <w:rPr>
            <w:rStyle w:val="Hyperlink"/>
          </w:rPr>
          <w:t>13 CSR 70-91.010</w:t>
        </w:r>
      </w:hyperlink>
      <w:r w:rsidR="00EB1958" w:rsidRPr="005C456E">
        <w:t xml:space="preserve"> and </w:t>
      </w:r>
      <w:r w:rsidR="004A28E7" w:rsidRPr="005C456E">
        <w:t xml:space="preserve">the </w:t>
      </w:r>
      <w:hyperlink r:id="rId18" w:history="1">
        <w:r w:rsidR="00EB1958" w:rsidRPr="00A45133">
          <w:rPr>
            <w:rStyle w:val="Hyperlink"/>
          </w:rPr>
          <w:t xml:space="preserve">Personal Care </w:t>
        </w:r>
        <w:r w:rsidR="004A28E7" w:rsidRPr="00A45133">
          <w:rPr>
            <w:rStyle w:val="Hyperlink"/>
          </w:rPr>
          <w:t>Provider Manual</w:t>
        </w:r>
      </w:hyperlink>
      <w:r w:rsidR="00EB1958" w:rsidRPr="005C456E">
        <w:t>, all personal care and attendant</w:t>
      </w:r>
      <w:r w:rsidR="00A9677E">
        <w:t xml:space="preserve"> care aides</w:t>
      </w:r>
      <w:r w:rsidR="00EB1958" w:rsidRPr="005C456E">
        <w:t xml:space="preserve"> must meet or have met the basic training and in-service training standards for personal care services. The cost of all training is part of the provider’s administrative cost and is not separately billable. Refer to the </w:t>
      </w:r>
      <w:hyperlink r:id="rId19" w:history="1">
        <w:r w:rsidR="00EB1958" w:rsidRPr="00A45133">
          <w:rPr>
            <w:rStyle w:val="Hyperlink"/>
          </w:rPr>
          <w:t xml:space="preserve">Personal Care </w:t>
        </w:r>
        <w:r w:rsidR="004A28E7" w:rsidRPr="00A45133">
          <w:rPr>
            <w:rStyle w:val="Hyperlink"/>
          </w:rPr>
          <w:t>P</w:t>
        </w:r>
        <w:r w:rsidR="00EB1958" w:rsidRPr="00A45133">
          <w:rPr>
            <w:rStyle w:val="Hyperlink"/>
          </w:rPr>
          <w:t xml:space="preserve">rovider </w:t>
        </w:r>
        <w:r w:rsidR="004A28E7" w:rsidRPr="00A45133">
          <w:rPr>
            <w:rStyle w:val="Hyperlink"/>
          </w:rPr>
          <w:t>M</w:t>
        </w:r>
        <w:r w:rsidR="00EB1958" w:rsidRPr="00A45133">
          <w:rPr>
            <w:rStyle w:val="Hyperlink"/>
          </w:rPr>
          <w:t>anual</w:t>
        </w:r>
      </w:hyperlink>
      <w:r w:rsidR="00EB1958" w:rsidRPr="005C456E">
        <w:t xml:space="preserve"> for more information on </w:t>
      </w:r>
      <w:r w:rsidR="00A9677E">
        <w:t xml:space="preserve">the </w:t>
      </w:r>
      <w:r w:rsidR="00EB1958" w:rsidRPr="005C456E">
        <w:t>training of personal care aides.</w:t>
      </w:r>
    </w:p>
    <w:p w14:paraId="67288C89" w14:textId="37755B6D" w:rsidR="00D14326" w:rsidRPr="002A0E56" w:rsidRDefault="000E238D" w:rsidP="00AA7956">
      <w:pPr>
        <w:pStyle w:val="Heading4"/>
      </w:pPr>
      <w:bookmarkStart w:id="22" w:name="_Toc229051503"/>
      <w:r>
        <w:t xml:space="preserve">Specialized </w:t>
      </w:r>
      <w:r w:rsidR="00D14326" w:rsidRPr="002A0E56">
        <w:t>Medical Supplies</w:t>
      </w:r>
      <w:bookmarkEnd w:id="22"/>
    </w:p>
    <w:p w14:paraId="26D56F96" w14:textId="60174B93" w:rsidR="00A9677E" w:rsidRDefault="00D14326" w:rsidP="00AA7956">
      <w:r w:rsidRPr="002A0E56">
        <w:t>The</w:t>
      </w:r>
      <w:r w:rsidR="004B1487">
        <w:t xml:space="preserve"> </w:t>
      </w:r>
      <w:r w:rsidR="000A0524">
        <w:t xml:space="preserve">AIDS </w:t>
      </w:r>
      <w:r w:rsidR="00D73E62">
        <w:t>W</w:t>
      </w:r>
      <w:r w:rsidRPr="002A0E56">
        <w:t xml:space="preserve">aiver </w:t>
      </w:r>
      <w:r w:rsidR="003F0C74">
        <w:t>covers specialized medical supplies (SMS)</w:t>
      </w:r>
      <w:r w:rsidRPr="002A0E56">
        <w:t xml:space="preserve"> that are not otherwise available through </w:t>
      </w:r>
      <w:r w:rsidR="009150CC">
        <w:t>MO HealthNet</w:t>
      </w:r>
      <w:r w:rsidR="003F0C74">
        <w:t>. SMS is prior authorized when such supplies are necessary for maintaining and treating the participant at home</w:t>
      </w:r>
      <w:r w:rsidRPr="002A0E56">
        <w:t xml:space="preserve">. </w:t>
      </w:r>
      <w:r w:rsidR="003F0C74">
        <w:t xml:space="preserve">SMS </w:t>
      </w:r>
      <w:r w:rsidR="00205DC7">
        <w:t>are</w:t>
      </w:r>
      <w:r w:rsidRPr="002A0E56">
        <w:t xml:space="preserve"> delivered by Durable Medical Equipment (DME) providers</w:t>
      </w:r>
      <w:r w:rsidR="00205DC7">
        <w:t>.</w:t>
      </w:r>
      <w:r w:rsidRPr="002A0E56">
        <w:t xml:space="preserve"> </w:t>
      </w:r>
      <w:r w:rsidR="00205DC7">
        <w:t>T</w:t>
      </w:r>
      <w:r w:rsidRPr="002A0E56">
        <w:t xml:space="preserve">he following </w:t>
      </w:r>
      <w:r w:rsidR="003F0C74">
        <w:t>SMS are covered under the waiver</w:t>
      </w:r>
      <w:r w:rsidRPr="002A0E56">
        <w:t xml:space="preserve">: </w:t>
      </w:r>
    </w:p>
    <w:p w14:paraId="6C76F590" w14:textId="5F2683C0" w:rsidR="00A9677E" w:rsidRDefault="00A9677E" w:rsidP="00AA7956">
      <w:pPr>
        <w:pStyle w:val="ListBullet"/>
      </w:pPr>
      <w:r w:rsidRPr="002A0E56">
        <w:t>G</w:t>
      </w:r>
      <w:r w:rsidR="00D14326" w:rsidRPr="002A0E56">
        <w:t>loves</w:t>
      </w:r>
    </w:p>
    <w:p w14:paraId="0463DE1A" w14:textId="4AA2C899" w:rsidR="00A9677E" w:rsidRDefault="00A9677E" w:rsidP="00AA7956">
      <w:pPr>
        <w:pStyle w:val="ListBullet"/>
      </w:pPr>
      <w:r>
        <w:t>I</w:t>
      </w:r>
      <w:r w:rsidRPr="002A0E56">
        <w:t>ncontinence briefs/</w:t>
      </w:r>
      <w:r w:rsidR="003F0C74">
        <w:t xml:space="preserve">adult </w:t>
      </w:r>
      <w:r w:rsidRPr="002A0E56">
        <w:t>diapers</w:t>
      </w:r>
    </w:p>
    <w:p w14:paraId="19A44B19" w14:textId="756F79B7" w:rsidR="00D14326" w:rsidRPr="002A0E56" w:rsidRDefault="00A9677E" w:rsidP="00AA7956">
      <w:pPr>
        <w:pStyle w:val="ListBullet"/>
      </w:pPr>
      <w:proofErr w:type="spellStart"/>
      <w:r>
        <w:t>U</w:t>
      </w:r>
      <w:r w:rsidR="00D14326" w:rsidRPr="002A0E56">
        <w:t>nderpads</w:t>
      </w:r>
      <w:proofErr w:type="spellEnd"/>
    </w:p>
    <w:p w14:paraId="4EE1C411" w14:textId="509D5A6A" w:rsidR="00D14326" w:rsidRPr="002A0E56" w:rsidRDefault="00D14326" w:rsidP="00AA7956">
      <w:pPr>
        <w:pStyle w:val="Text3"/>
        <w:spacing w:line="276" w:lineRule="auto"/>
        <w:ind w:left="0"/>
      </w:pPr>
      <w:r w:rsidRPr="002A0E56">
        <w:t xml:space="preserve">Medical supplies necessary for maintaining and treating the participant at home may be covered when prior authorized. Immediately following or at the time of delivery, the provider must submit a list to the </w:t>
      </w:r>
      <w:r w:rsidR="00DF3D1E">
        <w:t>AIDS W</w:t>
      </w:r>
      <w:r w:rsidRPr="002A0E56">
        <w:t>aiver case manager of the required supplie</w:t>
      </w:r>
      <w:r w:rsidR="00A9677E">
        <w:t>s</w:t>
      </w:r>
      <w:r w:rsidRPr="002A0E56">
        <w:t xml:space="preserve"> for one (1) month, the quantity</w:t>
      </w:r>
      <w:r w:rsidR="00A9677E">
        <w:t>,</w:t>
      </w:r>
      <w:r w:rsidRPr="002A0E56">
        <w:t xml:space="preserve"> and the acquisition cost. The </w:t>
      </w:r>
      <w:r w:rsidR="00DF3D1E">
        <w:t>AIDS W</w:t>
      </w:r>
      <w:r w:rsidRPr="002A0E56">
        <w:t xml:space="preserve">aiver case manager authorizes the monthly dollar amount that may be billed for supplies. </w:t>
      </w:r>
    </w:p>
    <w:p w14:paraId="462B8CAD" w14:textId="4FD937A8" w:rsidR="00D14326" w:rsidRPr="00F67153" w:rsidRDefault="00D14326" w:rsidP="00AA7956">
      <w:pPr>
        <w:pStyle w:val="Heading3"/>
      </w:pPr>
      <w:bookmarkStart w:id="23" w:name="_Toc225253657"/>
      <w:bookmarkStart w:id="24" w:name="_Toc229051504"/>
      <w:r w:rsidRPr="00F67153">
        <w:t>2.2</w:t>
      </w:r>
      <w:r w:rsidR="00F67153" w:rsidRPr="00F67153">
        <w:t xml:space="preserve"> </w:t>
      </w:r>
      <w:r w:rsidRPr="00F67153">
        <w:t>Participant Conditions of Participation</w:t>
      </w:r>
      <w:bookmarkEnd w:id="23"/>
      <w:bookmarkEnd w:id="24"/>
    </w:p>
    <w:p w14:paraId="0FC0B426" w14:textId="5EECC660" w:rsidR="00D14326" w:rsidRPr="002A0E56" w:rsidRDefault="00D14326">
      <w:r w:rsidRPr="002A0E56">
        <w:t>The AIDS Waiver</w:t>
      </w:r>
      <w:r w:rsidR="00B17960">
        <w:t>’s</w:t>
      </w:r>
      <w:r w:rsidRPr="002A0E56">
        <w:t xml:space="preserve"> target </w:t>
      </w:r>
      <w:r w:rsidR="00B17960">
        <w:t xml:space="preserve">population is </w:t>
      </w:r>
      <w:r w:rsidRPr="002A0E56">
        <w:t xml:space="preserve">participants with HIV/AIDS who are currently receiving long-term institutional care or who are at risk of institutionalization. Waiver participants </w:t>
      </w:r>
      <w:r w:rsidRPr="002A0E56">
        <w:rPr>
          <w:rStyle w:val="Itlc"/>
          <w:i w:val="0"/>
          <w:iCs/>
          <w:color w:val="auto"/>
        </w:rPr>
        <w:t>must</w:t>
      </w:r>
      <w:r w:rsidRPr="002A0E56">
        <w:t xml:space="preserve"> be assessed at nursing facility level of care criteria, and </w:t>
      </w:r>
      <w:r w:rsidRPr="002A0E56">
        <w:rPr>
          <w:rStyle w:val="Itlc"/>
          <w:i w:val="0"/>
          <w:iCs/>
          <w:color w:val="auto"/>
        </w:rPr>
        <w:t>in addition</w:t>
      </w:r>
      <w:r w:rsidRPr="002A0E56">
        <w:t xml:space="preserve">, </w:t>
      </w:r>
      <w:r w:rsidRPr="002A0E56">
        <w:rPr>
          <w:rStyle w:val="Itlc"/>
          <w:i w:val="0"/>
          <w:iCs/>
          <w:color w:val="auto"/>
        </w:rPr>
        <w:t>must</w:t>
      </w:r>
      <w:r w:rsidRPr="002A0E56">
        <w:rPr>
          <w:i/>
        </w:rPr>
        <w:t xml:space="preserve"> </w:t>
      </w:r>
      <w:r w:rsidR="00C61B0B">
        <w:t>meet</w:t>
      </w:r>
      <w:r w:rsidR="00C61B0B" w:rsidRPr="002A0E56">
        <w:t xml:space="preserve"> </w:t>
      </w:r>
      <w:r w:rsidRPr="002A0E56">
        <w:t>at least two</w:t>
      </w:r>
      <w:r w:rsidR="00B76B22">
        <w:t xml:space="preserve"> (2)</w:t>
      </w:r>
      <w:r w:rsidRPr="002A0E56">
        <w:t xml:space="preserve"> of the following </w:t>
      </w:r>
      <w:r w:rsidR="00C61B0B">
        <w:t xml:space="preserve">AIDS Waiver </w:t>
      </w:r>
      <w:r w:rsidRPr="002A0E56">
        <w:t>medical criteria to receive services:</w:t>
      </w:r>
    </w:p>
    <w:p w14:paraId="6ECBCD79" w14:textId="77777777" w:rsidR="00D14326" w:rsidRPr="002A0E56" w:rsidRDefault="00D14326" w:rsidP="00AA7956">
      <w:pPr>
        <w:pStyle w:val="ListBullet"/>
      </w:pPr>
      <w:r w:rsidRPr="002A0E56">
        <w:t xml:space="preserve">Multi-organ failure (e.g., liver, kidney, heart, pancreas, lung) </w:t>
      </w:r>
    </w:p>
    <w:p w14:paraId="1B969997" w14:textId="3161B6B5" w:rsidR="00D14326" w:rsidRPr="002A0E56" w:rsidRDefault="00D14326" w:rsidP="00AA7956">
      <w:pPr>
        <w:pStyle w:val="ListBullet"/>
      </w:pPr>
      <w:r w:rsidRPr="002A0E56">
        <w:t xml:space="preserve">Support to maintain vital functions and/or maintain complex </w:t>
      </w:r>
      <w:r w:rsidR="00B76B22">
        <w:t>intravenous (</w:t>
      </w:r>
      <w:r w:rsidRPr="002A0E56">
        <w:t>IV</w:t>
      </w:r>
      <w:r w:rsidR="00B76B22">
        <w:t>)</w:t>
      </w:r>
      <w:r w:rsidRPr="002A0E56">
        <w:t xml:space="preserve"> therapy, peripheral    nutrition, central venous catheters, daily diabetic blood sugar tests</w:t>
      </w:r>
      <w:r w:rsidR="00B76B22">
        <w:t>,</w:t>
      </w:r>
      <w:r w:rsidRPr="002A0E56">
        <w:t xml:space="preserve"> and insulin injections</w:t>
      </w:r>
    </w:p>
    <w:p w14:paraId="7B8EE86E" w14:textId="77777777" w:rsidR="00D14326" w:rsidRPr="002A0E56" w:rsidRDefault="00D14326" w:rsidP="00AA7956">
      <w:pPr>
        <w:pStyle w:val="ListBullet"/>
      </w:pPr>
      <w:r w:rsidRPr="002A0E56">
        <w:t>Assessment and assistance with pain control and/or pain therapy during acute and     terminal phases of illnesses</w:t>
      </w:r>
    </w:p>
    <w:p w14:paraId="3477B51B" w14:textId="77777777" w:rsidR="00D14326" w:rsidRPr="002A0E56" w:rsidRDefault="00D14326" w:rsidP="00AA7956">
      <w:pPr>
        <w:pStyle w:val="ListBullet"/>
      </w:pPr>
      <w:r w:rsidRPr="002A0E56">
        <w:t xml:space="preserve">Oversight as related to dementia, and/or severe chronic and persistent mental illness (e.g., Bipolar, multiple suicide attempts, schizophrenia, confusion) </w:t>
      </w:r>
    </w:p>
    <w:p w14:paraId="6F6B8B12" w14:textId="77777777" w:rsidR="00D14326" w:rsidRPr="002A0E56" w:rsidRDefault="00D14326" w:rsidP="00AA7956">
      <w:pPr>
        <w:pStyle w:val="ListBullet"/>
      </w:pPr>
      <w:r w:rsidRPr="002A0E56">
        <w:t>Oversight related to terminal phase of illness</w:t>
      </w:r>
    </w:p>
    <w:p w14:paraId="0BC32F92" w14:textId="3FA274F1" w:rsidR="00D14326" w:rsidRPr="002A0E56" w:rsidRDefault="00D14326" w:rsidP="00AA7956">
      <w:pPr>
        <w:pStyle w:val="ListBullet"/>
      </w:pPr>
      <w:r w:rsidRPr="002A0E56">
        <w:t xml:space="preserve">Licensed nursing care on a regular basis to assist in recovering from opportunistic infections and/or acute illnesses </w:t>
      </w:r>
    </w:p>
    <w:p w14:paraId="5A04BB98" w14:textId="0A56A8B7" w:rsidR="00D14326" w:rsidRPr="002A0E56" w:rsidRDefault="00D14326" w:rsidP="00AA7956">
      <w:pPr>
        <w:pStyle w:val="ListBullet"/>
      </w:pPr>
      <w:r w:rsidRPr="002A0E56">
        <w:t xml:space="preserve">Weekly monitoring required by a licensed nurse and/or physician </w:t>
      </w:r>
      <w:proofErr w:type="gramStart"/>
      <w:r w:rsidRPr="002A0E56">
        <w:t>in order to</w:t>
      </w:r>
      <w:proofErr w:type="gramEnd"/>
      <w:r w:rsidRPr="002A0E56">
        <w:t xml:space="preserve"> provide assessment for opportunistic infection (</w:t>
      </w:r>
      <w:r w:rsidR="00B76B22">
        <w:t>cluster of differentiation 4 (</w:t>
      </w:r>
      <w:r w:rsidRPr="002A0E56">
        <w:t>CD4</w:t>
      </w:r>
      <w:r w:rsidR="00B76B22">
        <w:t>)</w:t>
      </w:r>
      <w:r w:rsidRPr="002A0E56">
        <w:t xml:space="preserve">, </w:t>
      </w:r>
      <w:r w:rsidR="00B76B22">
        <w:t>Visceral Leishmaniasis (</w:t>
      </w:r>
      <w:r w:rsidRPr="002A0E56">
        <w:t>VL</w:t>
      </w:r>
      <w:r w:rsidR="00B76B22">
        <w:t>)</w:t>
      </w:r>
      <w:r w:rsidRPr="002A0E56">
        <w:t>, signs, and symptoms)</w:t>
      </w:r>
    </w:p>
    <w:p w14:paraId="029DA1F8" w14:textId="4A480A72" w:rsidR="00D14326" w:rsidRPr="002A0E56" w:rsidRDefault="00D14326" w:rsidP="00AA7956">
      <w:pPr>
        <w:pStyle w:val="ListBullet"/>
      </w:pPr>
      <w:r w:rsidRPr="002A0E56">
        <w:t>Licensed nursing care on a regular basis to assist with medication set up, adherence</w:t>
      </w:r>
      <w:r w:rsidR="00B76B22">
        <w:t>,</w:t>
      </w:r>
      <w:r w:rsidRPr="002A0E56">
        <w:t xml:space="preserve"> and monitoring for serious side effects </w:t>
      </w:r>
    </w:p>
    <w:p w14:paraId="745B6236" w14:textId="77777777" w:rsidR="00D14326" w:rsidRPr="002A0E56" w:rsidRDefault="00D14326" w:rsidP="00AA7956">
      <w:pPr>
        <w:pStyle w:val="ListBullet"/>
      </w:pPr>
      <w:r w:rsidRPr="002A0E56">
        <w:t>Monitoring and assistance to maintain safety/optimum mobility related to neurological deficits (e.g., neuropathy, uncontrolled seizures)</w:t>
      </w:r>
    </w:p>
    <w:p w14:paraId="70D39785" w14:textId="1BE0470A" w:rsidR="00D14326" w:rsidRDefault="00D14326" w:rsidP="00AA7956">
      <w:pPr>
        <w:pStyle w:val="ListBullet"/>
      </w:pPr>
      <w:r w:rsidRPr="002A0E56">
        <w:t xml:space="preserve">Oversight </w:t>
      </w:r>
      <w:proofErr w:type="gramStart"/>
      <w:r w:rsidRPr="002A0E56">
        <w:t>as a result of</w:t>
      </w:r>
      <w:proofErr w:type="gramEnd"/>
      <w:r w:rsidRPr="002A0E56">
        <w:t xml:space="preserve"> co-morbid complications (e.g., substance abuse, secondary disease processes, </w:t>
      </w:r>
      <w:r w:rsidR="00B76B22">
        <w:t>Tuberculosis (</w:t>
      </w:r>
      <w:r w:rsidRPr="002A0E56">
        <w:t>TB</w:t>
      </w:r>
      <w:r w:rsidR="00B76B22">
        <w:t>)</w:t>
      </w:r>
      <w:r w:rsidRPr="002A0E56">
        <w:t>, hepatitis)</w:t>
      </w:r>
    </w:p>
    <w:p w14:paraId="570AEBDA" w14:textId="77777777" w:rsidR="00B76B22" w:rsidRPr="002A0E56" w:rsidRDefault="00B76B22" w:rsidP="00AA7956">
      <w:r w:rsidRPr="002A0E56">
        <w:t xml:space="preserve">Residential facilities in which the waiver services are provided </w:t>
      </w:r>
      <w:r w:rsidRPr="002A0E56">
        <w:rPr>
          <w:rStyle w:val="Itlc"/>
          <w:i w:val="0"/>
          <w:color w:val="auto"/>
        </w:rPr>
        <w:t>must</w:t>
      </w:r>
      <w:r w:rsidRPr="002A0E56">
        <w:t xml:space="preserve"> meet all applicable federal and state licensure and certification requirements.</w:t>
      </w:r>
    </w:p>
    <w:p w14:paraId="7C9ED19F" w14:textId="59CBA131" w:rsidR="00B76B22" w:rsidRDefault="00B76B22" w:rsidP="00AA7956">
      <w:r w:rsidRPr="002A0E56">
        <w:t>Refer to th</w:t>
      </w:r>
      <w:r w:rsidRPr="00A77B30">
        <w:t xml:space="preserve">e </w:t>
      </w:r>
      <w:hyperlink r:id="rId20" w:history="1">
        <w:r w:rsidRPr="00A45133">
          <w:rPr>
            <w:rStyle w:val="Hyperlink"/>
          </w:rPr>
          <w:t>General Sections Manual</w:t>
        </w:r>
      </w:hyperlink>
      <w:r w:rsidRPr="00864D2E">
        <w:rPr>
          <w:color w:val="F79646" w:themeColor="accent6"/>
          <w:u w:val="single"/>
        </w:rPr>
        <w:t xml:space="preserve"> </w:t>
      </w:r>
      <w:r w:rsidRPr="002A0E56">
        <w:t>for more information on participant eligibility.</w:t>
      </w:r>
    </w:p>
    <w:p w14:paraId="7C6A13B9" w14:textId="77777777" w:rsidR="00D14326" w:rsidRPr="00887137" w:rsidRDefault="00D14326" w:rsidP="00AA7956">
      <w:pPr>
        <w:pStyle w:val="Heading4"/>
        <w:rPr>
          <w:i/>
        </w:rPr>
      </w:pPr>
      <w:bookmarkStart w:id="25" w:name="_Toc229051505"/>
      <w:r w:rsidRPr="00887137">
        <w:t>Participant Exclusions</w:t>
      </w:r>
      <w:bookmarkEnd w:id="25"/>
    </w:p>
    <w:p w14:paraId="0C83A55C" w14:textId="77777777" w:rsidR="00D14326" w:rsidRPr="002A0E56" w:rsidRDefault="00D14326" w:rsidP="00AA7956">
      <w:pPr>
        <w:pStyle w:val="Text2"/>
        <w:spacing w:line="276" w:lineRule="auto"/>
        <w:ind w:left="0"/>
      </w:pPr>
      <w:r w:rsidRPr="002A0E56">
        <w:t xml:space="preserve">The following participants are </w:t>
      </w:r>
      <w:r w:rsidRPr="002A0E56">
        <w:rPr>
          <w:rStyle w:val="Itlc"/>
          <w:i w:val="0"/>
          <w:iCs/>
          <w:color w:val="auto"/>
        </w:rPr>
        <w:t>not</w:t>
      </w:r>
      <w:r w:rsidRPr="002A0E56">
        <w:t xml:space="preserve"> eligible for AIDS Waiver services:</w:t>
      </w:r>
    </w:p>
    <w:p w14:paraId="316B655B" w14:textId="05403CD5" w:rsidR="00D14326" w:rsidRPr="002A0E56" w:rsidRDefault="00D14326" w:rsidP="00AA7956">
      <w:pPr>
        <w:pStyle w:val="ListBullet"/>
      </w:pPr>
      <w:r w:rsidRPr="002A0E56">
        <w:t xml:space="preserve">Participants with a state-funded only </w:t>
      </w:r>
      <w:r w:rsidR="00711CCF" w:rsidRPr="002A0E56">
        <w:t>Medica</w:t>
      </w:r>
      <w:r w:rsidR="00B76B22">
        <w:t>id</w:t>
      </w:r>
      <w:r w:rsidR="00711CCF" w:rsidRPr="002A0E56">
        <w:t xml:space="preserve"> Eligibility (</w:t>
      </w:r>
      <w:r w:rsidRPr="002A0E56">
        <w:t>ME</w:t>
      </w:r>
      <w:r w:rsidR="00711CCF" w:rsidRPr="002A0E56">
        <w:t>)</w:t>
      </w:r>
      <w:r w:rsidRPr="002A0E56">
        <w:t xml:space="preserve"> code</w:t>
      </w:r>
      <w:r w:rsidR="00B76B22">
        <w:t xml:space="preserve">; refer to the </w:t>
      </w:r>
      <w:hyperlink r:id="rId21" w:history="1">
        <w:r w:rsidR="00B76B22" w:rsidRPr="00A45133">
          <w:rPr>
            <w:rStyle w:val="Hyperlink"/>
          </w:rPr>
          <w:t>General Sections Manua</w:t>
        </w:r>
        <w:r w:rsidR="00B76B22" w:rsidRPr="00B76B22">
          <w:rPr>
            <w:rStyle w:val="Hyperlink"/>
          </w:rPr>
          <w:t>l</w:t>
        </w:r>
      </w:hyperlink>
      <w:r w:rsidR="00B76B22">
        <w:t xml:space="preserve"> for a list of ME codes</w:t>
      </w:r>
      <w:r w:rsidRPr="002A0E56">
        <w:t xml:space="preserve"> </w:t>
      </w:r>
    </w:p>
    <w:p w14:paraId="001C30F9" w14:textId="77777777" w:rsidR="00D14326" w:rsidRPr="002A0E56" w:rsidRDefault="00D14326" w:rsidP="00AA7956">
      <w:pPr>
        <w:pStyle w:val="ListBullet"/>
      </w:pPr>
      <w:r w:rsidRPr="002A0E56">
        <w:t>Participants of inpatient care in a hospital or a nursing facility, while receiving such care</w:t>
      </w:r>
    </w:p>
    <w:p w14:paraId="548F7CEC" w14:textId="77777777" w:rsidR="00D14326" w:rsidRPr="002A0E56" w:rsidRDefault="00D14326" w:rsidP="00AA7956">
      <w:pPr>
        <w:pStyle w:val="ListBullet"/>
      </w:pPr>
      <w:r w:rsidRPr="002A0E56">
        <w:t>Participants of other home and community-based waivers</w:t>
      </w:r>
    </w:p>
    <w:p w14:paraId="1FB859FB" w14:textId="77777777" w:rsidR="00D14326" w:rsidRPr="002A0E56" w:rsidRDefault="00D14326" w:rsidP="00AA7956">
      <w:pPr>
        <w:pStyle w:val="ListBullet"/>
      </w:pPr>
      <w:r w:rsidRPr="002A0E56">
        <w:t>Participants under the age of 21</w:t>
      </w:r>
    </w:p>
    <w:p w14:paraId="7E60B7CA" w14:textId="0C6A792B" w:rsidR="00D14326" w:rsidRPr="00A45133" w:rsidRDefault="00D14326" w:rsidP="00AA7956">
      <w:pPr>
        <w:pStyle w:val="ListBullet"/>
        <w:rPr>
          <w:rStyle w:val="Hyperlink"/>
        </w:rPr>
      </w:pPr>
      <w:r w:rsidRPr="002A0E56">
        <w:t xml:space="preserve">Participants who reside in a residential facility that is out of compliance with </w:t>
      </w:r>
      <w:hyperlink r:id="rId22" w:history="1">
        <w:r w:rsidR="00B76B22" w:rsidRPr="00A45133">
          <w:rPr>
            <w:rStyle w:val="Hyperlink"/>
          </w:rPr>
          <w:t>S</w:t>
        </w:r>
        <w:r w:rsidRPr="00A45133">
          <w:rPr>
            <w:rStyle w:val="Hyperlink"/>
          </w:rPr>
          <w:t>ection 1616(e) of the Social Security Act</w:t>
        </w:r>
      </w:hyperlink>
      <w:r w:rsidRPr="00A45133">
        <w:rPr>
          <w:rStyle w:val="Hyperlink"/>
        </w:rPr>
        <w:t xml:space="preserve"> </w:t>
      </w:r>
    </w:p>
    <w:p w14:paraId="63EB50F8" w14:textId="77777777" w:rsidR="00994CF3" w:rsidRPr="002A0E56" w:rsidRDefault="00994CF3" w:rsidP="00AA7956">
      <w:pPr>
        <w:pStyle w:val="Heading4"/>
        <w:rPr>
          <w:i/>
        </w:rPr>
      </w:pPr>
      <w:bookmarkStart w:id="26" w:name="_Toc229051506"/>
      <w:r w:rsidRPr="00887137">
        <w:t>MO HealthNet Managed Care</w:t>
      </w:r>
      <w:bookmarkEnd w:id="26"/>
    </w:p>
    <w:p w14:paraId="558E23F7" w14:textId="3A22DAE3" w:rsidR="00994CF3" w:rsidRPr="002A0E56" w:rsidRDefault="00994CF3" w:rsidP="00AA7956">
      <w:r w:rsidRPr="002A0E56">
        <w:t xml:space="preserve">Participants receiving AIDS Waiver services are </w:t>
      </w:r>
      <w:r w:rsidRPr="002A0E56">
        <w:rPr>
          <w:rStyle w:val="Itlc"/>
          <w:i w:val="0"/>
          <w:iCs/>
          <w:color w:val="auto"/>
        </w:rPr>
        <w:t>not</w:t>
      </w:r>
      <w:r w:rsidRPr="002A0E56">
        <w:t xml:space="preserve"> enrolled with a </w:t>
      </w:r>
      <w:r>
        <w:t>MO HealthNet</w:t>
      </w:r>
      <w:r w:rsidRPr="002A0E56">
        <w:t xml:space="preserve"> Managed Care health plan. If an individual is enrolled in a Managed Care health plan and is interested in receiving AIDS Waiver services, the individual may be required to disenroll from the Managed Care</w:t>
      </w:r>
      <w:r w:rsidR="00B76B22">
        <w:t xml:space="preserve"> health</w:t>
      </w:r>
      <w:r w:rsidRPr="002A0E56">
        <w:t xml:space="preserve"> plan. These individuals </w:t>
      </w:r>
      <w:r w:rsidRPr="002A0E56">
        <w:rPr>
          <w:rStyle w:val="Itlc"/>
          <w:i w:val="0"/>
          <w:iCs/>
          <w:color w:val="auto"/>
        </w:rPr>
        <w:t>cannot</w:t>
      </w:r>
      <w:r w:rsidRPr="002A0E56">
        <w:t xml:space="preserve"> be identified by their </w:t>
      </w:r>
      <w:r>
        <w:t>ME code</w:t>
      </w:r>
      <w:r w:rsidRPr="002A0E56">
        <w:t>.</w:t>
      </w:r>
    </w:p>
    <w:p w14:paraId="4906ADD2" w14:textId="2D6E0F91" w:rsidR="00994CF3" w:rsidRDefault="00252B1F" w:rsidP="00AA7956">
      <w:r>
        <w:rPr>
          <w:rStyle w:val="Itlc"/>
          <w:i w:val="0"/>
          <w:iCs/>
          <w:color w:val="auto"/>
        </w:rPr>
        <w:t>N</w:t>
      </w:r>
      <w:r w:rsidR="00994CF3" w:rsidRPr="002A0E56">
        <w:rPr>
          <w:rStyle w:val="Itlc"/>
          <w:i w:val="0"/>
          <w:iCs/>
          <w:color w:val="auto"/>
        </w:rPr>
        <w:t>ot</w:t>
      </w:r>
      <w:r w:rsidR="00994CF3" w:rsidRPr="002A0E56">
        <w:t xml:space="preserve"> all individuals diagnosed with AIDS or HIV</w:t>
      </w:r>
      <w:r w:rsidR="00137C68">
        <w:t>-</w:t>
      </w:r>
      <w:r w:rsidR="00994CF3" w:rsidRPr="002A0E56">
        <w:t xml:space="preserve">related illness are AIDS Waiver participants. If individuals with a related illness do </w:t>
      </w:r>
      <w:r w:rsidR="00994CF3" w:rsidRPr="002A0E56">
        <w:rPr>
          <w:rStyle w:val="Itlc"/>
          <w:i w:val="0"/>
          <w:iCs/>
          <w:color w:val="auto"/>
        </w:rPr>
        <w:t>not</w:t>
      </w:r>
      <w:r w:rsidR="00994CF3" w:rsidRPr="002A0E56">
        <w:t xml:space="preserve"> meet the AIDS Waiver medical criteria</w:t>
      </w:r>
      <w:r w:rsidR="00C61B0B">
        <w:t xml:space="preserve"> outlined in this section</w:t>
      </w:r>
      <w:r w:rsidR="00994CF3" w:rsidRPr="002A0E56">
        <w:t xml:space="preserve">, they may maintain enrollment with the Managed Care </w:t>
      </w:r>
      <w:r w:rsidR="00B76B22">
        <w:t xml:space="preserve">health </w:t>
      </w:r>
      <w:r w:rsidR="00994CF3" w:rsidRPr="002A0E56">
        <w:t>plan. Managed Care plans are responsible for all in-plan services these individuals may require.</w:t>
      </w:r>
    </w:p>
    <w:p w14:paraId="278698CE" w14:textId="18449937" w:rsidR="001611D9" w:rsidRPr="002A0E56" w:rsidRDefault="001611D9" w:rsidP="00AA7956">
      <w:r>
        <w:t xml:space="preserve">Refer to the </w:t>
      </w:r>
      <w:hyperlink r:id="rId23" w:history="1">
        <w:r w:rsidRPr="00A45133">
          <w:rPr>
            <w:rStyle w:val="Hyperlink"/>
          </w:rPr>
          <w:t>General Sections Manual</w:t>
        </w:r>
      </w:hyperlink>
      <w:r>
        <w:t xml:space="preserve"> for more information on the Managed Care Program. </w:t>
      </w:r>
    </w:p>
    <w:p w14:paraId="654E62A8" w14:textId="4725021D" w:rsidR="00D14326" w:rsidRPr="00B76CE0" w:rsidRDefault="00D14326" w:rsidP="00AA7956">
      <w:pPr>
        <w:pStyle w:val="Heading3"/>
      </w:pPr>
      <w:bookmarkStart w:id="27" w:name="AIDMedicaidAIDSHIVWaiverProgramAddendumt"/>
      <w:bookmarkStart w:id="28" w:name="_2.3_Provider_Conditions"/>
      <w:bookmarkStart w:id="29" w:name="_Toc225253658"/>
      <w:bookmarkStart w:id="30" w:name="_Toc229051507"/>
      <w:bookmarkEnd w:id="27"/>
      <w:bookmarkEnd w:id="28"/>
      <w:r w:rsidRPr="00B76CE0">
        <w:t>2.3</w:t>
      </w:r>
      <w:r w:rsidR="004E5AFF">
        <w:t xml:space="preserve"> </w:t>
      </w:r>
      <w:r w:rsidRPr="00B76CE0">
        <w:t>Provider Conditions of Participation</w:t>
      </w:r>
      <w:bookmarkEnd w:id="29"/>
      <w:bookmarkEnd w:id="30"/>
    </w:p>
    <w:p w14:paraId="0B2BC6CA" w14:textId="2CC1EE9A" w:rsidR="00D14326" w:rsidRPr="002A0E56" w:rsidRDefault="008F7FD1" w:rsidP="00AA7956">
      <w:pPr>
        <w:rPr>
          <w:bCs/>
        </w:rPr>
      </w:pPr>
      <w:r w:rsidRPr="002A0E56">
        <w:t>To participate as a provider of AIDS Waiver services, provider</w:t>
      </w:r>
      <w:r w:rsidR="001611D9">
        <w:t>s</w:t>
      </w:r>
      <w:r w:rsidRPr="002A0E56">
        <w:t xml:space="preserve"> </w:t>
      </w:r>
      <w:r w:rsidRPr="002A0E56">
        <w:rPr>
          <w:rStyle w:val="Itlc"/>
          <w:i w:val="0"/>
          <w:iCs/>
          <w:color w:val="auto"/>
        </w:rPr>
        <w:t>must</w:t>
      </w:r>
      <w:r w:rsidRPr="002A0E56">
        <w:rPr>
          <w:i/>
        </w:rPr>
        <w:t xml:space="preserve"> </w:t>
      </w:r>
      <w:r w:rsidRPr="002A0E56">
        <w:t xml:space="preserve">be a qualified </w:t>
      </w:r>
      <w:r w:rsidR="001611D9">
        <w:t xml:space="preserve">MO HealthNet </w:t>
      </w:r>
      <w:r w:rsidRPr="002A0E56">
        <w:t xml:space="preserve">enrolled provider of the service that will be provided. </w:t>
      </w:r>
      <w:r w:rsidRPr="002A0E56">
        <w:rPr>
          <w:rStyle w:val="Bld"/>
          <w:b w:val="0"/>
          <w:bCs/>
          <w:color w:val="auto"/>
        </w:rPr>
        <w:t xml:space="preserve">All individual program safeguards and provider standards applicable to the provision of MO HealthNet state plan services continue to apply. </w:t>
      </w:r>
      <w:r w:rsidR="00D14326" w:rsidRPr="002A0E56">
        <w:t xml:space="preserve">To participate in the AIDS Waiver, the provider </w:t>
      </w:r>
      <w:r w:rsidR="00D14326" w:rsidRPr="002A0E56">
        <w:rPr>
          <w:rStyle w:val="Itlc"/>
          <w:i w:val="0"/>
          <w:iCs/>
          <w:color w:val="auto"/>
        </w:rPr>
        <w:t>must</w:t>
      </w:r>
      <w:r w:rsidRPr="002A0E56">
        <w:rPr>
          <w:rStyle w:val="Itlc"/>
          <w:i w:val="0"/>
          <w:iCs/>
          <w:color w:val="auto"/>
        </w:rPr>
        <w:t xml:space="preserve"> also</w:t>
      </w:r>
      <w:r w:rsidR="00D14326" w:rsidRPr="002A0E56">
        <w:t xml:space="preserve"> satisfy the following requirements:</w:t>
      </w:r>
    </w:p>
    <w:p w14:paraId="2975DB3F" w14:textId="26EB4DAF" w:rsidR="00D14326" w:rsidRPr="002C5D18" w:rsidRDefault="00D14326" w:rsidP="00AA7956">
      <w:pPr>
        <w:pStyle w:val="ListBullet"/>
      </w:pPr>
      <w:r w:rsidRPr="002C5D18">
        <w:t xml:space="preserve">All participating providers must </w:t>
      </w:r>
      <w:proofErr w:type="gramStart"/>
      <w:r w:rsidRPr="002C5D18">
        <w:t>be in compliance with</w:t>
      </w:r>
      <w:proofErr w:type="gramEnd"/>
      <w:r w:rsidRPr="002C5D18">
        <w:t xml:space="preserve"> applicable standards, regulations or licensure requirements as stated in this manual and as required for participation in the applicable MO HealthNet</w:t>
      </w:r>
      <w:r w:rsidR="001611D9" w:rsidRPr="002C5D18">
        <w:t xml:space="preserve"> program</w:t>
      </w:r>
      <w:r w:rsidRPr="002C5D18">
        <w:t>.</w:t>
      </w:r>
      <w:r w:rsidR="001611D9" w:rsidRPr="002C5D18">
        <w:t xml:space="preserve"> Refer to specific </w:t>
      </w:r>
      <w:hyperlink r:id="rId24" w:history="1">
        <w:r w:rsidR="001611D9" w:rsidRPr="002C5D18">
          <w:rPr>
            <w:rStyle w:val="Hyperlink"/>
            <w:b w:val="0"/>
            <w:color w:val="auto"/>
            <w:u w:val="none"/>
          </w:rPr>
          <w:t>Provider Manuals</w:t>
        </w:r>
      </w:hyperlink>
      <w:r w:rsidR="001611D9" w:rsidRPr="002C5D18">
        <w:t xml:space="preserve"> for more information. </w:t>
      </w:r>
      <w:r w:rsidRPr="002C5D18">
        <w:t xml:space="preserve"> </w:t>
      </w:r>
    </w:p>
    <w:p w14:paraId="2968CBA4" w14:textId="56AD1333" w:rsidR="00D14326" w:rsidRPr="002C5D18" w:rsidRDefault="00D14326" w:rsidP="00AA7956">
      <w:pPr>
        <w:pStyle w:val="ListBullet"/>
      </w:pPr>
      <w:r w:rsidRPr="002C5D18">
        <w:t xml:space="preserve">Personal care providers (provider type 26) who have signed a </w:t>
      </w:r>
      <w:hyperlink r:id="rId25" w:history="1">
        <w:r w:rsidRPr="002C5D18">
          <w:rPr>
            <w:rStyle w:val="Hyperlink"/>
            <w:b w:val="0"/>
            <w:color w:val="auto"/>
            <w:u w:val="none"/>
          </w:rPr>
          <w:t>MO HealthNet AIDS Waiver Program Addendum</w:t>
        </w:r>
      </w:hyperlink>
      <w:r w:rsidRPr="002C5D18">
        <w:t xml:space="preserve"> may deliver waiver personal care services and attendant care services</w:t>
      </w:r>
    </w:p>
    <w:p w14:paraId="2A2CE473" w14:textId="52F1098C" w:rsidR="00594142" w:rsidRPr="002C5D18" w:rsidRDefault="001611D9" w:rsidP="00AA7956">
      <w:pPr>
        <w:pStyle w:val="ListBullet"/>
      </w:pPr>
      <w:r w:rsidRPr="002C5D18">
        <w:t>DME</w:t>
      </w:r>
      <w:r w:rsidR="00D14326" w:rsidRPr="002C5D18">
        <w:t xml:space="preserve"> providers (provider type 62) may furnish </w:t>
      </w:r>
      <w:r w:rsidRPr="002C5D18">
        <w:t xml:space="preserve">gloves, </w:t>
      </w:r>
      <w:r w:rsidR="00D14326" w:rsidRPr="002C5D18">
        <w:t>incontinence briefs</w:t>
      </w:r>
      <w:r w:rsidR="00103493" w:rsidRPr="002C5D18">
        <w:t>/adult diapers</w:t>
      </w:r>
      <w:r w:rsidR="00D14326" w:rsidRPr="002C5D18">
        <w:t xml:space="preserve">, </w:t>
      </w:r>
      <w:r w:rsidRPr="002C5D18">
        <w:t xml:space="preserve">and </w:t>
      </w:r>
      <w:proofErr w:type="spellStart"/>
      <w:r w:rsidR="00D14326" w:rsidRPr="002C5D18">
        <w:t>underpads</w:t>
      </w:r>
      <w:proofErr w:type="spellEnd"/>
      <w:r w:rsidRPr="002C5D18">
        <w:t xml:space="preserve"> </w:t>
      </w:r>
      <w:r w:rsidR="00D14326" w:rsidRPr="002C5D18">
        <w:t>to AIDS Waiver participants</w:t>
      </w:r>
    </w:p>
    <w:p w14:paraId="48F569A0" w14:textId="5ED77F17" w:rsidR="00594142" w:rsidRPr="002C5D18" w:rsidRDefault="00594142" w:rsidP="00AA7956">
      <w:pPr>
        <w:pStyle w:val="ListBullet"/>
      </w:pPr>
      <w:r w:rsidRPr="002C5D18">
        <w:t xml:space="preserve">All persons employed by the provider shall be registered with the </w:t>
      </w:r>
      <w:hyperlink r:id="rId26" w:history="1">
        <w:r w:rsidRPr="002C5D18">
          <w:rPr>
            <w:rStyle w:val="Hyperlink"/>
            <w:b w:val="0"/>
            <w:color w:val="auto"/>
            <w:u w:val="none"/>
          </w:rPr>
          <w:t>DHSS Family Care Safety Registry (FCSR)</w:t>
        </w:r>
      </w:hyperlink>
      <w:r w:rsidR="00103493" w:rsidRPr="002C5D18">
        <w:t>;</w:t>
      </w:r>
      <w:r w:rsidRPr="002C5D18">
        <w:t xml:space="preserve"> refer to </w:t>
      </w:r>
      <w:hyperlink w:anchor="_Background_Investigations" w:history="1">
        <w:r w:rsidRPr="002C5D18">
          <w:rPr>
            <w:rStyle w:val="Hyperlink"/>
            <w:b w:val="0"/>
            <w:color w:val="auto"/>
            <w:u w:val="none"/>
          </w:rPr>
          <w:t>Section 2.5</w:t>
        </w:r>
      </w:hyperlink>
      <w:r w:rsidRPr="002C5D18">
        <w:t xml:space="preserve"> </w:t>
      </w:r>
      <w:r w:rsidR="00103493" w:rsidRPr="002C5D18">
        <w:t>of</w:t>
      </w:r>
      <w:r w:rsidRPr="002C5D18">
        <w:t xml:space="preserve"> this manual for more information </w:t>
      </w:r>
    </w:p>
    <w:p w14:paraId="44A9BC2E" w14:textId="2EFE6F54" w:rsidR="009E5245" w:rsidRPr="002C5D18" w:rsidRDefault="009E5245" w:rsidP="00AA7956">
      <w:pPr>
        <w:pStyle w:val="ListBullet"/>
      </w:pPr>
      <w:r w:rsidRPr="002C5D18">
        <w:t xml:space="preserve">In accordance with the 21st Century CURES Act and </w:t>
      </w:r>
      <w:hyperlink r:id="rId27" w:history="1">
        <w:r w:rsidRPr="002C5D18">
          <w:rPr>
            <w:rStyle w:val="Hyperlink"/>
            <w:b w:val="0"/>
            <w:color w:val="auto"/>
            <w:u w:val="none"/>
          </w:rPr>
          <w:t>13 CSR 70-3.320</w:t>
        </w:r>
      </w:hyperlink>
      <w:r w:rsidRPr="002C5D18">
        <w:t xml:space="preserve">, providers are required to utilize an </w:t>
      </w:r>
      <w:r w:rsidR="00605981" w:rsidRPr="002C5D18">
        <w:t>e</w:t>
      </w:r>
      <w:r w:rsidRPr="002C5D18">
        <w:t xml:space="preserve">lectronic </w:t>
      </w:r>
      <w:r w:rsidR="00605981" w:rsidRPr="002C5D18">
        <w:t>v</w:t>
      </w:r>
      <w:r w:rsidRPr="002C5D18">
        <w:t xml:space="preserve">isit </w:t>
      </w:r>
      <w:r w:rsidR="00605981" w:rsidRPr="002C5D18">
        <w:t>v</w:t>
      </w:r>
      <w:r w:rsidRPr="002C5D18">
        <w:t xml:space="preserve">erification (EVV) system to document services rendered related to the delivery of </w:t>
      </w:r>
      <w:r w:rsidR="00605981" w:rsidRPr="002C5D18">
        <w:t xml:space="preserve">all Medicaid-funded </w:t>
      </w:r>
      <w:r w:rsidRPr="002C5D18">
        <w:t xml:space="preserve">in-home </w:t>
      </w:r>
      <w:r w:rsidR="00605981" w:rsidRPr="002C5D18">
        <w:t xml:space="preserve">agency personal care </w:t>
      </w:r>
      <w:r w:rsidRPr="002C5D18">
        <w:t xml:space="preserve">services. The EVV system must </w:t>
      </w:r>
      <w:r w:rsidR="00DB1CAC" w:rsidRPr="002C5D18">
        <w:t xml:space="preserve">collect the following data elements:  type of service performed, individual receiving the service, date of the service, location of the service delivery when it begins and ends, individual providing the service, and time the service begins and ends; and the system must </w:t>
      </w:r>
      <w:r w:rsidRPr="002C5D18">
        <w:t>have the ability to exchange data with the EVV Aggregator Solution</w:t>
      </w:r>
      <w:r w:rsidR="001611D9" w:rsidRPr="002C5D18">
        <w:t xml:space="preserve"> (EAS)</w:t>
      </w:r>
      <w:r w:rsidR="00DB1CAC" w:rsidRPr="002C5D18">
        <w:t xml:space="preserve"> designated by DSS</w:t>
      </w:r>
      <w:r w:rsidRPr="002C5D18">
        <w:t>. EVV requirements do not apply to services provided in residential or group settings, such as RCFs or Assisted Living Facilities (ALFs). Home and Community-Based Service</w:t>
      </w:r>
      <w:r w:rsidR="001611D9" w:rsidRPr="002C5D18">
        <w:t xml:space="preserve"> (HCBS)</w:t>
      </w:r>
      <w:r w:rsidRPr="002C5D18">
        <w:t xml:space="preserve"> in-home personal assistant providers shall have a</w:t>
      </w:r>
      <w:r w:rsidR="001611D9" w:rsidRPr="002C5D18">
        <w:t>n</w:t>
      </w:r>
      <w:r w:rsidRPr="002C5D18">
        <w:t xml:space="preserve"> EVV system in place. It is the responsibility of each provider to </w:t>
      </w:r>
      <w:r w:rsidR="00DB1CAC" w:rsidRPr="002C5D18">
        <w:t xml:space="preserve">register their contracted EVV vendor, log onto the EAS at least weekly to verify the vendor sends timely and accurate visit data to the </w:t>
      </w:r>
      <w:proofErr w:type="gramStart"/>
      <w:r w:rsidR="00DB1CAC" w:rsidRPr="002C5D18">
        <w:t xml:space="preserve">EAS, </w:t>
      </w:r>
      <w:r w:rsidRPr="002C5D18">
        <w:t xml:space="preserve"> and</w:t>
      </w:r>
      <w:proofErr w:type="gramEnd"/>
      <w:r w:rsidRPr="002C5D18">
        <w:t xml:space="preserve"> to report any suspected falsification of data to </w:t>
      </w:r>
      <w:r w:rsidR="00DB1CAC" w:rsidRPr="002C5D18">
        <w:t xml:space="preserve">the </w:t>
      </w:r>
      <w:r w:rsidR="001611D9" w:rsidRPr="002C5D18">
        <w:t xml:space="preserve">Missouri Medicaid Audit and Compliance </w:t>
      </w:r>
      <w:r w:rsidR="00DB1CAC" w:rsidRPr="002C5D18">
        <w:t xml:space="preserve">Unit </w:t>
      </w:r>
      <w:r w:rsidR="001611D9" w:rsidRPr="002C5D18">
        <w:t>(</w:t>
      </w:r>
      <w:r w:rsidRPr="002C5D18">
        <w:t>MMAC</w:t>
      </w:r>
      <w:r w:rsidR="001611D9" w:rsidRPr="002C5D18">
        <w:t>)</w:t>
      </w:r>
      <w:r w:rsidRPr="002C5D18">
        <w:t xml:space="preserve">. </w:t>
      </w:r>
      <w:r w:rsidR="00DB1CAC" w:rsidRPr="002C5D18">
        <w:t xml:space="preserve">EVV visits must match the claims data, which includes the participant designated client number (DCN), date of service, procedure code and/or modifier combination, and the provider identification number (ID). Agencies with no data in the EAS for participants that have received Medicaid-funded in-home personal care services are out of compliance with EVV requirements. All EVV data must be available for inspection by DSS and DHSS. </w:t>
      </w:r>
      <w:r w:rsidRPr="002C5D18">
        <w:t xml:space="preserve">Providers found to be out of compliance with EVV </w:t>
      </w:r>
      <w:r w:rsidR="00DB1CAC" w:rsidRPr="002C5D18">
        <w:t xml:space="preserve">requirements will be </w:t>
      </w:r>
      <w:r w:rsidRPr="002C5D18">
        <w:t xml:space="preserve">subject to </w:t>
      </w:r>
      <w:r w:rsidR="00DB1CAC" w:rsidRPr="002C5D18">
        <w:t>administrative actions by MMAC</w:t>
      </w:r>
      <w:r w:rsidRPr="002C5D18">
        <w:t>.</w:t>
      </w:r>
      <w:r w:rsidR="00D46655" w:rsidRPr="002C5D18">
        <w:t xml:space="preserve"> Refer </w:t>
      </w:r>
      <w:r w:rsidR="000A0524" w:rsidRPr="002C5D18">
        <w:t>to</w:t>
      </w:r>
      <w:r w:rsidR="00D46655" w:rsidRPr="002C5D18">
        <w:t xml:space="preserve"> </w:t>
      </w:r>
      <w:hyperlink r:id="rId28" w:history="1">
        <w:r w:rsidR="00364C92" w:rsidRPr="002C5D18">
          <w:rPr>
            <w:rStyle w:val="Hyperlink"/>
            <w:rFonts w:eastAsiaTheme="majorEastAsia"/>
            <w:b w:val="0"/>
            <w:color w:val="auto"/>
            <w:u w:val="none"/>
          </w:rPr>
          <w:t>Electronic Visit Verification</w:t>
        </w:r>
      </w:hyperlink>
      <w:r w:rsidR="00364C92" w:rsidRPr="002C5D18">
        <w:rPr>
          <w:rFonts w:eastAsiaTheme="majorEastAsia"/>
        </w:rPr>
        <w:t xml:space="preserve"> </w:t>
      </w:r>
      <w:r w:rsidR="00D46655" w:rsidRPr="002C5D18">
        <w:t>for more information</w:t>
      </w:r>
      <w:r w:rsidR="00DB1CAC" w:rsidRPr="002C5D18">
        <w:t>, such as administrative rules and other announcements</w:t>
      </w:r>
      <w:r w:rsidR="00D46655" w:rsidRPr="002C5D18">
        <w:t xml:space="preserve">. </w:t>
      </w:r>
    </w:p>
    <w:p w14:paraId="2BD349E4" w14:textId="38A18798" w:rsidR="00302633" w:rsidRPr="00302633" w:rsidRDefault="00302633" w:rsidP="00AA7956">
      <w:pPr>
        <w:rPr>
          <w:rFonts w:eastAsiaTheme="minorHAnsi"/>
        </w:rPr>
      </w:pPr>
      <w:bookmarkStart w:id="31" w:name="_Hlk189744142"/>
      <w:r>
        <w:rPr>
          <w:rFonts w:eastAsiaTheme="minorHAnsi"/>
        </w:rPr>
        <w:t xml:space="preserve">Refer to </w:t>
      </w:r>
      <w:hyperlink r:id="rId29" w:history="1">
        <w:r w:rsidRPr="00A45133">
          <w:rPr>
            <w:rStyle w:val="Hyperlink"/>
            <w:rFonts w:eastAsiaTheme="minorHAnsi"/>
          </w:rPr>
          <w:t>MMAC Provider Enrollment</w:t>
        </w:r>
      </w:hyperlink>
      <w:r>
        <w:rPr>
          <w:rFonts w:eastAsiaTheme="minorHAnsi"/>
        </w:rPr>
        <w:t xml:space="preserve"> for more information.</w:t>
      </w:r>
      <w:bookmarkEnd w:id="31"/>
    </w:p>
    <w:p w14:paraId="3EA4FBCA" w14:textId="656F828B" w:rsidR="008B016A" w:rsidRPr="00D43FAB" w:rsidRDefault="008B016A" w:rsidP="00AA7956">
      <w:pPr>
        <w:rPr>
          <w:rFonts w:eastAsiaTheme="minorHAnsi"/>
        </w:rPr>
      </w:pPr>
      <w:r w:rsidRPr="004B4FAB">
        <w:t xml:space="preserve">MMAC conducts both program and fiscal monitoring of the </w:t>
      </w:r>
      <w:r>
        <w:t>AIDS Waiver</w:t>
      </w:r>
      <w:r w:rsidRPr="004B4FAB">
        <w:t xml:space="preserve">. Monitoring visits may be announced or unannounced. </w:t>
      </w:r>
      <w:r>
        <w:t>P</w:t>
      </w:r>
      <w:r w:rsidRPr="004B4FAB">
        <w:t xml:space="preserve">roviders </w:t>
      </w:r>
      <w:r w:rsidRPr="004B4FAB">
        <w:rPr>
          <w:rStyle w:val="Itlc"/>
          <w:i w:val="0"/>
          <w:color w:val="auto"/>
        </w:rPr>
        <w:t>must</w:t>
      </w:r>
      <w:r w:rsidRPr="004B4FAB">
        <w:t xml:space="preserve"> agree to comply with any reviews conducted by MMAC. MMAC may, in accordance with the protective service mandate (</w:t>
      </w:r>
      <w:hyperlink r:id="rId30" w:history="1">
        <w:r w:rsidRPr="00A45133">
          <w:rPr>
            <w:rStyle w:val="Hyperlink"/>
          </w:rPr>
          <w:t xml:space="preserve">Chapter 192, </w:t>
        </w:r>
        <w:proofErr w:type="spellStart"/>
        <w:r w:rsidRPr="00A45133">
          <w:rPr>
            <w:rStyle w:val="Hyperlink"/>
          </w:rPr>
          <w:t>RSMo</w:t>
        </w:r>
        <w:proofErr w:type="spellEnd"/>
      </w:hyperlink>
      <w:r w:rsidRPr="004B4FAB">
        <w:t xml:space="preserve">), take action to protect participants from providers who are found to be out of compliance with </w:t>
      </w:r>
      <w:r>
        <w:t xml:space="preserve">applicable statutory </w:t>
      </w:r>
      <w:r w:rsidRPr="004B4FAB">
        <w:t xml:space="preserve">and regulatory requirements, when such noncompliance is determined by MMAC to create a risk of injury or harm to participants.   </w:t>
      </w:r>
    </w:p>
    <w:p w14:paraId="5A5C4E5F" w14:textId="5080E372" w:rsidR="008B016A" w:rsidRPr="00A45133" w:rsidRDefault="00D14326" w:rsidP="00AA7956">
      <w:pPr>
        <w:rPr>
          <w:rStyle w:val="Hyperlink"/>
        </w:rPr>
      </w:pPr>
      <w:r w:rsidRPr="002A0E56">
        <w:t xml:space="preserve">Additional information on provider conditions of participation can be found in the </w:t>
      </w:r>
      <w:hyperlink r:id="rId31" w:history="1">
        <w:r w:rsidR="00302633" w:rsidRPr="00A45133">
          <w:rPr>
            <w:rStyle w:val="Hyperlink"/>
            <w:rFonts w:eastAsiaTheme="minorHAnsi"/>
          </w:rPr>
          <w:t>General Sections Manual</w:t>
        </w:r>
      </w:hyperlink>
      <w:r w:rsidRPr="00A45133">
        <w:rPr>
          <w:rStyle w:val="Hyperlink"/>
        </w:rPr>
        <w:t>.</w:t>
      </w:r>
    </w:p>
    <w:p w14:paraId="2237721F" w14:textId="7201A3CF" w:rsidR="00D14326" w:rsidRPr="002A0E56" w:rsidRDefault="00D14326" w:rsidP="00AA7956">
      <w:pPr>
        <w:pStyle w:val="Heading4"/>
        <w:rPr>
          <w:i/>
        </w:rPr>
      </w:pPr>
      <w:bookmarkStart w:id="32" w:name="_Toc229051508"/>
      <w:r w:rsidRPr="002A0E56">
        <w:t>Participant Rights</w:t>
      </w:r>
      <w:bookmarkEnd w:id="32"/>
    </w:p>
    <w:p w14:paraId="4421E069" w14:textId="77777777" w:rsidR="00D14326" w:rsidRPr="002A0E56" w:rsidRDefault="00D14326" w:rsidP="00AA7956">
      <w:r w:rsidRPr="002A0E56">
        <w:t>The provider shall have a written statement of the participant’s rights which is to be given to each participant or responsible party(</w:t>
      </w:r>
      <w:proofErr w:type="spellStart"/>
      <w:r w:rsidRPr="002A0E56">
        <w:t>ies</w:t>
      </w:r>
      <w:proofErr w:type="spellEnd"/>
      <w:r w:rsidRPr="002A0E56">
        <w:t>) at the time of service</w:t>
      </w:r>
      <w:r w:rsidR="00884FE4" w:rsidRPr="002A0E56">
        <w:t>.</w:t>
      </w:r>
      <w:r w:rsidRPr="002A0E56">
        <w:t xml:space="preserve"> </w:t>
      </w:r>
      <w:r w:rsidR="00884FE4" w:rsidRPr="002A0E56">
        <w:t xml:space="preserve">The written </w:t>
      </w:r>
      <w:r w:rsidR="002B5CC5" w:rsidRPr="002A0E56">
        <w:t xml:space="preserve">statement </w:t>
      </w:r>
      <w:r w:rsidR="00884FE4" w:rsidRPr="002A0E56">
        <w:t>should</w:t>
      </w:r>
      <w:r w:rsidRPr="002A0E56">
        <w:t xml:space="preserve"> include, at a minimum, the right to:</w:t>
      </w:r>
    </w:p>
    <w:p w14:paraId="62AAEB1E" w14:textId="77777777" w:rsidR="00D14326" w:rsidRPr="002A0E56" w:rsidRDefault="00D14326" w:rsidP="00AA7956">
      <w:pPr>
        <w:pStyle w:val="ListBullet"/>
      </w:pPr>
      <w:r w:rsidRPr="002A0E56">
        <w:t>Be treated with respect and dignity</w:t>
      </w:r>
    </w:p>
    <w:p w14:paraId="520AC8F8" w14:textId="77777777" w:rsidR="00D14326" w:rsidRPr="002A0E56" w:rsidRDefault="00D14326" w:rsidP="00AA7956">
      <w:pPr>
        <w:pStyle w:val="ListBullet"/>
      </w:pPr>
      <w:r w:rsidRPr="002A0E56">
        <w:t xml:space="preserve">Have all personal and medical information kept </w:t>
      </w:r>
      <w:r w:rsidR="002A62ED" w:rsidRPr="002A0E56">
        <w:t>private</w:t>
      </w:r>
      <w:r w:rsidRPr="002A0E56">
        <w:t xml:space="preserve"> </w:t>
      </w:r>
    </w:p>
    <w:p w14:paraId="02CCC197" w14:textId="77777777" w:rsidR="00D14326" w:rsidRPr="002A0E56" w:rsidRDefault="00D14326" w:rsidP="00AA7956">
      <w:pPr>
        <w:pStyle w:val="ListBullet"/>
      </w:pPr>
      <w:r w:rsidRPr="002A0E56">
        <w:t>Have direction over the services provided, to the degree possible, within the service plan authorized</w:t>
      </w:r>
    </w:p>
    <w:p w14:paraId="042B7C20" w14:textId="1F02BF30" w:rsidR="00D14326" w:rsidRPr="002A0E56" w:rsidRDefault="00D14326" w:rsidP="00AA7956">
      <w:pPr>
        <w:pStyle w:val="ListBullet"/>
      </w:pPr>
      <w:r w:rsidRPr="002A0E56">
        <w:t>Know the provider’s established grievance procedure, how to make a complaint about the service</w:t>
      </w:r>
      <w:r w:rsidR="00576D76">
        <w:t>,</w:t>
      </w:r>
      <w:r w:rsidRPr="002A0E56">
        <w:t xml:space="preserve"> and receive cooperation to reach a resolution, without fear of retribution </w:t>
      </w:r>
    </w:p>
    <w:p w14:paraId="134588EF" w14:textId="57698414" w:rsidR="00D14326" w:rsidRPr="002A0E56" w:rsidRDefault="00D14326" w:rsidP="00AA7956">
      <w:pPr>
        <w:pStyle w:val="ListBullet"/>
      </w:pPr>
      <w:r w:rsidRPr="002A0E56">
        <w:t>Know the procedure to report abuse, neglect</w:t>
      </w:r>
      <w:r w:rsidR="00576D76">
        <w:t>,</w:t>
      </w:r>
      <w:r w:rsidRPr="002A0E56">
        <w:t xml:space="preserve"> or exploitation</w:t>
      </w:r>
    </w:p>
    <w:p w14:paraId="6DA2F0DC" w14:textId="29662E12" w:rsidR="00D14326" w:rsidRPr="002A0E56" w:rsidRDefault="00D14326" w:rsidP="00AA7956">
      <w:pPr>
        <w:pStyle w:val="ListBullet"/>
      </w:pPr>
      <w:r w:rsidRPr="002A0E56">
        <w:t>Receive service without regard to race, creed, color, age, sex</w:t>
      </w:r>
      <w:r w:rsidR="00576D76">
        <w:t>,</w:t>
      </w:r>
      <w:r w:rsidRPr="002A0E56">
        <w:t xml:space="preserve"> or national origin</w:t>
      </w:r>
    </w:p>
    <w:p w14:paraId="1EFF13C9" w14:textId="77777777" w:rsidR="00D14326" w:rsidRPr="002A0E56" w:rsidRDefault="00D14326" w:rsidP="00AA7956">
      <w:pPr>
        <w:pStyle w:val="ListBullet"/>
      </w:pPr>
      <w:r w:rsidRPr="002A0E56">
        <w:t xml:space="preserve">Receive a copy of the written statement of the participant’s rights </w:t>
      </w:r>
    </w:p>
    <w:p w14:paraId="3AA6B872" w14:textId="77777777" w:rsidR="00D14326" w:rsidRPr="002A0E56" w:rsidRDefault="00D14326" w:rsidP="00AA7956">
      <w:pPr>
        <w:pStyle w:val="ListBullet"/>
        <w:rPr>
          <w:i/>
        </w:rPr>
      </w:pPr>
      <w:r w:rsidRPr="002A0E56">
        <w:rPr>
          <w:rFonts w:eastAsiaTheme="minorHAnsi"/>
        </w:rPr>
        <w:t>Grievance Procedure</w:t>
      </w:r>
    </w:p>
    <w:p w14:paraId="4D5691C1" w14:textId="23BF3E6E" w:rsidR="00576D76" w:rsidRDefault="00D14326" w:rsidP="00AA7956">
      <w:pPr>
        <w:pStyle w:val="ListBullet"/>
      </w:pPr>
      <w:r w:rsidRPr="002A0E56">
        <w:t>The provider shall have a written grievance policy which shall be provided to each participant or responsible party(</w:t>
      </w:r>
      <w:proofErr w:type="spellStart"/>
      <w:r w:rsidRPr="002A0E56">
        <w:t>ies</w:t>
      </w:r>
      <w:proofErr w:type="spellEnd"/>
      <w:r w:rsidRPr="002A0E56">
        <w:t>) upon initiation of services. The grievance policy must also include the</w:t>
      </w:r>
      <w:r w:rsidR="00576D76">
        <w:t xml:space="preserve"> following</w:t>
      </w:r>
      <w:r w:rsidRPr="002A0E56">
        <w:t xml:space="preserve"> phone number</w:t>
      </w:r>
      <w:r w:rsidR="00576D76">
        <w:t>s:</w:t>
      </w:r>
      <w:r w:rsidRPr="002A0E56">
        <w:t xml:space="preserve"> </w:t>
      </w:r>
    </w:p>
    <w:p w14:paraId="105E745F" w14:textId="43F6222D" w:rsidR="00576D76" w:rsidRDefault="00D14326" w:rsidP="00AA7956">
      <w:pPr>
        <w:pStyle w:val="ListBullet"/>
      </w:pPr>
      <w:r w:rsidRPr="002A0E56">
        <w:t>BHSH</w:t>
      </w:r>
      <w:r w:rsidR="00576D76">
        <w:t>:</w:t>
      </w:r>
      <w:r w:rsidRPr="002A0E56">
        <w:t xml:space="preserve"> </w:t>
      </w:r>
      <w:r w:rsidR="00576D76">
        <w:t>(888) 252-8045</w:t>
      </w:r>
    </w:p>
    <w:p w14:paraId="28FED09F" w14:textId="63BA28E2" w:rsidR="00D14326" w:rsidRPr="002A0E56" w:rsidRDefault="00576D76" w:rsidP="00AA7956">
      <w:pPr>
        <w:pStyle w:val="ListBullet"/>
      </w:pPr>
      <w:r>
        <w:t xml:space="preserve">MHD Participant </w:t>
      </w:r>
      <w:r w:rsidR="00D14326" w:rsidRPr="002A0E56">
        <w:t>Services</w:t>
      </w:r>
      <w:r>
        <w:t>:</w:t>
      </w:r>
      <w:r w:rsidR="00D14326" w:rsidRPr="002A0E56">
        <w:t xml:space="preserve"> (800</w:t>
      </w:r>
      <w:r>
        <w:t xml:space="preserve">) </w:t>
      </w:r>
      <w:r w:rsidR="00D14326" w:rsidRPr="002A0E56">
        <w:t>392-2161</w:t>
      </w:r>
    </w:p>
    <w:p w14:paraId="52962A1E" w14:textId="77777777" w:rsidR="00D14326" w:rsidRPr="002A0E56" w:rsidRDefault="00D14326" w:rsidP="00AA7956">
      <w:pPr>
        <w:pStyle w:val="Heading4"/>
        <w:rPr>
          <w:i/>
        </w:rPr>
      </w:pPr>
      <w:bookmarkStart w:id="33" w:name="_Toc229051509"/>
      <w:r w:rsidRPr="002A0E56">
        <w:t xml:space="preserve">Discharge Policies </w:t>
      </w:r>
      <w:r w:rsidR="00B56EFB" w:rsidRPr="002A0E56">
        <w:t>and</w:t>
      </w:r>
      <w:r w:rsidRPr="002A0E56">
        <w:t xml:space="preserve"> Procedures</w:t>
      </w:r>
      <w:bookmarkEnd w:id="33"/>
    </w:p>
    <w:p w14:paraId="65DAB03D" w14:textId="28BBA388" w:rsidR="00D14326" w:rsidRPr="002A0E56" w:rsidRDefault="00D14326" w:rsidP="00AA7956">
      <w:pPr>
        <w:pStyle w:val="Text2"/>
        <w:spacing w:line="276" w:lineRule="auto"/>
        <w:ind w:left="0"/>
      </w:pPr>
      <w:r w:rsidRPr="002A0E56">
        <w:t xml:space="preserve">Discontinuing services for a participant still in need of assistance shall occur only after appropriate </w:t>
      </w:r>
      <w:r w:rsidR="00B56731">
        <w:t xml:space="preserve">case </w:t>
      </w:r>
      <w:r w:rsidRPr="002A0E56">
        <w:t>conferences with the state agency or its designee, participant</w:t>
      </w:r>
      <w:r w:rsidR="00576D76">
        <w:t>,</w:t>
      </w:r>
      <w:r w:rsidRPr="002A0E56">
        <w:t xml:space="preserve"> and </w:t>
      </w:r>
      <w:r w:rsidR="00576D76">
        <w:t xml:space="preserve">the </w:t>
      </w:r>
      <w:r w:rsidRPr="002A0E56">
        <w:t>participant’s family.</w:t>
      </w:r>
    </w:p>
    <w:p w14:paraId="11A81138" w14:textId="77777777" w:rsidR="00D14326" w:rsidRPr="002A0E56" w:rsidRDefault="00D14326" w:rsidP="00AA7956">
      <w:pPr>
        <w:pStyle w:val="Text2"/>
        <w:spacing w:line="276" w:lineRule="auto"/>
        <w:ind w:left="0"/>
      </w:pPr>
      <w:r w:rsidRPr="002A0E56">
        <w:t>Services for a participant shall be discontinued by a provider under the following circumstances:</w:t>
      </w:r>
    </w:p>
    <w:p w14:paraId="77A94AE3" w14:textId="77BF5285" w:rsidR="00D14326" w:rsidRPr="00D162D9" w:rsidRDefault="00D14326" w:rsidP="00AA7956">
      <w:pPr>
        <w:pStyle w:val="ListBullet"/>
      </w:pPr>
      <w:r w:rsidRPr="00D162D9">
        <w:t xml:space="preserve">When the participant’s case is closed by </w:t>
      </w:r>
      <w:r w:rsidR="00576D76" w:rsidRPr="00D162D9">
        <w:t>the Department of Health and Senior Services (</w:t>
      </w:r>
      <w:r w:rsidR="00E44063" w:rsidRPr="00D162D9">
        <w:t>DHSS</w:t>
      </w:r>
      <w:r w:rsidR="00576D76" w:rsidRPr="00D162D9">
        <w:t>)</w:t>
      </w:r>
      <w:r w:rsidRPr="00D162D9">
        <w:t xml:space="preserve"> or its designee</w:t>
      </w:r>
    </w:p>
    <w:p w14:paraId="1A44295B" w14:textId="77777777" w:rsidR="00576D76" w:rsidRPr="00D162D9" w:rsidRDefault="00D14326" w:rsidP="00AA7956">
      <w:pPr>
        <w:pStyle w:val="ListBullet"/>
      </w:pPr>
      <w:r w:rsidRPr="00D162D9">
        <w:t xml:space="preserve">When the provider learns of circumstances that require the closure of a case for reasons including, but not limited to: </w:t>
      </w:r>
    </w:p>
    <w:p w14:paraId="6499A367" w14:textId="2E36B522" w:rsidR="00576D76" w:rsidRDefault="00576D76" w:rsidP="00AA7956">
      <w:pPr>
        <w:pStyle w:val="ListBullet2"/>
      </w:pPr>
      <w:r w:rsidRPr="002A0E56">
        <w:t>D</w:t>
      </w:r>
      <w:r w:rsidR="00D14326" w:rsidRPr="002A0E56">
        <w:t>eath</w:t>
      </w:r>
    </w:p>
    <w:p w14:paraId="2DE9869E" w14:textId="4B384321" w:rsidR="00576D76" w:rsidRDefault="00576D76" w:rsidP="00AA7956">
      <w:pPr>
        <w:pStyle w:val="ListBullet2"/>
      </w:pPr>
      <w:r>
        <w:t>E</w:t>
      </w:r>
      <w:r w:rsidR="00D14326" w:rsidRPr="002A0E56">
        <w:t xml:space="preserve">ntry into a nursing facility </w:t>
      </w:r>
    </w:p>
    <w:p w14:paraId="5FA76C99" w14:textId="48743556" w:rsidR="00576D76" w:rsidRDefault="00576D76" w:rsidP="00AA7956">
      <w:pPr>
        <w:pStyle w:val="ListBullet2"/>
      </w:pPr>
      <w:r>
        <w:t>P</w:t>
      </w:r>
      <w:r w:rsidR="00D14326" w:rsidRPr="002A0E56">
        <w:t>articipant no longer needs services</w:t>
      </w:r>
    </w:p>
    <w:p w14:paraId="34AAD37D" w14:textId="00490C9F" w:rsidR="00D14326" w:rsidRPr="002A0E56" w:rsidRDefault="00D14326" w:rsidP="00AA7956">
      <w:pPr>
        <w:pStyle w:val="BL2"/>
        <w:tabs>
          <w:tab w:val="clear" w:pos="2160"/>
          <w:tab w:val="clear" w:pos="2405"/>
          <w:tab w:val="clear" w:pos="3120"/>
        </w:tabs>
        <w:spacing w:before="160" w:line="276" w:lineRule="auto"/>
        <w:ind w:left="990" w:firstLine="0"/>
      </w:pPr>
      <w:r w:rsidRPr="002A0E56">
        <w:t xml:space="preserve">In these circumstances, the provider shall notify </w:t>
      </w:r>
      <w:r w:rsidR="00842FAE">
        <w:t>DHSS</w:t>
      </w:r>
      <w:r w:rsidRPr="002A0E56">
        <w:t xml:space="preserve"> or its designee in writing and request that the participant’s services be discontinued</w:t>
      </w:r>
      <w:r w:rsidR="00867FB6" w:rsidRPr="002A0E56">
        <w:t>.</w:t>
      </w:r>
    </w:p>
    <w:p w14:paraId="188020FA" w14:textId="0D75E843" w:rsidR="00D14326" w:rsidRPr="002A0E56" w:rsidRDefault="00D14326" w:rsidP="00AA7956">
      <w:pPr>
        <w:pStyle w:val="ListBullet"/>
      </w:pPr>
      <w:r w:rsidRPr="002A0E56">
        <w:t>When the participant is noncompliant with the agreed upon plan</w:t>
      </w:r>
      <w:r w:rsidR="00B71F5F">
        <w:t xml:space="preserve"> of care</w:t>
      </w:r>
      <w:r w:rsidRPr="002A0E56">
        <w:t>. Noncompliance requires persistent actions by the participant, friends</w:t>
      </w:r>
      <w:r w:rsidR="00576D76">
        <w:t>,</w:t>
      </w:r>
      <w:r w:rsidRPr="002A0E56">
        <w:t xml:space="preserve"> or family which negate the services delivered by the provider. After all alternatives have been explored and exhausted, the provider shall notify </w:t>
      </w:r>
      <w:r w:rsidR="00542F54">
        <w:t>DHSS</w:t>
      </w:r>
      <w:r w:rsidRPr="002A0E56">
        <w:t xml:space="preserve"> or its designee, in writing, of the noncompliant acts and request that the participant’s services be discontinued</w:t>
      </w:r>
      <w:r w:rsidR="007E0798" w:rsidRPr="002A0E56">
        <w:t>.</w:t>
      </w:r>
      <w:r w:rsidR="00576D76">
        <w:t xml:space="preserve"> Refer to </w:t>
      </w:r>
      <w:hyperlink w:anchor="_Plan_of_Care" w:history="1">
        <w:r w:rsidR="00576D76" w:rsidRPr="00A45133">
          <w:rPr>
            <w:rStyle w:val="Hyperlink"/>
          </w:rPr>
          <w:t>Section 2.7</w:t>
        </w:r>
      </w:hyperlink>
      <w:r w:rsidR="00576D76">
        <w:t xml:space="preserve"> </w:t>
      </w:r>
      <w:r w:rsidR="00AD513E">
        <w:t xml:space="preserve">of </w:t>
      </w:r>
      <w:r w:rsidR="00576D76">
        <w:t>this manual for more information on the plan of care.</w:t>
      </w:r>
    </w:p>
    <w:p w14:paraId="067DE400" w14:textId="34734AE4" w:rsidR="002C38BB" w:rsidRPr="002A0E56" w:rsidRDefault="00D14326" w:rsidP="00AA7956">
      <w:pPr>
        <w:pStyle w:val="ListBullet"/>
      </w:pPr>
      <w:r w:rsidRPr="002A0E56">
        <w:t>When the participant or participant’s family demonstrates threatening or violent behavior to the point where the staff’s welfare is in jeopardy and corrective action has failed</w:t>
      </w:r>
    </w:p>
    <w:p w14:paraId="26A08AED" w14:textId="7F5C042A" w:rsidR="00D14326" w:rsidRPr="002A0E56" w:rsidRDefault="00486D33" w:rsidP="00AA7956">
      <w:pPr>
        <w:pStyle w:val="ListBullet"/>
      </w:pPr>
      <w:r w:rsidRPr="002A0E56">
        <w:t>I</w:t>
      </w:r>
      <w:r w:rsidR="00D14326" w:rsidRPr="002A0E56">
        <w:t>f the identification of an environmental health concern is present</w:t>
      </w:r>
    </w:p>
    <w:p w14:paraId="77FE5F0A" w14:textId="77777777" w:rsidR="00D14326" w:rsidRPr="002A0E56" w:rsidRDefault="00D14326" w:rsidP="00AA7956">
      <w:pPr>
        <w:pStyle w:val="ListBullet"/>
      </w:pPr>
      <w:r w:rsidRPr="002A0E56">
        <w:t xml:space="preserve">When a provider is unable to continue to meet the maintenance needs of a participant. In these circumstances, the provider shall notify </w:t>
      </w:r>
      <w:r w:rsidR="00994CF3">
        <w:t>the AIDS Waiver case manager</w:t>
      </w:r>
      <w:r w:rsidR="00994CF3" w:rsidRPr="002A0E56">
        <w:t xml:space="preserve"> </w:t>
      </w:r>
      <w:r w:rsidRPr="002A0E56">
        <w:t>and request that the participant’s services be discontinued</w:t>
      </w:r>
      <w:r w:rsidR="00E572A3" w:rsidRPr="002A0E56">
        <w:t>.</w:t>
      </w:r>
    </w:p>
    <w:p w14:paraId="749104A1" w14:textId="0818C5D0" w:rsidR="00D14326" w:rsidRPr="002A0E56" w:rsidRDefault="00D14326" w:rsidP="00AA7956">
      <w:pPr>
        <w:pStyle w:val="ListBullet"/>
      </w:pPr>
      <w:r w:rsidRPr="002A0E56">
        <w:t>When a provider is unable to continue to meet the maintenance needs of a participant or when a participant is noncompliant with the agreed upon plan</w:t>
      </w:r>
      <w:r w:rsidR="00B71F5F">
        <w:t xml:space="preserve"> of care</w:t>
      </w:r>
      <w:r w:rsidRPr="002A0E56">
        <w:t xml:space="preserve">, the provider shall provide written notice of discharge to the participant or participant’s family and </w:t>
      </w:r>
      <w:r w:rsidR="005B20DA">
        <w:t>DHSS</w:t>
      </w:r>
      <w:r w:rsidRPr="002A0E56">
        <w:t xml:space="preserve"> or its designee, at least 10 days prior to the da</w:t>
      </w:r>
      <w:r w:rsidR="00DF66BA" w:rsidRPr="002A0E56">
        <w:t>te of discharge. During this 10-</w:t>
      </w:r>
      <w:r w:rsidRPr="002A0E56">
        <w:t>day period, the state agency or its designee shall assist in making appropriate arrangements with the participant for transfer to another provider, institutional placement</w:t>
      </w:r>
      <w:r w:rsidR="008F719C">
        <w:t>,</w:t>
      </w:r>
      <w:r w:rsidRPr="002A0E56">
        <w:t xml:space="preserve"> or other appropriate care. Regardless of circumstances, the personal care provider must continue to provide care in accordance with the plan of care for these 10 days or until alternate arrangements can be made by the state agency, or its designee, whichever comes first.</w:t>
      </w:r>
    </w:p>
    <w:p w14:paraId="7A6B9A62" w14:textId="073371F8" w:rsidR="008C0924" w:rsidRDefault="00D14326" w:rsidP="00E249D5">
      <w:pPr>
        <w:pStyle w:val="Heading3"/>
      </w:pPr>
      <w:bookmarkStart w:id="34" w:name="_Toc225253659"/>
      <w:bookmarkStart w:id="35" w:name="_Toc229051510"/>
      <w:r w:rsidRPr="008C0924">
        <w:t>2.4</w:t>
      </w:r>
      <w:r w:rsidR="004E5AFF">
        <w:t xml:space="preserve"> </w:t>
      </w:r>
      <w:r w:rsidRPr="008C0924">
        <w:t>Home and Community-Based Services Settings Requirements</w:t>
      </w:r>
      <w:bookmarkEnd w:id="34"/>
      <w:bookmarkEnd w:id="35"/>
    </w:p>
    <w:p w14:paraId="0D0E9239" w14:textId="1F7A2499" w:rsidR="00D14326" w:rsidRPr="002A0E56" w:rsidRDefault="008C0924">
      <w:r w:rsidRPr="008C0924">
        <w:t>T</w:t>
      </w:r>
      <w:r w:rsidR="00D14326" w:rsidRPr="002A0E56">
        <w:t xml:space="preserve">o comply with </w:t>
      </w:r>
      <w:hyperlink r:id="rId32" w:history="1">
        <w:r w:rsidR="00D14326" w:rsidRPr="00A45133">
          <w:rPr>
            <w:rStyle w:val="Hyperlink"/>
          </w:rPr>
          <w:t>42 CFR 441.301(c)(4)</w:t>
        </w:r>
      </w:hyperlink>
      <w:r w:rsidR="00D14326" w:rsidRPr="002A0E56">
        <w:t xml:space="preserve">, providers who enroll with </w:t>
      </w:r>
      <w:r w:rsidR="008F719C">
        <w:t>MHD</w:t>
      </w:r>
      <w:r w:rsidR="00D14326" w:rsidRPr="002A0E56">
        <w:t xml:space="preserve"> must be in compliance and maintain continued compliance with the following requirements</w:t>
      </w:r>
      <w:r w:rsidR="00A5256B">
        <w:t>:</w:t>
      </w:r>
      <w:r w:rsidR="00D14326" w:rsidRPr="002A0E56">
        <w:t xml:space="preserve"> </w:t>
      </w:r>
    </w:p>
    <w:p w14:paraId="030C487D" w14:textId="77777777" w:rsidR="00D14326" w:rsidRPr="002A0E56" w:rsidRDefault="00D14326" w:rsidP="00E249D5">
      <w:pPr>
        <w:pStyle w:val="ListBullet"/>
      </w:pPr>
      <w:r w:rsidRPr="002A0E56">
        <w:t>Be integrated in and support full access to the greater community</w:t>
      </w:r>
    </w:p>
    <w:p w14:paraId="0945843B" w14:textId="1154F738" w:rsidR="00D14326" w:rsidRPr="002A0E56" w:rsidRDefault="00D14326" w:rsidP="00E249D5">
      <w:pPr>
        <w:pStyle w:val="ListBullet"/>
      </w:pPr>
      <w:r w:rsidRPr="002A0E56">
        <w:t>Provide opportunities to seek employment, work in competitive integrated settings, engage in community life, control personal resources</w:t>
      </w:r>
      <w:r w:rsidR="00A5256B">
        <w:t>,</w:t>
      </w:r>
      <w:r w:rsidR="0098317D" w:rsidRPr="002A0E56">
        <w:t xml:space="preserve"> and choose where they live</w:t>
      </w:r>
      <w:r w:rsidRPr="002A0E56">
        <w:t xml:space="preserve"> </w:t>
      </w:r>
    </w:p>
    <w:p w14:paraId="4AEE9457" w14:textId="77777777" w:rsidR="00D14326" w:rsidRPr="002A0E56" w:rsidRDefault="00D14326" w:rsidP="00E249D5">
      <w:pPr>
        <w:pStyle w:val="ListBullet"/>
      </w:pPr>
      <w:r w:rsidRPr="002A0E56">
        <w:t xml:space="preserve">Ensure the individual receives services in the community to the same degree of access as individuals not receiving </w:t>
      </w:r>
      <w:r w:rsidR="009150CC">
        <w:t>MO HealthNet</w:t>
      </w:r>
      <w:r w:rsidR="009150CC" w:rsidRPr="002A0E56">
        <w:t xml:space="preserve"> </w:t>
      </w:r>
      <w:r w:rsidR="0098317D" w:rsidRPr="002A0E56">
        <w:t>HCBS</w:t>
      </w:r>
    </w:p>
    <w:p w14:paraId="3DBDB453" w14:textId="77777777" w:rsidR="00D14326" w:rsidRPr="002A0E56" w:rsidRDefault="00D14326" w:rsidP="00E249D5">
      <w:pPr>
        <w:pStyle w:val="ListBullet"/>
      </w:pPr>
      <w:r w:rsidRPr="002A0E56">
        <w:t>Be selected by the individual from among setting options, including non-disability specific settings and options for a private unit in a residential setting</w:t>
      </w:r>
    </w:p>
    <w:p w14:paraId="31BB9FD5" w14:textId="14CABFC6" w:rsidR="00D14326" w:rsidRPr="002A0E56" w:rsidRDefault="00D14326" w:rsidP="00E249D5">
      <w:pPr>
        <w:pStyle w:val="ListBullet"/>
      </w:pPr>
      <w:r w:rsidRPr="002A0E56">
        <w:t>Ensure an individual’s rights of privacy, dignity, respect</w:t>
      </w:r>
      <w:r w:rsidR="00A5256B">
        <w:t>,</w:t>
      </w:r>
      <w:r w:rsidRPr="002A0E56">
        <w:t xml:space="preserve"> and freedom from coercion and restraint</w:t>
      </w:r>
    </w:p>
    <w:p w14:paraId="05EF7364" w14:textId="2F56C5E4" w:rsidR="00D14326" w:rsidRPr="002A0E56" w:rsidRDefault="00D14326" w:rsidP="00E249D5">
      <w:pPr>
        <w:pStyle w:val="ListBullet"/>
      </w:pPr>
      <w:r w:rsidRPr="002A0E56">
        <w:t>Optimize individual initiative, autonomy</w:t>
      </w:r>
      <w:r w:rsidR="00A5256B">
        <w:t>,</w:t>
      </w:r>
      <w:r w:rsidRPr="002A0E56">
        <w:t xml:space="preserve"> and independence in making life choices, including but not limited to, daily activities, physical environment</w:t>
      </w:r>
      <w:r w:rsidR="00A5256B">
        <w:t>,</w:t>
      </w:r>
      <w:r w:rsidRPr="002A0E56">
        <w:t xml:space="preserve"> and with whom to interact</w:t>
      </w:r>
    </w:p>
    <w:p w14:paraId="4E2A81F8" w14:textId="77777777" w:rsidR="00D14326" w:rsidRPr="002A0E56" w:rsidRDefault="00D14326" w:rsidP="00E249D5">
      <w:pPr>
        <w:pStyle w:val="ListBullet"/>
      </w:pPr>
      <w:r w:rsidRPr="002A0E56">
        <w:t>Facilitate individual choice regarding services and supports, and who provides them</w:t>
      </w:r>
    </w:p>
    <w:p w14:paraId="4FC8DB3D" w14:textId="77777777" w:rsidR="00D14326" w:rsidRPr="002A0E56" w:rsidRDefault="00D14326" w:rsidP="00E249D5">
      <w:pPr>
        <w:tabs>
          <w:tab w:val="left" w:pos="810"/>
        </w:tabs>
        <w:spacing w:line="276" w:lineRule="auto"/>
        <w:ind w:hanging="11"/>
      </w:pPr>
      <w:r w:rsidRPr="002A0E56">
        <w:t>In a provider</w:t>
      </w:r>
      <w:r w:rsidR="001E711B" w:rsidRPr="002A0E56">
        <w:t xml:space="preserve"> </w:t>
      </w:r>
      <w:r w:rsidRPr="002A0E56">
        <w:t xml:space="preserve">owned or controlled residential setting, in addition to the </w:t>
      </w:r>
      <w:r w:rsidR="00AF79C2" w:rsidRPr="002A0E56">
        <w:t xml:space="preserve">requirements </w:t>
      </w:r>
      <w:r w:rsidRPr="002A0E56">
        <w:t>specified above, the following additional conditions should be met:</w:t>
      </w:r>
    </w:p>
    <w:p w14:paraId="678F8C53" w14:textId="032593D7" w:rsidR="00D14326" w:rsidRPr="002A0E56" w:rsidRDefault="00D14326" w:rsidP="00E249D5">
      <w:pPr>
        <w:pStyle w:val="ListBullet"/>
      </w:pPr>
      <w:r w:rsidRPr="002A0E56">
        <w:t>Specific unit/dwelling is owned, rented</w:t>
      </w:r>
      <w:r w:rsidR="00A5256B">
        <w:t>,</w:t>
      </w:r>
      <w:r w:rsidRPr="002A0E56">
        <w:t xml:space="preserve"> or occupied under legally enforceable agreement by the individual receiving services. Individuals must have the same responsibilities/protections from eviction as all tenants under landlord-tenant law of state, county, city</w:t>
      </w:r>
      <w:r w:rsidR="00A5256B">
        <w:t>,</w:t>
      </w:r>
      <w:r w:rsidRPr="002A0E56">
        <w:t xml:space="preserve"> or other designated entity. If landlord-tenant laws do not apply, a lease, residency agreement</w:t>
      </w:r>
      <w:r w:rsidR="00A5256B">
        <w:t>,</w:t>
      </w:r>
      <w:r w:rsidRPr="002A0E56">
        <w:t xml:space="preserve"> or other written agreement is in place providing protections to address eviction processes and appeals comparable to those provided under the jurisdiction’s landlord-tenant law</w:t>
      </w:r>
      <w:r w:rsidR="00EE52A0" w:rsidRPr="002A0E56">
        <w:t>.</w:t>
      </w:r>
    </w:p>
    <w:p w14:paraId="09072BD7" w14:textId="77777777" w:rsidR="00D14326" w:rsidRPr="002A0E56" w:rsidRDefault="00D14326" w:rsidP="00E249D5">
      <w:pPr>
        <w:pStyle w:val="ListBullet"/>
      </w:pPr>
      <w:proofErr w:type="gramStart"/>
      <w:r w:rsidRPr="002A0E56">
        <w:t>Each individual</w:t>
      </w:r>
      <w:proofErr w:type="gramEnd"/>
      <w:r w:rsidRPr="002A0E56">
        <w:t xml:space="preserve"> has privacy in their sleeping or living unit</w:t>
      </w:r>
    </w:p>
    <w:p w14:paraId="732988DB" w14:textId="77777777" w:rsidR="00D14326" w:rsidRPr="002A0E56" w:rsidRDefault="00D14326" w:rsidP="00E249D5">
      <w:pPr>
        <w:pStyle w:val="ListBullet"/>
      </w:pPr>
      <w:r w:rsidRPr="002A0E56">
        <w:t>Units have lockable entrance doors, with the individual and appropriate staff having keys to doors as needed</w:t>
      </w:r>
    </w:p>
    <w:p w14:paraId="1B742AC7" w14:textId="77777777" w:rsidR="00D14326" w:rsidRPr="002A0E56" w:rsidRDefault="00D14326" w:rsidP="00E249D5">
      <w:pPr>
        <w:pStyle w:val="ListBullet"/>
      </w:pPr>
      <w:r w:rsidRPr="002A0E56">
        <w:t>Individuals sharing units have a choice or of roommates</w:t>
      </w:r>
    </w:p>
    <w:p w14:paraId="5299D973" w14:textId="77777777" w:rsidR="00D14326" w:rsidRPr="002A0E56" w:rsidRDefault="00D14326" w:rsidP="00E249D5">
      <w:pPr>
        <w:pStyle w:val="ListBullet"/>
      </w:pPr>
      <w:r w:rsidRPr="002A0E56">
        <w:t>Individuals have the freedom to furnish and decorate their sleeping or living units within the lease or other agreement</w:t>
      </w:r>
    </w:p>
    <w:p w14:paraId="733803B7" w14:textId="77777777" w:rsidR="00D14326" w:rsidRPr="002A0E56" w:rsidRDefault="00D14326" w:rsidP="00E249D5">
      <w:pPr>
        <w:pStyle w:val="ListBullet"/>
      </w:pPr>
      <w:r w:rsidRPr="002A0E56">
        <w:t>Individuals have freedom and support to control their schedules and activities and have access to food any time</w:t>
      </w:r>
    </w:p>
    <w:p w14:paraId="46F375BF" w14:textId="77777777" w:rsidR="00D14326" w:rsidRPr="002A0E56" w:rsidRDefault="00D14326" w:rsidP="00E249D5">
      <w:pPr>
        <w:pStyle w:val="ListBullet"/>
      </w:pPr>
      <w:r w:rsidRPr="002A0E56">
        <w:t>Individuals may have visitors at any time</w:t>
      </w:r>
    </w:p>
    <w:p w14:paraId="04F8FA61" w14:textId="77777777" w:rsidR="00D14326" w:rsidRPr="002A0E56" w:rsidRDefault="00D14326" w:rsidP="00E249D5">
      <w:pPr>
        <w:pStyle w:val="ListBullet"/>
      </w:pPr>
      <w:r w:rsidRPr="002A0E56">
        <w:t>Setting is physically accessible to the individual</w:t>
      </w:r>
    </w:p>
    <w:p w14:paraId="5EAA147B" w14:textId="3BB8E390" w:rsidR="00D14326" w:rsidRPr="002A0E56" w:rsidRDefault="00D14326">
      <w:r w:rsidRPr="002A0E56">
        <w:t xml:space="preserve">Any modification of the additional conditions specified above should be supported by a specific assessed need and justified in the person-centered </w:t>
      </w:r>
      <w:r w:rsidR="002F7D1B">
        <w:t>care</w:t>
      </w:r>
      <w:r w:rsidR="002F7D1B" w:rsidRPr="002A0E56">
        <w:t xml:space="preserve"> </w:t>
      </w:r>
      <w:r w:rsidRPr="002A0E56">
        <w:t xml:space="preserve">plan. The following requirements should be documented in the person-centered </w:t>
      </w:r>
      <w:r w:rsidR="002F7D1B">
        <w:t>care</w:t>
      </w:r>
      <w:r w:rsidR="002F7D1B" w:rsidRPr="002A0E56">
        <w:t xml:space="preserve"> </w:t>
      </w:r>
      <w:r w:rsidRPr="002A0E56">
        <w:t>plan:</w:t>
      </w:r>
    </w:p>
    <w:p w14:paraId="3DE0AA32" w14:textId="77777777" w:rsidR="00D14326" w:rsidRPr="002A0E56" w:rsidRDefault="001F45C0" w:rsidP="00E249D5">
      <w:pPr>
        <w:pStyle w:val="ListBullet"/>
      </w:pPr>
      <w:r w:rsidRPr="002A0E56">
        <w:t>S</w:t>
      </w:r>
      <w:r w:rsidR="00D14326" w:rsidRPr="002A0E56">
        <w:t>pecific and individualized assessed need</w:t>
      </w:r>
    </w:p>
    <w:p w14:paraId="6EEE0F23" w14:textId="19CBE42A" w:rsidR="00D14326" w:rsidRPr="002A0E56" w:rsidRDefault="001F45C0" w:rsidP="00E249D5">
      <w:pPr>
        <w:pStyle w:val="ListBullet"/>
      </w:pPr>
      <w:r w:rsidRPr="002A0E56">
        <w:t>P</w:t>
      </w:r>
      <w:r w:rsidR="00D14326" w:rsidRPr="002A0E56">
        <w:t xml:space="preserve">ositive interventions and supports used prior to any modifications to the person-centered </w:t>
      </w:r>
      <w:r w:rsidR="002F7D1B">
        <w:t>care</w:t>
      </w:r>
      <w:r w:rsidR="002F7D1B" w:rsidRPr="002A0E56">
        <w:t xml:space="preserve"> </w:t>
      </w:r>
      <w:r w:rsidR="00D14326" w:rsidRPr="002A0E56">
        <w:t>plan</w:t>
      </w:r>
    </w:p>
    <w:p w14:paraId="3DC79CCA" w14:textId="77777777" w:rsidR="00D14326" w:rsidRPr="002A0E56" w:rsidRDefault="001F45C0" w:rsidP="00E249D5">
      <w:pPr>
        <w:pStyle w:val="ListBullet"/>
      </w:pPr>
      <w:r w:rsidRPr="002A0E56">
        <w:t>L</w:t>
      </w:r>
      <w:r w:rsidR="00D14326" w:rsidRPr="002A0E56">
        <w:t>ess intrusive methods of meeting the need that have been tried but did not work</w:t>
      </w:r>
    </w:p>
    <w:p w14:paraId="2DD6BA97" w14:textId="77777777" w:rsidR="00D14326" w:rsidRPr="002A0E56" w:rsidRDefault="001F45C0" w:rsidP="00E249D5">
      <w:pPr>
        <w:pStyle w:val="ListBullet"/>
      </w:pPr>
      <w:r w:rsidRPr="002A0E56">
        <w:t>C</w:t>
      </w:r>
      <w:r w:rsidR="00D14326" w:rsidRPr="002A0E56">
        <w:t>lear description of the conditions that is directly proportionate to the specific assessed need</w:t>
      </w:r>
    </w:p>
    <w:p w14:paraId="21C0F817" w14:textId="77777777" w:rsidR="00D14326" w:rsidRPr="002A0E56" w:rsidRDefault="00DF35DB" w:rsidP="00E249D5">
      <w:pPr>
        <w:pStyle w:val="ListBullet"/>
      </w:pPr>
      <w:r w:rsidRPr="002A0E56">
        <w:t>R</w:t>
      </w:r>
      <w:r w:rsidR="00D14326" w:rsidRPr="002A0E56">
        <w:t>egular collections and review of data to measure the ongoing effectiveness of the modification</w:t>
      </w:r>
    </w:p>
    <w:p w14:paraId="02FA5DE8" w14:textId="77777777" w:rsidR="00D14326" w:rsidRPr="002A0E56" w:rsidRDefault="00DF35DB" w:rsidP="00E249D5">
      <w:pPr>
        <w:pStyle w:val="ListBullet"/>
      </w:pPr>
      <w:r w:rsidRPr="002A0E56">
        <w:t>E</w:t>
      </w:r>
      <w:r w:rsidR="00D14326" w:rsidRPr="002A0E56">
        <w:t>stablished time limits for periodic reviews to determine if the modification is still necessary or can be terminated</w:t>
      </w:r>
    </w:p>
    <w:p w14:paraId="59F12EB3" w14:textId="77777777" w:rsidR="00D14326" w:rsidRPr="002A0E56" w:rsidRDefault="001F45C0" w:rsidP="00E249D5">
      <w:pPr>
        <w:pStyle w:val="ListBullet"/>
      </w:pPr>
      <w:r w:rsidRPr="002A0E56">
        <w:t>I</w:t>
      </w:r>
      <w:r w:rsidR="00D14326" w:rsidRPr="002A0E56">
        <w:t>nformed consent of the individual</w:t>
      </w:r>
    </w:p>
    <w:p w14:paraId="14996352" w14:textId="77777777" w:rsidR="00D14326" w:rsidRPr="002A0E56" w:rsidRDefault="00DF35DB" w:rsidP="00E249D5">
      <w:pPr>
        <w:pStyle w:val="ListBullet"/>
      </w:pPr>
      <w:r w:rsidRPr="002A0E56">
        <w:t>A</w:t>
      </w:r>
      <w:r w:rsidR="00D14326" w:rsidRPr="002A0E56">
        <w:t>ssurance that interventions and supports will cause no harm to the individual</w:t>
      </w:r>
    </w:p>
    <w:p w14:paraId="7D7937FC" w14:textId="2BDABA74" w:rsidR="00F860C9" w:rsidRDefault="00D14326" w:rsidP="00E249D5">
      <w:pPr>
        <w:pStyle w:val="Heading3"/>
      </w:pPr>
      <w:bookmarkStart w:id="36" w:name="_Toc225253660"/>
      <w:bookmarkStart w:id="37" w:name="_Toc229051511"/>
      <w:r w:rsidRPr="002A0E56">
        <w:t>2.5</w:t>
      </w:r>
      <w:r w:rsidR="004E5AFF">
        <w:t xml:space="preserve"> </w:t>
      </w:r>
      <w:r w:rsidRPr="002A0E56">
        <w:t>Personnel</w:t>
      </w:r>
      <w:bookmarkEnd w:id="36"/>
      <w:bookmarkEnd w:id="37"/>
    </w:p>
    <w:p w14:paraId="72FC06D1" w14:textId="45166784" w:rsidR="00D14326" w:rsidRPr="002A0E56" w:rsidRDefault="00D14326" w:rsidP="00E249D5">
      <w:pPr>
        <w:pStyle w:val="Heading4"/>
        <w:rPr>
          <w:i/>
        </w:rPr>
      </w:pPr>
      <w:bookmarkStart w:id="38" w:name="_Background_Investigations"/>
      <w:bookmarkStart w:id="39" w:name="_Toc229051512"/>
      <w:bookmarkEnd w:id="38"/>
      <w:r w:rsidRPr="002A0E56">
        <w:t>Criminal History Screening</w:t>
      </w:r>
      <w:bookmarkEnd w:id="39"/>
    </w:p>
    <w:p w14:paraId="3175FEF4" w14:textId="012FC8D0" w:rsidR="00015284" w:rsidRDefault="00015284" w:rsidP="00E249D5">
      <w:r>
        <w:t>P</w:t>
      </w:r>
      <w:r w:rsidR="00D14326" w:rsidRPr="002A0E56">
        <w:t xml:space="preserve">roviders are required to perform </w:t>
      </w:r>
      <w:r>
        <w:t>criminal/</w:t>
      </w:r>
      <w:r w:rsidR="00D14326" w:rsidRPr="002A0E56">
        <w:t>background investigations</w:t>
      </w:r>
      <w:r w:rsidR="00F860C9">
        <w:t xml:space="preserve"> </w:t>
      </w:r>
      <w:r w:rsidR="00CD6FBB">
        <w:t xml:space="preserve">for prospective staff </w:t>
      </w:r>
      <w:r w:rsidR="00F860C9" w:rsidRPr="002A0E56">
        <w:t>prior to employment</w:t>
      </w:r>
      <w:r w:rsidR="00687B5A">
        <w:t xml:space="preserve"> </w:t>
      </w:r>
      <w:r>
        <w:t xml:space="preserve">in positions involving contact with </w:t>
      </w:r>
      <w:proofErr w:type="spellStart"/>
      <w:r>
        <w:t>partiipants</w:t>
      </w:r>
      <w:proofErr w:type="spellEnd"/>
      <w:r w:rsidR="00F860C9" w:rsidRPr="002A0E56">
        <w:t>.</w:t>
      </w:r>
      <w:r w:rsidR="00F860C9">
        <w:t xml:space="preserve"> </w:t>
      </w:r>
      <w:r>
        <w:t xml:space="preserve">No person is allowed to be employed to work or volunteer in any capacity who left or was discharged from employment with any employer due to abuse or neglect to patients, residents or participants and the dismissal or departure has not been reversed by any tribunal or </w:t>
      </w:r>
      <w:proofErr w:type="spellStart"/>
      <w:r>
        <w:t>ageny</w:t>
      </w:r>
      <w:proofErr w:type="spellEnd"/>
      <w:r>
        <w:t xml:space="preserve">. </w:t>
      </w:r>
    </w:p>
    <w:p w14:paraId="045CB977" w14:textId="149DF6FE" w:rsidR="00015284" w:rsidRDefault="00015284" w:rsidP="00E249D5">
      <w:r>
        <w:t xml:space="preserve">All persons employed </w:t>
      </w:r>
      <w:r w:rsidR="00B32144">
        <w:t xml:space="preserve">by the provider </w:t>
      </w:r>
      <w:r>
        <w:t xml:space="preserve">shall be registered and screened through the </w:t>
      </w:r>
      <w:r w:rsidR="00CD6FBB">
        <w:br/>
      </w:r>
      <w:hyperlink r:id="rId33" w:history="1">
        <w:r w:rsidR="00CD6FBB" w:rsidRPr="00A45133">
          <w:rPr>
            <w:rStyle w:val="Hyperlink"/>
          </w:rPr>
          <w:t>Family Care Safety Registry (</w:t>
        </w:r>
        <w:r w:rsidRPr="00A45133">
          <w:rPr>
            <w:rStyle w:val="Hyperlink"/>
          </w:rPr>
          <w:t>FCSR</w:t>
        </w:r>
        <w:r w:rsidR="00CD6FBB" w:rsidRPr="00A45133">
          <w:rPr>
            <w:rStyle w:val="Hyperlink"/>
          </w:rPr>
          <w:t>)</w:t>
        </w:r>
      </w:hyperlink>
      <w:r>
        <w:t xml:space="preserve">, which includes an </w:t>
      </w:r>
      <w:hyperlink r:id="rId34" w:history="1">
        <w:r w:rsidR="00CD6FBB" w:rsidRPr="00A45133">
          <w:rPr>
            <w:rStyle w:val="Hyperlink"/>
          </w:rPr>
          <w:t>Employee Disqualification List (</w:t>
        </w:r>
        <w:r w:rsidRPr="00A45133">
          <w:rPr>
            <w:rStyle w:val="Hyperlink"/>
          </w:rPr>
          <w:t>EDL</w:t>
        </w:r>
        <w:r w:rsidR="00CD6FBB" w:rsidRPr="00A45133">
          <w:rPr>
            <w:rStyle w:val="Hyperlink"/>
          </w:rPr>
          <w:t>)</w:t>
        </w:r>
      </w:hyperlink>
      <w:r>
        <w:t xml:space="preserve"> screening and a criminal background review through the Missouri State Highway Patrol (MSHP). </w:t>
      </w:r>
    </w:p>
    <w:p w14:paraId="7C284EC1" w14:textId="28C4A431" w:rsidR="00015284" w:rsidRDefault="00015284" w:rsidP="00E249D5">
      <w:r>
        <w:t xml:space="preserve">Providers are required by statute at </w:t>
      </w:r>
      <w:hyperlink r:id="rId35" w:history="1">
        <w:r w:rsidR="00A45133" w:rsidRPr="00A45133">
          <w:rPr>
            <w:rStyle w:val="Hyperlink"/>
          </w:rPr>
          <w:t>192.2495</w:t>
        </w:r>
      </w:hyperlink>
      <w:r w:rsidR="00A45133" w:rsidRPr="00A45133">
        <w:rPr>
          <w:rStyle w:val="Hyperlink"/>
        </w:rPr>
        <w:t xml:space="preserve"> </w:t>
      </w:r>
      <w:proofErr w:type="spellStart"/>
      <w:r w:rsidR="00A45133" w:rsidRPr="00A45133">
        <w:rPr>
          <w:rStyle w:val="Hyperlink"/>
        </w:rPr>
        <w:t>RSMo</w:t>
      </w:r>
      <w:proofErr w:type="spellEnd"/>
      <w:r>
        <w:t xml:space="preserve"> </w:t>
      </w:r>
      <w:r w:rsidR="00A45133">
        <w:t>1</w:t>
      </w:r>
      <w:r>
        <w:t xml:space="preserve">to complete an EDL screening and a criminal background review through MSHP for all new applicants prior to employment in positions involving contact with participants. Providers are also required to complete checks at least every 90 days (quarterly) to determine whether any current employee, contractor, or volunteer has been recently added to the list. If it is </w:t>
      </w:r>
      <w:proofErr w:type="spellStart"/>
      <w:r>
        <w:t>foud</w:t>
      </w:r>
      <w:proofErr w:type="spellEnd"/>
      <w:r>
        <w:t xml:space="preserve"> that a current employee was added to the EDL, that employee will not be allowed to be employed as a caregiver. Providers must abide by the rules set forth in 19 CSR 30-82.060 regarding any employee not eligible for employment. </w:t>
      </w:r>
    </w:p>
    <w:p w14:paraId="233FA835" w14:textId="185D5003" w:rsidR="00B54077" w:rsidRDefault="00B54077" w:rsidP="00E249D5">
      <w:r>
        <w:t xml:space="preserve">Providers using the </w:t>
      </w:r>
      <w:r w:rsidR="00CD6FBB" w:rsidRPr="00B76CE0">
        <w:rPr>
          <w:bCs/>
        </w:rPr>
        <w:t>FCSR</w:t>
      </w:r>
      <w:r>
        <w:t xml:space="preserve"> to conduct the EDL and MSHP criminal background review fulfill the statutorily required background screening requirement, provided there is sufficient documentation showing the identity of the person who was screened, the date the screening and completed, and the outcome of the screening. </w:t>
      </w:r>
    </w:p>
    <w:p w14:paraId="3304901A" w14:textId="10D96AC4" w:rsidR="00F860C9" w:rsidRDefault="00D14326" w:rsidP="00E249D5">
      <w:r w:rsidRPr="002A0E56">
        <w:t xml:space="preserve">DHSS is responsible for maintaining the </w:t>
      </w:r>
      <w:r w:rsidR="00CD6FBB" w:rsidRPr="00CD6FBB">
        <w:t>EDL</w:t>
      </w:r>
      <w:r w:rsidRPr="002A0E56">
        <w:t xml:space="preserve"> and the </w:t>
      </w:r>
      <w:r w:rsidR="00CD6FBB" w:rsidRPr="00CD6FBB">
        <w:rPr>
          <w:bCs/>
        </w:rPr>
        <w:t>FCSR</w:t>
      </w:r>
      <w:r w:rsidRPr="002A0E56">
        <w:t xml:space="preserve">. </w:t>
      </w:r>
      <w:r w:rsidR="00B54077">
        <w:t xml:space="preserve">Refer to </w:t>
      </w:r>
      <w:hyperlink r:id="rId36" w:anchor="edregistry" w:history="1">
        <w:r w:rsidR="00B54077" w:rsidRPr="00406F43">
          <w:rPr>
            <w:rStyle w:val="Hyperlink"/>
          </w:rPr>
          <w:t>DHSS Background Information</w:t>
        </w:r>
      </w:hyperlink>
      <w:r w:rsidR="00B54077">
        <w:t xml:space="preserve"> for additional information. </w:t>
      </w:r>
    </w:p>
    <w:p w14:paraId="4A263C1E" w14:textId="30CF727E" w:rsidR="004D37FB" w:rsidRDefault="004D37FB" w:rsidP="00E249D5">
      <w:pPr>
        <w:pStyle w:val="Heading4"/>
        <w:rPr>
          <w:i/>
        </w:rPr>
      </w:pPr>
      <w:bookmarkStart w:id="40" w:name="_Toc229051513"/>
      <w:r>
        <w:t>Administrative Supervisor Qualifications</w:t>
      </w:r>
      <w:bookmarkEnd w:id="40"/>
    </w:p>
    <w:p w14:paraId="37DD3705" w14:textId="77777777" w:rsidR="004D37FB" w:rsidRPr="00516B5D" w:rsidRDefault="004D37FB">
      <w:pPr>
        <w:rPr>
          <w:rFonts w:eastAsiaTheme="minorHAnsi"/>
        </w:rPr>
      </w:pPr>
      <w:r w:rsidRPr="00516B5D">
        <w:rPr>
          <w:rFonts w:eastAsiaTheme="minorHAnsi"/>
        </w:rPr>
        <w:t xml:space="preserve">A personal care administrative supervisor shall be designated by the provider ownership or administrative management to supervise the </w:t>
      </w:r>
      <w:proofErr w:type="gramStart"/>
      <w:r w:rsidRPr="00516B5D">
        <w:rPr>
          <w:rFonts w:eastAsiaTheme="minorHAnsi"/>
        </w:rPr>
        <w:t>day to day</w:t>
      </w:r>
      <w:proofErr w:type="gramEnd"/>
      <w:r w:rsidRPr="00516B5D">
        <w:rPr>
          <w:rFonts w:eastAsiaTheme="minorHAnsi"/>
        </w:rPr>
        <w:t xml:space="preserve"> delivery of direct personal care services. This position of responsibility may be assigned in conjunction with other duties within the provider organization. </w:t>
      </w:r>
    </w:p>
    <w:p w14:paraId="3C9498C7" w14:textId="77777777" w:rsidR="00B32001" w:rsidRDefault="004D37FB">
      <w:pPr>
        <w:rPr>
          <w:rFonts w:eastAsiaTheme="minorHAnsi"/>
        </w:rPr>
      </w:pPr>
      <w:r w:rsidRPr="00516B5D">
        <w:rPr>
          <w:rFonts w:eastAsiaTheme="minorHAnsi"/>
        </w:rPr>
        <w:t>The designated administrative supervisor shall be at least 21 years of age. In addition, the supervisor must meet at least one</w:t>
      </w:r>
      <w:r w:rsidR="00B32001">
        <w:rPr>
          <w:rFonts w:eastAsiaTheme="minorHAnsi"/>
        </w:rPr>
        <w:t xml:space="preserve"> (1)</w:t>
      </w:r>
      <w:r w:rsidRPr="00516B5D">
        <w:rPr>
          <w:rFonts w:eastAsiaTheme="minorHAnsi"/>
        </w:rPr>
        <w:t xml:space="preserve"> of the following criteria before performing the supervisory duties required by these standards</w:t>
      </w:r>
      <w:r w:rsidR="00B32001">
        <w:rPr>
          <w:rFonts w:eastAsiaTheme="minorHAnsi"/>
        </w:rPr>
        <w:t>:</w:t>
      </w:r>
      <w:r w:rsidRPr="00516B5D">
        <w:rPr>
          <w:rFonts w:eastAsiaTheme="minorHAnsi"/>
        </w:rPr>
        <w:t xml:space="preserve"> </w:t>
      </w:r>
    </w:p>
    <w:p w14:paraId="2BB5DB97" w14:textId="77777777" w:rsidR="00B32001" w:rsidRDefault="00B32001" w:rsidP="00F27C91">
      <w:pPr>
        <w:pStyle w:val="ListBullet"/>
        <w:rPr>
          <w:rFonts w:eastAsiaTheme="minorHAnsi"/>
        </w:rPr>
      </w:pPr>
      <w:r>
        <w:rPr>
          <w:rFonts w:eastAsiaTheme="minorHAnsi"/>
        </w:rPr>
        <w:t>B</w:t>
      </w:r>
      <w:r w:rsidR="004D37FB" w:rsidRPr="00F979A3">
        <w:rPr>
          <w:rFonts w:eastAsiaTheme="minorHAnsi"/>
        </w:rPr>
        <w:t>e a RN currently licensed in Missouri</w:t>
      </w:r>
    </w:p>
    <w:p w14:paraId="7AB60CC3" w14:textId="77777777" w:rsidR="00B32001" w:rsidRDefault="00B32001" w:rsidP="00F27C91">
      <w:pPr>
        <w:pStyle w:val="ListBullet"/>
        <w:rPr>
          <w:rFonts w:eastAsiaTheme="minorHAnsi"/>
        </w:rPr>
      </w:pPr>
      <w:r>
        <w:rPr>
          <w:rFonts w:eastAsiaTheme="minorHAnsi"/>
        </w:rPr>
        <w:t>H</w:t>
      </w:r>
      <w:r w:rsidR="004D37FB" w:rsidRPr="00F979A3">
        <w:rPr>
          <w:rFonts w:eastAsiaTheme="minorHAnsi"/>
        </w:rPr>
        <w:t>ave a baccalaureate degree</w:t>
      </w:r>
    </w:p>
    <w:p w14:paraId="35149E09" w14:textId="77777777" w:rsidR="00B32001" w:rsidRDefault="00B32001" w:rsidP="00F27C91">
      <w:pPr>
        <w:pStyle w:val="ListBullet"/>
        <w:rPr>
          <w:rFonts w:eastAsiaTheme="minorHAnsi"/>
        </w:rPr>
      </w:pPr>
      <w:r>
        <w:rPr>
          <w:rFonts w:eastAsiaTheme="minorHAnsi"/>
        </w:rPr>
        <w:t>B</w:t>
      </w:r>
      <w:r w:rsidR="004D37FB" w:rsidRPr="00F979A3">
        <w:rPr>
          <w:rFonts w:eastAsiaTheme="minorHAnsi"/>
        </w:rPr>
        <w:t xml:space="preserve">e </w:t>
      </w:r>
      <w:proofErr w:type="gramStart"/>
      <w:r w:rsidR="004D37FB" w:rsidRPr="00F979A3">
        <w:rPr>
          <w:rFonts w:eastAsiaTheme="minorHAnsi"/>
        </w:rPr>
        <w:t>a</w:t>
      </w:r>
      <w:proofErr w:type="gramEnd"/>
      <w:r w:rsidR="004D37FB" w:rsidRPr="00F979A3">
        <w:rPr>
          <w:rFonts w:eastAsiaTheme="minorHAnsi"/>
        </w:rPr>
        <w:t xml:space="preserve"> LPN currently licensed in Missouri with at least one (1) year of experience with the care of the elderly, or individuals with disabilities or medically-complex conditions</w:t>
      </w:r>
    </w:p>
    <w:p w14:paraId="72FF8939" w14:textId="77777777" w:rsidR="004D37FB" w:rsidRPr="00F979A3" w:rsidRDefault="00B32001" w:rsidP="00F27C91">
      <w:pPr>
        <w:pStyle w:val="ListBullet"/>
        <w:rPr>
          <w:rFonts w:eastAsiaTheme="minorHAnsi"/>
        </w:rPr>
      </w:pPr>
      <w:r>
        <w:rPr>
          <w:rFonts w:eastAsiaTheme="minorHAnsi"/>
        </w:rPr>
        <w:t>H</w:t>
      </w:r>
      <w:r w:rsidR="004D37FB" w:rsidRPr="00F979A3">
        <w:rPr>
          <w:rFonts w:eastAsiaTheme="minorHAnsi"/>
        </w:rPr>
        <w:t xml:space="preserve">ave at least two (2) years of experience in the care of the elderly, or individuals with disabilities or </w:t>
      </w:r>
      <w:proofErr w:type="gramStart"/>
      <w:r w:rsidR="004D37FB" w:rsidRPr="00F979A3">
        <w:rPr>
          <w:rFonts w:eastAsiaTheme="minorHAnsi"/>
        </w:rPr>
        <w:t>medically-complex</w:t>
      </w:r>
      <w:proofErr w:type="gramEnd"/>
      <w:r w:rsidR="004D37FB" w:rsidRPr="00F979A3">
        <w:rPr>
          <w:rFonts w:eastAsiaTheme="minorHAnsi"/>
        </w:rPr>
        <w:t xml:space="preserve"> conditions</w:t>
      </w:r>
    </w:p>
    <w:p w14:paraId="50403443" w14:textId="77777777" w:rsidR="004D37FB" w:rsidRDefault="004D37FB">
      <w:pPr>
        <w:rPr>
          <w:rFonts w:eastAsiaTheme="minorHAnsi"/>
        </w:rPr>
      </w:pPr>
      <w:r w:rsidRPr="00516B5D">
        <w:rPr>
          <w:rFonts w:eastAsiaTheme="minorHAnsi"/>
        </w:rPr>
        <w:t xml:space="preserve">If the designated administrative supervisor is not a RN, the provider agency must have a designated RN currently licensed in Missouri on staff or employed as a consultant available to fulfill the </w:t>
      </w:r>
      <w:r w:rsidR="00043FFD">
        <w:rPr>
          <w:rFonts w:eastAsiaTheme="minorHAnsi"/>
        </w:rPr>
        <w:t>supervision of in-home services</w:t>
      </w:r>
      <w:r w:rsidRPr="00516B5D">
        <w:rPr>
          <w:rFonts w:eastAsiaTheme="minorHAnsi"/>
        </w:rPr>
        <w:t xml:space="preserve"> functions described later in this section.</w:t>
      </w:r>
    </w:p>
    <w:p w14:paraId="4A21BF30" w14:textId="77777777" w:rsidR="00043FFD" w:rsidRPr="00516B5D" w:rsidRDefault="00043FFD" w:rsidP="00D162D9">
      <w:pPr>
        <w:rPr>
          <w:rFonts w:eastAsiaTheme="minorHAnsi"/>
        </w:rPr>
      </w:pPr>
      <w:r>
        <w:rPr>
          <w:rFonts w:eastAsiaTheme="minorHAnsi"/>
        </w:rPr>
        <w:t xml:space="preserve">If supervised by a RN, </w:t>
      </w:r>
      <w:proofErr w:type="gramStart"/>
      <w:r>
        <w:rPr>
          <w:rFonts w:eastAsiaTheme="minorHAnsi"/>
        </w:rPr>
        <w:t>a</w:t>
      </w:r>
      <w:proofErr w:type="gramEnd"/>
      <w:r>
        <w:rPr>
          <w:rFonts w:eastAsiaTheme="minorHAnsi"/>
        </w:rPr>
        <w:t xml:space="preserve"> LPN or Graduate Nurse (GN) may perform the supervisory functions described later in this section.</w:t>
      </w:r>
    </w:p>
    <w:p w14:paraId="0BB06DE8" w14:textId="77777777" w:rsidR="00D14326" w:rsidRPr="002A0E56" w:rsidRDefault="00D14326" w:rsidP="002608F9">
      <w:pPr>
        <w:pStyle w:val="Heading4"/>
        <w:rPr>
          <w:i/>
        </w:rPr>
      </w:pPr>
      <w:bookmarkStart w:id="41" w:name="_Toc229051514"/>
      <w:r w:rsidRPr="002A0E56">
        <w:t>Attendant Care Aide Requirements</w:t>
      </w:r>
      <w:bookmarkEnd w:id="41"/>
    </w:p>
    <w:p w14:paraId="0A750C1D" w14:textId="77777777" w:rsidR="00D14326" w:rsidRPr="002A0E56" w:rsidRDefault="00D14326" w:rsidP="00B87E54">
      <w:pPr>
        <w:pStyle w:val="BL2"/>
        <w:tabs>
          <w:tab w:val="clear" w:pos="1382"/>
          <w:tab w:val="left" w:pos="1440"/>
        </w:tabs>
        <w:spacing w:before="160" w:line="276" w:lineRule="auto"/>
        <w:ind w:left="0" w:firstLine="0"/>
      </w:pPr>
      <w:r w:rsidRPr="002A0E56">
        <w:t>All basic Attendant Care aides employed by the provider must:</w:t>
      </w:r>
    </w:p>
    <w:p w14:paraId="475E7C2B" w14:textId="77777777" w:rsidR="00D14326" w:rsidRPr="002A0E56" w:rsidRDefault="00D14326" w:rsidP="00D162D9">
      <w:pPr>
        <w:pStyle w:val="ListBullet"/>
      </w:pPr>
      <w:r w:rsidRPr="002A0E56">
        <w:t>Be at least 18 years of age</w:t>
      </w:r>
    </w:p>
    <w:p w14:paraId="0ECE49FA" w14:textId="2522796F" w:rsidR="00D14326" w:rsidRPr="002A0E56" w:rsidRDefault="00D14326" w:rsidP="00D162D9">
      <w:pPr>
        <w:pStyle w:val="ListBullet"/>
      </w:pPr>
      <w:r w:rsidRPr="002A0E56">
        <w:t>Be able to read, write</w:t>
      </w:r>
      <w:r w:rsidR="00764E3D">
        <w:t>,</w:t>
      </w:r>
      <w:r w:rsidRPr="002A0E56">
        <w:t xml:space="preserve"> and follow directions </w:t>
      </w:r>
    </w:p>
    <w:p w14:paraId="1AF8B2D2" w14:textId="77777777" w:rsidR="00BD27E8" w:rsidRDefault="00BD27E8" w:rsidP="00D162D9">
      <w:pPr>
        <w:pStyle w:val="ListBullet"/>
      </w:pPr>
      <w:r>
        <w:t xml:space="preserve">Not be </w:t>
      </w:r>
      <w:r w:rsidR="004B13ED">
        <w:t>the</w:t>
      </w:r>
      <w:r>
        <w:t xml:space="preserve"> family member of the participant for whom attendant care is to be provided</w:t>
      </w:r>
      <w:r w:rsidR="005C286C">
        <w:t>,</w:t>
      </w:r>
      <w:r>
        <w:t xml:space="preserve"> as defined in </w:t>
      </w:r>
      <w:hyperlink w:anchor="_2.1_General_Information" w:history="1">
        <w:r w:rsidR="00B32001" w:rsidRPr="00406F43">
          <w:rPr>
            <w:rStyle w:val="Hyperlink"/>
          </w:rPr>
          <w:t>S</w:t>
        </w:r>
        <w:r w:rsidRPr="00406F43">
          <w:rPr>
            <w:rStyle w:val="Hyperlink"/>
          </w:rPr>
          <w:t>ection 2.1</w:t>
        </w:r>
      </w:hyperlink>
      <w:r>
        <w:t xml:space="preserve"> of this provider manual </w:t>
      </w:r>
    </w:p>
    <w:p w14:paraId="51F0E234" w14:textId="05AA2D2F" w:rsidR="00BE1F0B" w:rsidRPr="002A0E56" w:rsidRDefault="00BE1F0B" w:rsidP="00D162D9">
      <w:r>
        <w:t xml:space="preserve">Prior to the delivery of service, the aide shall receive a copy of the plan of care for the participant and be provided with information about the participant </w:t>
      </w:r>
      <w:proofErr w:type="gramStart"/>
      <w:r>
        <w:t>in order to</w:t>
      </w:r>
      <w:proofErr w:type="gramEnd"/>
      <w:r>
        <w:t xml:space="preserve"> appropriately deliver services to meet the needs of the participant.</w:t>
      </w:r>
      <w:r w:rsidR="00764E3D">
        <w:t xml:space="preserve"> Refer to </w:t>
      </w:r>
      <w:hyperlink w:anchor="_Plan_of_Care" w:history="1">
        <w:r w:rsidR="00764E3D" w:rsidRPr="00406F43">
          <w:rPr>
            <w:rStyle w:val="Hyperlink"/>
          </w:rPr>
          <w:t>Section 2.7</w:t>
        </w:r>
      </w:hyperlink>
      <w:r w:rsidR="00764E3D">
        <w:t xml:space="preserve"> </w:t>
      </w:r>
      <w:r w:rsidR="00B32144">
        <w:t xml:space="preserve">of this manual </w:t>
      </w:r>
      <w:r w:rsidR="00764E3D">
        <w:t>for information on the plan of care.</w:t>
      </w:r>
    </w:p>
    <w:p w14:paraId="2122BC69" w14:textId="15BB728C" w:rsidR="00D14326" w:rsidRPr="002A0E56" w:rsidRDefault="00D14326" w:rsidP="002608F9">
      <w:pPr>
        <w:pStyle w:val="Heading4"/>
        <w:rPr>
          <w:i/>
        </w:rPr>
      </w:pPr>
      <w:bookmarkStart w:id="42" w:name="_Supervision_of_In-Home"/>
      <w:bookmarkStart w:id="43" w:name="_Toc229051515"/>
      <w:bookmarkEnd w:id="42"/>
      <w:r w:rsidRPr="002A0E56">
        <w:t>Supervision of In-Home Services</w:t>
      </w:r>
      <w:bookmarkEnd w:id="43"/>
    </w:p>
    <w:p w14:paraId="4CA2C19D" w14:textId="77777777" w:rsidR="00D14326" w:rsidRPr="002A0E56" w:rsidRDefault="00D14326" w:rsidP="00B87E54">
      <w:pPr>
        <w:pStyle w:val="Text2"/>
        <w:spacing w:line="276" w:lineRule="auto"/>
        <w:ind w:left="0"/>
      </w:pPr>
      <w:r w:rsidRPr="002A0E56">
        <w:t>T</w:t>
      </w:r>
      <w:r w:rsidRPr="00D162D9">
        <w:t xml:space="preserve">he duties of </w:t>
      </w:r>
      <w:r w:rsidR="00FF01B7" w:rsidRPr="00D162D9">
        <w:t>the designated supervisor of in-</w:t>
      </w:r>
      <w:r w:rsidRPr="00D162D9">
        <w:t>home services include</w:t>
      </w:r>
      <w:r w:rsidR="00E8687C" w:rsidRPr="00D162D9">
        <w:t>, at a minimum,</w:t>
      </w:r>
      <w:r w:rsidRPr="00D162D9">
        <w:t xml:space="preserve"> the following:</w:t>
      </w:r>
    </w:p>
    <w:p w14:paraId="1AEA8A17" w14:textId="63F580EB" w:rsidR="00D14326" w:rsidRPr="002A0E56" w:rsidRDefault="00D14326" w:rsidP="00D162D9">
      <w:pPr>
        <w:pStyle w:val="ListBullet"/>
      </w:pPr>
      <w:r w:rsidRPr="002A0E56">
        <w:t>All nursing staff (</w:t>
      </w:r>
      <w:r w:rsidR="006C42BE" w:rsidRPr="002A0E56">
        <w:t>RNs</w:t>
      </w:r>
      <w:r w:rsidRPr="002A0E56">
        <w:t xml:space="preserve"> and </w:t>
      </w:r>
      <w:r w:rsidR="004279A7" w:rsidRPr="002A0E56">
        <w:t>LPNs</w:t>
      </w:r>
      <w:r w:rsidRPr="002A0E56">
        <w:t xml:space="preserve">) and administrative supervisors must have documentation in their personnel files that they have been given and have read </w:t>
      </w:r>
      <w:proofErr w:type="gramStart"/>
      <w:r w:rsidR="00C5483D">
        <w:t>the</w:t>
      </w:r>
      <w:r w:rsidR="00844B6C">
        <w:t>se</w:t>
      </w:r>
      <w:r w:rsidR="00C5483D">
        <w:t xml:space="preserve"> supervision</w:t>
      </w:r>
      <w:proofErr w:type="gramEnd"/>
      <w:r w:rsidR="00C5483D">
        <w:t xml:space="preserve"> of in-home services requirements</w:t>
      </w:r>
      <w:r w:rsidRPr="002A0E56">
        <w:t xml:space="preserve">. </w:t>
      </w:r>
    </w:p>
    <w:p w14:paraId="32C056F8" w14:textId="22376906" w:rsidR="00D421A3" w:rsidRDefault="00D14326" w:rsidP="00D162D9">
      <w:pPr>
        <w:pStyle w:val="ListBullet"/>
      </w:pPr>
      <w:r w:rsidRPr="002A0E56">
        <w:t>Monitor the provision of personal care services and authorized nurse visits to</w:t>
      </w:r>
      <w:r w:rsidR="005776E9">
        <w:t xml:space="preserve"> assure</w:t>
      </w:r>
      <w:r w:rsidRPr="002A0E56">
        <w:t xml:space="preserve"> that services are delivered in accordance with the</w:t>
      </w:r>
      <w:r w:rsidR="005776E9">
        <w:t xml:space="preserve"> plan</w:t>
      </w:r>
      <w:r w:rsidR="00637090">
        <w:t xml:space="preserve"> of care</w:t>
      </w:r>
      <w:r w:rsidRPr="002A0E56">
        <w:t>. This shall</w:t>
      </w:r>
      <w:r w:rsidR="005776E9">
        <w:t xml:space="preserve"> be primarily in the form of an at least monthly</w:t>
      </w:r>
      <w:r w:rsidRPr="002A0E56">
        <w:t xml:space="preserve"> review and comparison of the aides’ records of provided services with the </w:t>
      </w:r>
      <w:r w:rsidR="00E8687C">
        <w:t>plan</w:t>
      </w:r>
      <w:r w:rsidR="00637090">
        <w:t xml:space="preserve"> of care</w:t>
      </w:r>
      <w:r w:rsidRPr="002A0E56">
        <w:t>. The units of services authorized, the tasks specified</w:t>
      </w:r>
      <w:r w:rsidR="00E8687C">
        <w:t>,</w:t>
      </w:r>
      <w:r w:rsidRPr="002A0E56">
        <w:t xml:space="preserve"> and the authorized frequency of delivery must be compared to the units, tasks</w:t>
      </w:r>
      <w:r w:rsidR="00524E26">
        <w:t>,</w:t>
      </w:r>
      <w:r w:rsidRPr="002A0E56">
        <w:t xml:space="preserve"> and frequency of delivered services.</w:t>
      </w:r>
      <w:r w:rsidR="005776E9">
        <w:t xml:space="preserve"> The monitoring reports </w:t>
      </w:r>
      <w:r w:rsidR="00E8687C">
        <w:t>shall</w:t>
      </w:r>
      <w:r w:rsidR="005776E9">
        <w:t xml:space="preserve"> be available for review by </w:t>
      </w:r>
      <w:r w:rsidR="00B32001">
        <w:t>DSS</w:t>
      </w:r>
      <w:r w:rsidR="005776E9">
        <w:t xml:space="preserve"> and </w:t>
      </w:r>
      <w:r w:rsidR="00B32001">
        <w:t>DHSS,</w:t>
      </w:r>
      <w:r w:rsidR="005776E9">
        <w:t xml:space="preserve"> upon request</w:t>
      </w:r>
      <w:r w:rsidR="00637090">
        <w:t xml:space="preserve">. </w:t>
      </w:r>
      <w:r w:rsidR="00E8687C">
        <w:t>Documentation, including the reason, must be kept on authorized services and units not delivered.</w:t>
      </w:r>
    </w:p>
    <w:p w14:paraId="17D52DEE" w14:textId="2F309AFB" w:rsidR="00D14326" w:rsidRPr="00C5175C" w:rsidRDefault="00D421A3" w:rsidP="00D162D9">
      <w:pPr>
        <w:pStyle w:val="ListBullet"/>
      </w:pPr>
      <w:r w:rsidRPr="00C5175C">
        <w:t>Establish, implement</w:t>
      </w:r>
      <w:r w:rsidR="00524E26">
        <w:t>,</w:t>
      </w:r>
      <w:r w:rsidRPr="00C5175C">
        <w:t xml:space="preserve"> and enforce a policy governing communicable diseases that prohibits provider staff contact with partic</w:t>
      </w:r>
      <w:r w:rsidR="00B32001" w:rsidRPr="00C5175C">
        <w:t>i</w:t>
      </w:r>
      <w:r w:rsidRPr="00C5175C">
        <w:t xml:space="preserve">pants when the employee has a communicable condition, including colds or flu. Assure that reporting requirements governing communicable diseases, including hepatitis and </w:t>
      </w:r>
      <w:r w:rsidR="00524E26">
        <w:t>TB</w:t>
      </w:r>
      <w:r w:rsidRPr="00C5175C">
        <w:t xml:space="preserve">, as set by </w:t>
      </w:r>
      <w:hyperlink r:id="rId37" w:history="1">
        <w:r w:rsidR="00A867A2" w:rsidRPr="00406F43">
          <w:rPr>
            <w:rStyle w:val="Hyperlink"/>
          </w:rPr>
          <w:t>19 CSR 20-20.020</w:t>
        </w:r>
      </w:hyperlink>
      <w:r w:rsidRPr="00C5175C">
        <w:t>, are carried out.</w:t>
      </w:r>
    </w:p>
    <w:p w14:paraId="684FC206" w14:textId="4E6C4269" w:rsidR="00D14326" w:rsidRPr="002A0E56" w:rsidRDefault="005776E9" w:rsidP="00D162D9">
      <w:pPr>
        <w:pStyle w:val="ListBullet"/>
      </w:pPr>
      <w:r>
        <w:t xml:space="preserve">Make an on-site visit </w:t>
      </w:r>
      <w:r w:rsidR="00864D2E">
        <w:t>at least annually</w:t>
      </w:r>
      <w:r w:rsidR="00E404EE" w:rsidRPr="00E404EE">
        <w:t xml:space="preserve"> </w:t>
      </w:r>
      <w:r w:rsidR="00E404EE" w:rsidRPr="00EE1CA3">
        <w:t xml:space="preserve">to evaluate each </w:t>
      </w:r>
      <w:r w:rsidR="00637090">
        <w:t>aide’s</w:t>
      </w:r>
      <w:r w:rsidR="00E404EE" w:rsidRPr="00EE1CA3">
        <w:t xml:space="preserve"> performance and the adequacy of the plan of care, including review of the plan of care with the participant. The </w:t>
      </w:r>
      <w:r w:rsidR="00637090">
        <w:t>aide</w:t>
      </w:r>
      <w:r w:rsidR="00E404EE" w:rsidRPr="00EE1CA3">
        <w:t xml:space="preserve"> may or may not be present for this evaluation. A written record of the evaluation shall be maintained in the personnel file of the </w:t>
      </w:r>
      <w:r w:rsidR="00637090">
        <w:t>aide</w:t>
      </w:r>
      <w:r w:rsidR="00E404EE" w:rsidRPr="00EE1CA3">
        <w:t>. This record must contain, at a minimum, the partic</w:t>
      </w:r>
      <w:r w:rsidR="00637090">
        <w:t>i</w:t>
      </w:r>
      <w:r w:rsidR="00E404EE" w:rsidRPr="00EE1CA3">
        <w:t>pant’s name and address</w:t>
      </w:r>
      <w:r w:rsidR="00AF1F4B">
        <w:t>,</w:t>
      </w:r>
      <w:r w:rsidR="00E404EE" w:rsidRPr="00EE1CA3">
        <w:t xml:space="preserve"> date and time of the visit, </w:t>
      </w:r>
      <w:r w:rsidR="00637090">
        <w:t>aide’s</w:t>
      </w:r>
      <w:r w:rsidR="00E404EE" w:rsidRPr="00EE1CA3">
        <w:t xml:space="preserve"> name, observations related to the partic</w:t>
      </w:r>
      <w:r w:rsidR="00637090">
        <w:t>i</w:t>
      </w:r>
      <w:r w:rsidR="00E404EE" w:rsidRPr="00EE1CA3">
        <w:t xml:space="preserve">pant’s receipt of care plan delivery, the participant’s satisfaction of the </w:t>
      </w:r>
      <w:r w:rsidR="00637090">
        <w:t>aide’s</w:t>
      </w:r>
      <w:r w:rsidR="00E404EE" w:rsidRPr="00EE1CA3">
        <w:t xml:space="preserve"> performance</w:t>
      </w:r>
      <w:r w:rsidR="00524E26">
        <w:t>,</w:t>
      </w:r>
      <w:r w:rsidR="00E404EE" w:rsidRPr="00EE1CA3">
        <w:t xml:space="preserve"> and the adequacy of the care plan</w:t>
      </w:r>
      <w:r w:rsidR="00524E26">
        <w:t>. The record</w:t>
      </w:r>
      <w:r w:rsidR="00E404EE" w:rsidRPr="00EE1CA3">
        <w:t xml:space="preserve"> must be signed and dated by</w:t>
      </w:r>
      <w:r w:rsidR="001110FB">
        <w:t xml:space="preserve"> both</w:t>
      </w:r>
      <w:r w:rsidR="00E404EE" w:rsidRPr="00EE1CA3">
        <w:t xml:space="preserve"> the supervisor who prepared it and the </w:t>
      </w:r>
      <w:r w:rsidR="00637090">
        <w:t>aide.</w:t>
      </w:r>
      <w:r w:rsidR="00D14326" w:rsidRPr="002A0E56">
        <w:t xml:space="preserve"> </w:t>
      </w:r>
      <w:r w:rsidR="006114C0" w:rsidRPr="002A0E56">
        <w:t xml:space="preserve">If the required evaluation is </w:t>
      </w:r>
      <w:r w:rsidR="006114C0" w:rsidRPr="002A0E56">
        <w:rPr>
          <w:iCs/>
        </w:rPr>
        <w:t>not</w:t>
      </w:r>
      <w:r w:rsidR="006114C0" w:rsidRPr="002A0E56">
        <w:rPr>
          <w:i/>
          <w:iCs/>
        </w:rPr>
        <w:t xml:space="preserve"> </w:t>
      </w:r>
      <w:r w:rsidR="006114C0" w:rsidRPr="002A0E56">
        <w:t xml:space="preserve">performed or </w:t>
      </w:r>
      <w:r w:rsidR="006114C0" w:rsidRPr="002A0E56">
        <w:rPr>
          <w:iCs/>
        </w:rPr>
        <w:t>not</w:t>
      </w:r>
      <w:r w:rsidR="006114C0" w:rsidRPr="002A0E56">
        <w:rPr>
          <w:i/>
          <w:iCs/>
        </w:rPr>
        <w:t xml:space="preserve"> </w:t>
      </w:r>
      <w:r w:rsidR="006114C0" w:rsidRPr="002A0E56">
        <w:t>documented, the aide’s qualifications to provide the service</w:t>
      </w:r>
      <w:r w:rsidR="006114C0">
        <w:t>s</w:t>
      </w:r>
      <w:r w:rsidR="006114C0" w:rsidRPr="002A0E56">
        <w:t xml:space="preserve"> may be presumed inadequate and all payments made for services by that </w:t>
      </w:r>
      <w:r w:rsidR="006114C0">
        <w:t>aide</w:t>
      </w:r>
      <w:r w:rsidR="006114C0" w:rsidRPr="002A0E56">
        <w:t xml:space="preserve"> may be recouped. </w:t>
      </w:r>
    </w:p>
    <w:p w14:paraId="56D353B8" w14:textId="597CB214" w:rsidR="00E404EE" w:rsidRPr="00643F4C" w:rsidRDefault="00E404EE" w:rsidP="00D162D9">
      <w:pPr>
        <w:pStyle w:val="ListBullet"/>
      </w:pPr>
      <w:r w:rsidRPr="00643F4C">
        <w:t xml:space="preserve">Approve, in advance, all changes to the plan of care based on supervisory on-site visits, information from the </w:t>
      </w:r>
      <w:r w:rsidR="00D421A3">
        <w:t>aide</w:t>
      </w:r>
      <w:r w:rsidRPr="00643F4C">
        <w:t>, or observation by the RN, or a combination of these, as noted and dated in the partic</w:t>
      </w:r>
      <w:r w:rsidR="00033C8B">
        <w:t>i</w:t>
      </w:r>
      <w:r w:rsidRPr="00643F4C">
        <w:t>pant’s file.</w:t>
      </w:r>
    </w:p>
    <w:p w14:paraId="043F9722" w14:textId="2A3CA75D" w:rsidR="00E404EE" w:rsidRPr="00353908" w:rsidRDefault="00E404EE" w:rsidP="00D162D9">
      <w:pPr>
        <w:pStyle w:val="ListBullet"/>
      </w:pPr>
      <w:r w:rsidRPr="00643F4C">
        <w:t xml:space="preserve">Make appropriate recommendations to DHSS or its designee, including proposed increase, reduction or termination of services, or need for increased DHSS involvement based on supervisory on-site visits, review of reports, information from the </w:t>
      </w:r>
      <w:r w:rsidR="00D421A3">
        <w:t>aide</w:t>
      </w:r>
      <w:r w:rsidRPr="00353908">
        <w:t>, observation by the RN, or a combination of these</w:t>
      </w:r>
    </w:p>
    <w:p w14:paraId="1695AC4D" w14:textId="73ED5FDE" w:rsidR="00D14326" w:rsidRPr="002A0E56" w:rsidRDefault="00D14326" w:rsidP="00D162D9">
      <w:pPr>
        <w:pStyle w:val="ListBullet"/>
      </w:pPr>
      <w:r w:rsidRPr="002A0E56">
        <w:t>Assist in orientation and attendant care training for attendant care workers</w:t>
      </w:r>
    </w:p>
    <w:p w14:paraId="06FFBB40" w14:textId="77777777" w:rsidR="00D14326" w:rsidRPr="002A0E56" w:rsidRDefault="00D14326" w:rsidP="00D162D9">
      <w:pPr>
        <w:pStyle w:val="ListBullet"/>
      </w:pPr>
      <w:r w:rsidRPr="002A0E56">
        <w:t xml:space="preserve">Designate a trainer(s) to perform the on-the-job training sessions required as part of the basic training of the attendant care aide. The designated trainer(s) may be the attendant care supervisor or an attendant care aide who has been employed by the provider agency at least half-time for a period of six (6) months. </w:t>
      </w:r>
    </w:p>
    <w:p w14:paraId="1BBF3F59" w14:textId="7483B39E" w:rsidR="00D14326" w:rsidRPr="002A0E56" w:rsidRDefault="00D14326" w:rsidP="00D162D9">
      <w:pPr>
        <w:pStyle w:val="ListBullet"/>
      </w:pPr>
      <w:r w:rsidRPr="002A0E56">
        <w:t xml:space="preserve">Communicate with the </w:t>
      </w:r>
      <w:r w:rsidR="00DF3D1E">
        <w:t>AIDS W</w:t>
      </w:r>
      <w:r w:rsidRPr="002A0E56">
        <w:t>aiver case manager regarding changes in any participant’s condition and recommended changes in scope or frequency of service delivery</w:t>
      </w:r>
    </w:p>
    <w:p w14:paraId="12EDFC8C" w14:textId="7B8EAADB" w:rsidR="00D14326" w:rsidRPr="002A0E56" w:rsidRDefault="00D14326" w:rsidP="00D162D9">
      <w:pPr>
        <w:pStyle w:val="ListBullet"/>
      </w:pPr>
      <w:r w:rsidRPr="002A0E56">
        <w:t xml:space="preserve">Be available for case conferences with the </w:t>
      </w:r>
      <w:r w:rsidR="00DF3D1E">
        <w:t>AIDS W</w:t>
      </w:r>
      <w:r w:rsidRPr="002A0E56">
        <w:t>aiver case manager, as needed</w:t>
      </w:r>
    </w:p>
    <w:p w14:paraId="4EFE37B6" w14:textId="2F8D6940" w:rsidR="00D14326" w:rsidRPr="004E5AFF" w:rsidRDefault="00825A3A" w:rsidP="002608F9">
      <w:pPr>
        <w:pStyle w:val="Heading3"/>
      </w:pPr>
      <w:bookmarkStart w:id="44" w:name="_Toc225253661"/>
      <w:bookmarkStart w:id="45" w:name="_Toc229051516"/>
      <w:r w:rsidRPr="004E5AFF">
        <w:t>2.6</w:t>
      </w:r>
      <w:r w:rsidR="004E5AFF" w:rsidRPr="004E5AFF">
        <w:t xml:space="preserve"> </w:t>
      </w:r>
      <w:r w:rsidR="00D14326" w:rsidRPr="004E5AFF">
        <w:t>Records</w:t>
      </w:r>
      <w:bookmarkEnd w:id="44"/>
      <w:bookmarkEnd w:id="45"/>
    </w:p>
    <w:p w14:paraId="09AC2B72" w14:textId="77777777" w:rsidR="00D14326" w:rsidRPr="002A0E56" w:rsidRDefault="00D14326" w:rsidP="002608F9">
      <w:pPr>
        <w:pStyle w:val="Heading4"/>
        <w:rPr>
          <w:i/>
        </w:rPr>
      </w:pPr>
      <w:bookmarkStart w:id="46" w:name="_Toc229051517"/>
      <w:r w:rsidRPr="002A0E56">
        <w:t>Participant Case Record</w:t>
      </w:r>
      <w:bookmarkEnd w:id="46"/>
      <w:r w:rsidRPr="002A0E56">
        <w:t xml:space="preserve"> </w:t>
      </w:r>
    </w:p>
    <w:p w14:paraId="2D0B5E3A" w14:textId="77777777" w:rsidR="004279A7" w:rsidRPr="002608F9" w:rsidRDefault="00D14326" w:rsidP="007424AA">
      <w:pPr>
        <w:pStyle w:val="Heading5"/>
      </w:pPr>
      <w:r w:rsidRPr="002608F9">
        <w:t xml:space="preserve">Attendant </w:t>
      </w:r>
      <w:r w:rsidR="004279A7" w:rsidRPr="002608F9">
        <w:t>C</w:t>
      </w:r>
      <w:r w:rsidRPr="002608F9">
        <w:t>are/</w:t>
      </w:r>
      <w:r w:rsidR="004279A7" w:rsidRPr="002608F9">
        <w:t>P</w:t>
      </w:r>
      <w:r w:rsidRPr="002608F9">
        <w:t xml:space="preserve">ersonal </w:t>
      </w:r>
      <w:r w:rsidR="004279A7" w:rsidRPr="002608F9">
        <w:t>C</w:t>
      </w:r>
      <w:r w:rsidRPr="002608F9">
        <w:t>are</w:t>
      </w:r>
    </w:p>
    <w:p w14:paraId="282A982F" w14:textId="73496E9C" w:rsidR="00D14326" w:rsidRPr="002A0E56" w:rsidRDefault="00D14326" w:rsidP="00D162D9">
      <w:r w:rsidRPr="002A0E56">
        <w:t>The provider shall maintain a participant case record including records of service provision for each participant. The participant record is confidential and shall be protected from damage, theft</w:t>
      </w:r>
      <w:r w:rsidR="003604EB">
        <w:t>,</w:t>
      </w:r>
      <w:r w:rsidRPr="002A0E56">
        <w:t xml:space="preserve"> and unauthorized inspection. It shall be maintained in a central location, and shall contain at least the following:  </w:t>
      </w:r>
    </w:p>
    <w:p w14:paraId="051D16FF" w14:textId="77777777" w:rsidR="00D14326" w:rsidRPr="002A0E56" w:rsidRDefault="00D14326" w:rsidP="00D162D9">
      <w:pPr>
        <w:pStyle w:val="ListBullet"/>
      </w:pPr>
      <w:r w:rsidRPr="002A0E56">
        <w:t xml:space="preserve">The MO HealthNet Authorization Determination form which documents authorization for all units of service provided </w:t>
      </w:r>
    </w:p>
    <w:p w14:paraId="4807F8E5" w14:textId="77777777" w:rsidR="00D14326" w:rsidRPr="002A0E56" w:rsidRDefault="00C8268E" w:rsidP="00D162D9">
      <w:pPr>
        <w:pStyle w:val="ListBullet"/>
      </w:pPr>
      <w:r>
        <w:t>All paid units of service must be documented.</w:t>
      </w:r>
      <w:r w:rsidR="00D14326" w:rsidRPr="002A0E56">
        <w:t xml:space="preserve"> If these documents are not maintained in the participant’s case record, they must be maintained in an area that is readily available for monitoring or inspection by </w:t>
      </w:r>
      <w:r w:rsidR="004279A7" w:rsidRPr="002A0E56">
        <w:t>DSS and DHSS.</w:t>
      </w:r>
      <w:r w:rsidR="00D14326" w:rsidRPr="002A0E56">
        <w:t xml:space="preserve"> </w:t>
      </w:r>
      <w:r>
        <w:t xml:space="preserve">Refer to the </w:t>
      </w:r>
      <w:hyperlink w:anchor="_Adequate_Documentation" w:history="1">
        <w:r w:rsidRPr="00406F43">
          <w:rPr>
            <w:rStyle w:val="Hyperlink"/>
          </w:rPr>
          <w:t>Adequate Documentation</w:t>
        </w:r>
      </w:hyperlink>
      <w:r>
        <w:t xml:space="preserve"> </w:t>
      </w:r>
      <w:r w:rsidR="007D5C54">
        <w:t>requirements</w:t>
      </w:r>
      <w:r>
        <w:t xml:space="preserve"> in this section.</w:t>
      </w:r>
    </w:p>
    <w:p w14:paraId="74E4553C" w14:textId="77777777" w:rsidR="00D14326" w:rsidRPr="002A0E56" w:rsidRDefault="00D14326" w:rsidP="00D162D9">
      <w:pPr>
        <w:pStyle w:val="ListBullet"/>
      </w:pPr>
      <w:r w:rsidRPr="002A0E56">
        <w:t xml:space="preserve">Documentation of undelivered services </w:t>
      </w:r>
    </w:p>
    <w:p w14:paraId="76A6DC26" w14:textId="77777777" w:rsidR="00D14326" w:rsidRPr="002A0E56" w:rsidRDefault="00D14326" w:rsidP="00D162D9">
      <w:pPr>
        <w:pStyle w:val="ListBullet"/>
      </w:pPr>
      <w:r w:rsidRPr="002A0E56">
        <w:t>The RN’s written notes concerning any on-site</w:t>
      </w:r>
      <w:r w:rsidR="00214E3F" w:rsidRPr="002A0E56">
        <w:t xml:space="preserve"> visits made to the participan</w:t>
      </w:r>
      <w:r w:rsidR="000A1F6A">
        <w:t>t</w:t>
      </w:r>
      <w:r w:rsidRPr="002A0E56">
        <w:t xml:space="preserve"> </w:t>
      </w:r>
    </w:p>
    <w:p w14:paraId="7A5899A8" w14:textId="77777777" w:rsidR="00D14326" w:rsidRPr="002A0E56" w:rsidRDefault="00D14326" w:rsidP="00D162D9">
      <w:pPr>
        <w:pStyle w:val="ListBullet"/>
      </w:pPr>
      <w:r w:rsidRPr="002A0E56">
        <w:t>Documentation of all correspondence and contacts with the participant’s physician or other care providers</w:t>
      </w:r>
    </w:p>
    <w:p w14:paraId="340BCBFA" w14:textId="77777777" w:rsidR="00D14326" w:rsidRDefault="00D14326" w:rsidP="00D162D9">
      <w:pPr>
        <w:pStyle w:val="ListBullet"/>
      </w:pPr>
      <w:r w:rsidRPr="002A0E56">
        <w:t>Census records must indicate that the participant was in the facility on the date of the billed service. Documentation must also indicate the participant was in the facility at least (6) six hours for each date of s</w:t>
      </w:r>
      <w:r w:rsidR="002C7180" w:rsidRPr="002A0E56">
        <w:t>ervice attendant care is billed</w:t>
      </w:r>
      <w:r w:rsidR="004279A7" w:rsidRPr="002A0E56">
        <w:t>.</w:t>
      </w:r>
    </w:p>
    <w:p w14:paraId="439CF8BB" w14:textId="77777777" w:rsidR="00504763" w:rsidRPr="002A0E56" w:rsidRDefault="00504763" w:rsidP="00D162D9">
      <w:pPr>
        <w:pStyle w:val="ListBullet"/>
      </w:pPr>
      <w:r>
        <w:t>Any other pertinent documentation regarding the participant</w:t>
      </w:r>
    </w:p>
    <w:p w14:paraId="3AA45BC2" w14:textId="77777777" w:rsidR="00D14326" w:rsidRPr="002A0E56" w:rsidRDefault="00D14326" w:rsidP="001F3B10">
      <w:pPr>
        <w:pStyle w:val="Heading4"/>
        <w:rPr>
          <w:i/>
        </w:rPr>
      </w:pPr>
      <w:bookmarkStart w:id="47" w:name="_Toc229051518"/>
      <w:r w:rsidRPr="002A0E56">
        <w:t>Personnel Record</w:t>
      </w:r>
      <w:bookmarkEnd w:id="47"/>
      <w:r w:rsidRPr="002A0E56">
        <w:t xml:space="preserve"> </w:t>
      </w:r>
    </w:p>
    <w:p w14:paraId="4E60EE21" w14:textId="6F78C6C5" w:rsidR="00D14326" w:rsidRPr="002A0E56" w:rsidRDefault="00D14326" w:rsidP="00D162D9">
      <w:r w:rsidRPr="002A0E56">
        <w:t xml:space="preserve">The provider </w:t>
      </w:r>
      <w:r w:rsidRPr="002A0E56">
        <w:rPr>
          <w:iCs/>
        </w:rPr>
        <w:t>must</w:t>
      </w:r>
      <w:r w:rsidRPr="002A0E56">
        <w:rPr>
          <w:i/>
          <w:iCs/>
        </w:rPr>
        <w:t xml:space="preserve"> </w:t>
      </w:r>
      <w:r w:rsidRPr="002A0E56">
        <w:t xml:space="preserve">maintain an individual </w:t>
      </w:r>
      <w:r w:rsidR="00950278" w:rsidRPr="002A0E56">
        <w:t xml:space="preserve">personnel </w:t>
      </w:r>
      <w:r w:rsidRPr="002A0E56">
        <w:t>record for each employee. A personnel record is a confidential record and shall be protected from damage, theft</w:t>
      </w:r>
      <w:r w:rsidR="003604EB">
        <w:t>,</w:t>
      </w:r>
      <w:r w:rsidRPr="002A0E56">
        <w:t xml:space="preserve"> and/or unauthorized inspection. An individual personnel record shall include, at a minimum, the following:  </w:t>
      </w:r>
    </w:p>
    <w:p w14:paraId="779C3ADB" w14:textId="22BE08CB" w:rsidR="00D14326" w:rsidRPr="002A0E56" w:rsidRDefault="00D14326" w:rsidP="00D162D9">
      <w:pPr>
        <w:pStyle w:val="ListBullet"/>
      </w:pPr>
      <w:r w:rsidRPr="002A0E56">
        <w:t>Employment application with the employee’s signature showing date of birth, education, work experience</w:t>
      </w:r>
      <w:r w:rsidR="003604EB">
        <w:t>,</w:t>
      </w:r>
      <w:r w:rsidRPr="002A0E56">
        <w:t xml:space="preserve"> and the date employed and terminated by the service provider</w:t>
      </w:r>
    </w:p>
    <w:p w14:paraId="3F8ADFB7" w14:textId="77777777" w:rsidR="00D14326" w:rsidRPr="002A0E56" w:rsidRDefault="00D14326" w:rsidP="00D162D9">
      <w:pPr>
        <w:pStyle w:val="ListBullet"/>
      </w:pPr>
      <w:r w:rsidRPr="002A0E56">
        <w:t xml:space="preserve">All documentation of the </w:t>
      </w:r>
      <w:r w:rsidR="008B1450">
        <w:t>background</w:t>
      </w:r>
      <w:r w:rsidRPr="002A0E56">
        <w:t xml:space="preserve"> screenings (EDL and FCSR) </w:t>
      </w:r>
    </w:p>
    <w:p w14:paraId="4DB54892" w14:textId="77777777" w:rsidR="00D14326" w:rsidRPr="002A0E56" w:rsidRDefault="00D14326" w:rsidP="001F3B10">
      <w:pPr>
        <w:pStyle w:val="Heading4"/>
        <w:rPr>
          <w:i/>
        </w:rPr>
      </w:pPr>
      <w:bookmarkStart w:id="48" w:name="_Adequate_Documentation"/>
      <w:bookmarkStart w:id="49" w:name="_Toc229051519"/>
      <w:bookmarkEnd w:id="48"/>
      <w:r w:rsidRPr="002A0E56">
        <w:t>Adequate Documentation</w:t>
      </w:r>
      <w:bookmarkEnd w:id="49"/>
    </w:p>
    <w:p w14:paraId="3EADE1C1" w14:textId="72606381" w:rsidR="00CE353C" w:rsidRPr="00A5680D" w:rsidRDefault="00D14326" w:rsidP="00D162D9">
      <w:r w:rsidRPr="002A0E56">
        <w:t xml:space="preserve">All services provided </w:t>
      </w:r>
      <w:r w:rsidRPr="002A0E56">
        <w:rPr>
          <w:rStyle w:val="Itlc"/>
          <w:i w:val="0"/>
          <w:iCs/>
          <w:color w:val="auto"/>
        </w:rPr>
        <w:t>must</w:t>
      </w:r>
      <w:r w:rsidRPr="002A0E56">
        <w:t xml:space="preserve"> be adequately documented in the medical record. </w:t>
      </w:r>
      <w:hyperlink r:id="rId38" w:history="1">
        <w:r w:rsidRPr="00406F43">
          <w:rPr>
            <w:rStyle w:val="Hyperlink"/>
          </w:rPr>
          <w:t>13 CSR 70-3.030</w:t>
        </w:r>
      </w:hyperlink>
      <w:r w:rsidR="00307F10" w:rsidRPr="00406F43">
        <w:rPr>
          <w:rStyle w:val="Hyperlink"/>
        </w:rPr>
        <w:t>(2)(A)</w:t>
      </w:r>
      <w:r w:rsidRPr="00A5680D">
        <w:t xml:space="preserve"> defines adequate documentation and adequate medical records</w:t>
      </w:r>
      <w:r w:rsidR="00307F10" w:rsidRPr="00A5680D">
        <w:t>.</w:t>
      </w:r>
      <w:r w:rsidR="003604EB">
        <w:t xml:space="preserve"> Refer to the </w:t>
      </w:r>
      <w:hyperlink r:id="rId39" w:history="1">
        <w:r w:rsidR="003604EB" w:rsidRPr="00406F43">
          <w:rPr>
            <w:rStyle w:val="Hyperlink"/>
          </w:rPr>
          <w:t>General Sections Manual</w:t>
        </w:r>
      </w:hyperlink>
      <w:r w:rsidR="003604EB">
        <w:t xml:space="preserve"> for more information. </w:t>
      </w:r>
    </w:p>
    <w:p w14:paraId="219A982D" w14:textId="77777777" w:rsidR="00D14326" w:rsidRPr="002A0E56" w:rsidRDefault="00D14326" w:rsidP="00D162D9">
      <w:r w:rsidRPr="002A0E56">
        <w:t>The following are the requirements for the documentation of services render</w:t>
      </w:r>
      <w:r w:rsidR="009E6DFD" w:rsidRPr="002A0E56">
        <w:t>ed:</w:t>
      </w:r>
      <w:r w:rsidRPr="002A0E56">
        <w:t xml:space="preserve"> </w:t>
      </w:r>
    </w:p>
    <w:p w14:paraId="4A1636A8" w14:textId="77777777" w:rsidR="003604EB" w:rsidRDefault="003F784B" w:rsidP="00D162D9">
      <w:pPr>
        <w:pStyle w:val="ListBullet"/>
      </w:pPr>
      <w:r w:rsidRPr="002A0E56">
        <w:t>HCBS</w:t>
      </w:r>
      <w:r w:rsidR="00005589" w:rsidRPr="002A0E56">
        <w:t xml:space="preserve"> in-home personal assistant providers must have a</w:t>
      </w:r>
      <w:r w:rsidR="003604EB">
        <w:t>n</w:t>
      </w:r>
      <w:r w:rsidR="00005589" w:rsidRPr="002A0E56">
        <w:t xml:space="preserve"> EVV system in place</w:t>
      </w:r>
      <w:r w:rsidR="00D14326" w:rsidRPr="002A0E56">
        <w:t>.</w:t>
      </w:r>
      <w:r w:rsidR="00005589" w:rsidRPr="002A0E56">
        <w:t xml:space="preserve"> All EVV systems must collect the following data elements: </w:t>
      </w:r>
    </w:p>
    <w:p w14:paraId="7FB32757" w14:textId="29B3242B" w:rsidR="00720409" w:rsidRDefault="00720409" w:rsidP="00D162D9">
      <w:pPr>
        <w:pStyle w:val="ListBullet2"/>
      </w:pPr>
      <w:r>
        <w:t>T</w:t>
      </w:r>
      <w:r w:rsidR="00005589" w:rsidRPr="002A0E56">
        <w:t>ype of service performed</w:t>
      </w:r>
    </w:p>
    <w:p w14:paraId="6FD37390" w14:textId="25B54F20" w:rsidR="00720409" w:rsidRDefault="00720409" w:rsidP="00D162D9">
      <w:pPr>
        <w:pStyle w:val="ListBullet2"/>
      </w:pPr>
      <w:r>
        <w:t>I</w:t>
      </w:r>
      <w:r w:rsidR="00005589" w:rsidRPr="002A0E56">
        <w:t>ndividual receiving the service</w:t>
      </w:r>
    </w:p>
    <w:p w14:paraId="5B4EA4C4" w14:textId="720AB492" w:rsidR="00720409" w:rsidRDefault="00720409" w:rsidP="00D162D9">
      <w:pPr>
        <w:pStyle w:val="ListBullet2"/>
      </w:pPr>
      <w:r>
        <w:t>D</w:t>
      </w:r>
      <w:r w:rsidR="00005589" w:rsidRPr="002A0E56">
        <w:t>ate of the service</w:t>
      </w:r>
    </w:p>
    <w:p w14:paraId="77666A97" w14:textId="5EF7E9ED" w:rsidR="00720409" w:rsidRDefault="00720409" w:rsidP="00D162D9">
      <w:pPr>
        <w:pStyle w:val="ListBullet2"/>
      </w:pPr>
      <w:r>
        <w:t>L</w:t>
      </w:r>
      <w:r w:rsidR="00005589" w:rsidRPr="002A0E56">
        <w:t>ocation of the service delivery</w:t>
      </w:r>
      <w:r w:rsidR="00314DF6">
        <w:t xml:space="preserve"> when it begins and ends</w:t>
      </w:r>
    </w:p>
    <w:p w14:paraId="55CF39C8" w14:textId="18C29CC9" w:rsidR="00720409" w:rsidRDefault="00720409" w:rsidP="00D162D9">
      <w:pPr>
        <w:pStyle w:val="ListBullet2"/>
      </w:pPr>
      <w:r>
        <w:t>I</w:t>
      </w:r>
      <w:r w:rsidR="00005589" w:rsidRPr="002A0E56">
        <w:t>ndividual providing the service</w:t>
      </w:r>
    </w:p>
    <w:p w14:paraId="7AB86516" w14:textId="628E15AA" w:rsidR="00720409" w:rsidRDefault="00720409" w:rsidP="00D162D9">
      <w:pPr>
        <w:pStyle w:val="ListBullet2"/>
      </w:pPr>
      <w:r>
        <w:t>T</w:t>
      </w:r>
      <w:r w:rsidR="00005589" w:rsidRPr="008B1450">
        <w:t>ime the service begins and ends</w:t>
      </w:r>
    </w:p>
    <w:p w14:paraId="42CCBEF4" w14:textId="4045E205" w:rsidR="00D14326" w:rsidRPr="002A0E56" w:rsidRDefault="00005589" w:rsidP="00D162D9">
      <w:pPr>
        <w:pStyle w:val="ListBullet2"/>
      </w:pPr>
      <w:r w:rsidRPr="002A0E56">
        <w:t xml:space="preserve">For more information regarding EVV, refer to </w:t>
      </w:r>
      <w:hyperlink w:anchor="_2.3_Provider_Conditions" w:history="1">
        <w:r w:rsidRPr="00406F43">
          <w:rPr>
            <w:rStyle w:val="Hyperlink"/>
          </w:rPr>
          <w:t>Section 2.3</w:t>
        </w:r>
      </w:hyperlink>
      <w:r w:rsidRPr="002A0E56">
        <w:t xml:space="preserve"> of this manual.</w:t>
      </w:r>
      <w:r w:rsidR="00D14326" w:rsidRPr="002A0E56">
        <w:t xml:space="preserve"> </w:t>
      </w:r>
    </w:p>
    <w:p w14:paraId="43C670DB" w14:textId="1C938AAF" w:rsidR="00D14326" w:rsidRPr="002A0E56" w:rsidRDefault="00D14326" w:rsidP="00D162D9">
      <w:pPr>
        <w:pStyle w:val="ListBullet2"/>
      </w:pPr>
      <w:r w:rsidRPr="002A0E56">
        <w:t xml:space="preserve">When the personal care services are provided in congregate living settings, such as a </w:t>
      </w:r>
      <w:r w:rsidR="00005589" w:rsidRPr="002A0E56">
        <w:t>RCF</w:t>
      </w:r>
      <w:r w:rsidRPr="002A0E56">
        <w:t xml:space="preserve"> I or II</w:t>
      </w:r>
      <w:r w:rsidR="00005589" w:rsidRPr="002A0E56">
        <w:t xml:space="preserve"> or ALF</w:t>
      </w:r>
      <w:r w:rsidRPr="002A0E56">
        <w:t xml:space="preserve">, when on–site supervision is available and attendant care aide staff will divide their time among a number of individuals, all tasks performed for each participant </w:t>
      </w:r>
      <w:r w:rsidR="00B530FC">
        <w:t xml:space="preserve">must be documented </w:t>
      </w:r>
      <w:r w:rsidRPr="002A0E56">
        <w:t>by date of service and</w:t>
      </w:r>
      <w:r w:rsidR="003145D9" w:rsidRPr="002A0E56">
        <w:t xml:space="preserve"> by staff shifts during each 24</w:t>
      </w:r>
      <w:r w:rsidR="007414D7">
        <w:t>-</w:t>
      </w:r>
      <w:r w:rsidRPr="002A0E56">
        <w:t>hour period</w:t>
      </w:r>
    </w:p>
    <w:p w14:paraId="2EE44FB6" w14:textId="77777777" w:rsidR="00D14326" w:rsidRPr="002A0E56" w:rsidRDefault="00D14326" w:rsidP="001F3B10">
      <w:pPr>
        <w:pStyle w:val="Heading4"/>
        <w:rPr>
          <w:i/>
          <w:sz w:val="23"/>
          <w:szCs w:val="23"/>
        </w:rPr>
      </w:pPr>
      <w:bookmarkStart w:id="50" w:name="_Toc229051520"/>
      <w:r w:rsidRPr="002A0E56">
        <w:t xml:space="preserve">Participant </w:t>
      </w:r>
      <w:proofErr w:type="gramStart"/>
      <w:r w:rsidRPr="002A0E56">
        <w:t>Non-Liability</w:t>
      </w:r>
      <w:bookmarkEnd w:id="50"/>
      <w:proofErr w:type="gramEnd"/>
    </w:p>
    <w:p w14:paraId="07D2BDE8" w14:textId="633C253A" w:rsidR="00D14326" w:rsidRPr="00A5680D" w:rsidRDefault="009150CC" w:rsidP="00D162D9">
      <w:r>
        <w:t>MO HealthNet-</w:t>
      </w:r>
      <w:r w:rsidR="00D14326" w:rsidRPr="002A0E56">
        <w:t xml:space="preserve">covered services rendered to an eligible participant are </w:t>
      </w:r>
      <w:r w:rsidR="00D14326" w:rsidRPr="002A0E56">
        <w:rPr>
          <w:rStyle w:val="Itlc"/>
          <w:i w:val="0"/>
          <w:iCs/>
          <w:color w:val="auto"/>
        </w:rPr>
        <w:t>not</w:t>
      </w:r>
      <w:r w:rsidR="00D14326" w:rsidRPr="002A0E56">
        <w:t xml:space="preserve"> billable to the participant if </w:t>
      </w:r>
      <w:r w:rsidR="002B3202">
        <w:t>MHD</w:t>
      </w:r>
      <w:r w:rsidR="00DA08F4" w:rsidRPr="002A0E56">
        <w:t xml:space="preserve"> </w:t>
      </w:r>
      <w:r w:rsidR="00D14326" w:rsidRPr="002A0E56">
        <w:t xml:space="preserve">would have paid had the provider followed the proper policies and procedures for obtaining payment through the MO HealthNet Program as set forth </w:t>
      </w:r>
      <w:r w:rsidR="00D14326" w:rsidRPr="00A5680D">
        <w:t xml:space="preserve">in </w:t>
      </w:r>
      <w:hyperlink r:id="rId40" w:history="1">
        <w:r w:rsidR="00D14326" w:rsidRPr="00406F43">
          <w:rPr>
            <w:rStyle w:val="Hyperlink"/>
          </w:rPr>
          <w:t>13 CSR 70-4.030</w:t>
        </w:r>
      </w:hyperlink>
      <w:r w:rsidR="00D14326" w:rsidRPr="00A5680D">
        <w:t>.</w:t>
      </w:r>
      <w:r w:rsidR="002B3202">
        <w:t xml:space="preserve"> Provider</w:t>
      </w:r>
      <w:r w:rsidR="00304C3F">
        <w:t>s</w:t>
      </w:r>
      <w:r w:rsidR="002B3202">
        <w:t xml:space="preserve"> should contact Provider Communications via </w:t>
      </w:r>
      <w:hyperlink r:id="rId41" w:history="1">
        <w:proofErr w:type="spellStart"/>
        <w:r w:rsidR="002B3202" w:rsidRPr="00406F43">
          <w:rPr>
            <w:rStyle w:val="Hyperlink"/>
          </w:rPr>
          <w:t>eMOMED</w:t>
        </w:r>
        <w:proofErr w:type="spellEnd"/>
      </w:hyperlink>
      <w:r w:rsidR="002B3202">
        <w:t xml:space="preserve"> or by calling (833) 222-7916 for assistance.</w:t>
      </w:r>
      <w:r w:rsidR="00333942">
        <w:t xml:space="preserve"> </w:t>
      </w:r>
      <w:r w:rsidR="00333942" w:rsidRPr="002A0E56">
        <w:rPr>
          <w:bCs/>
        </w:rPr>
        <w:t xml:space="preserve">Refer to the </w:t>
      </w:r>
      <w:hyperlink r:id="rId42" w:history="1">
        <w:r w:rsidR="00333942" w:rsidRPr="00406F43">
          <w:rPr>
            <w:rStyle w:val="Hyperlink"/>
          </w:rPr>
          <w:t>General Sections Manual</w:t>
        </w:r>
      </w:hyperlink>
      <w:r w:rsidR="00333942" w:rsidRPr="002A0E56">
        <w:rPr>
          <w:bCs/>
        </w:rPr>
        <w:t xml:space="preserve"> for more information.</w:t>
      </w:r>
    </w:p>
    <w:p w14:paraId="3ACC1704" w14:textId="15EC85D8" w:rsidR="00D14326" w:rsidRPr="002A0E56" w:rsidRDefault="00D14326" w:rsidP="001F3B10">
      <w:pPr>
        <w:pStyle w:val="Heading3"/>
      </w:pPr>
      <w:bookmarkStart w:id="51" w:name="_2.7_HIV/AIDS_Care"/>
      <w:bookmarkStart w:id="52" w:name="_Toc225253662"/>
      <w:bookmarkStart w:id="53" w:name="_Toc229051521"/>
      <w:bookmarkEnd w:id="51"/>
      <w:r w:rsidRPr="002A0E56">
        <w:t>2.7</w:t>
      </w:r>
      <w:r w:rsidR="004E5AFF">
        <w:t xml:space="preserve"> </w:t>
      </w:r>
      <w:r w:rsidRPr="002A0E56">
        <w:t>HIV/AIDS Care Service Coordination</w:t>
      </w:r>
      <w:bookmarkEnd w:id="52"/>
      <w:bookmarkEnd w:id="53"/>
    </w:p>
    <w:p w14:paraId="429BD4F6" w14:textId="4DDCEA2F" w:rsidR="00D14326" w:rsidRPr="002A0E56" w:rsidRDefault="001A1AAC" w:rsidP="00B87E54">
      <w:pPr>
        <w:pStyle w:val="Text1"/>
        <w:spacing w:line="276" w:lineRule="auto"/>
      </w:pPr>
      <w:r w:rsidRPr="00D162D9">
        <w:t>DHSS</w:t>
      </w:r>
      <w:r w:rsidR="00D14326" w:rsidRPr="00D162D9">
        <w:t xml:space="preserve"> operates a statewide HIV</w:t>
      </w:r>
      <w:r w:rsidR="002B3202" w:rsidRPr="00D162D9">
        <w:t>/AIDS</w:t>
      </w:r>
      <w:r w:rsidR="00D14326" w:rsidRPr="00D162D9">
        <w:t xml:space="preserve"> case management system to accept referrals for waiver services. In addition, waiver case management staff determines waiver program eligibility, assess</w:t>
      </w:r>
      <w:r w:rsidR="008C55E5" w:rsidRPr="00D162D9">
        <w:t>es</w:t>
      </w:r>
      <w:r w:rsidR="00D14326" w:rsidRPr="00D162D9">
        <w:t xml:space="preserve"> the need for waiver services</w:t>
      </w:r>
      <w:r w:rsidR="002B3202" w:rsidRPr="00D162D9">
        <w:t>,</w:t>
      </w:r>
      <w:r w:rsidR="00D14326" w:rsidRPr="00D162D9">
        <w:t xml:space="preserve"> and coordinate</w:t>
      </w:r>
      <w:r w:rsidR="008C55E5" w:rsidRPr="00D162D9">
        <w:t>s</w:t>
      </w:r>
      <w:r w:rsidR="00D14326" w:rsidRPr="00D162D9">
        <w:t xml:space="preserve"> with </w:t>
      </w:r>
      <w:r w:rsidR="008C55E5" w:rsidRPr="00D162D9">
        <w:t xml:space="preserve">the </w:t>
      </w:r>
      <w:r w:rsidR="00D14326" w:rsidRPr="00D162D9">
        <w:t>DHSS SPPC/AIDS Waiver Program Coordinator to prior authorize services for reimbursement and monitor the provision of waiver services</w:t>
      </w:r>
      <w:r w:rsidR="00D14326" w:rsidRPr="002A0E56">
        <w:t>.</w:t>
      </w:r>
    </w:p>
    <w:p w14:paraId="6F45B968" w14:textId="77777777" w:rsidR="00D14326" w:rsidRPr="002A0E56" w:rsidRDefault="00D14326" w:rsidP="001F3B10">
      <w:pPr>
        <w:pStyle w:val="Heading4"/>
        <w:rPr>
          <w:i/>
        </w:rPr>
      </w:pPr>
      <w:bookmarkStart w:id="54" w:name="_Toc229051522"/>
      <w:r w:rsidRPr="002A0E56">
        <w:t>Evaluation and Assessment</w:t>
      </w:r>
      <w:bookmarkEnd w:id="54"/>
    </w:p>
    <w:p w14:paraId="2F3D9B19" w14:textId="77777777" w:rsidR="002B3202" w:rsidRDefault="00D14326" w:rsidP="00D162D9">
      <w:r w:rsidRPr="002A0E56">
        <w:t>DHSS</w:t>
      </w:r>
      <w:r w:rsidR="001A1AAC" w:rsidRPr="002A0E56">
        <w:t xml:space="preserve"> </w:t>
      </w:r>
      <w:r w:rsidRPr="002A0E56">
        <w:t xml:space="preserve">contracted </w:t>
      </w:r>
      <w:r w:rsidR="00DF3D1E">
        <w:t>AIDS W</w:t>
      </w:r>
      <w:r w:rsidRPr="002A0E56">
        <w:t xml:space="preserve">aiver </w:t>
      </w:r>
      <w:r w:rsidR="00974F27" w:rsidRPr="002A0E56">
        <w:t>c</w:t>
      </w:r>
      <w:r w:rsidRPr="002A0E56">
        <w:t xml:space="preserve">ase </w:t>
      </w:r>
      <w:r w:rsidR="00974F27" w:rsidRPr="002A0E56">
        <w:t>m</w:t>
      </w:r>
      <w:r w:rsidRPr="002A0E56">
        <w:t xml:space="preserve">anagers evaluate and assess the MO HealthNet participant’s waiver eligibility and need for waiver services. After the completion of the initial client evaluation and assessment, a revisit </w:t>
      </w:r>
      <w:r w:rsidRPr="002A0E56">
        <w:rPr>
          <w:rStyle w:val="Itlc"/>
          <w:i w:val="0"/>
          <w:iCs/>
          <w:color w:val="auto"/>
        </w:rPr>
        <w:t>must</w:t>
      </w:r>
      <w:r w:rsidRPr="002A0E56">
        <w:t xml:space="preserve"> be completed </w:t>
      </w:r>
      <w:r w:rsidR="00386598">
        <w:t xml:space="preserve">every six (6) months </w:t>
      </w:r>
      <w:r w:rsidRPr="002A0E56">
        <w:t xml:space="preserve">or more frequently if indicated by changes in the participant's condition. </w:t>
      </w:r>
    </w:p>
    <w:p w14:paraId="5DE209A6" w14:textId="156D111E" w:rsidR="002B3202" w:rsidRDefault="00D14326" w:rsidP="00D162D9">
      <w:r w:rsidRPr="002A0E56">
        <w:t>The evaluation/assessment is an integrated process that uses a standardized scoring instrument. The evaluation determines whether the participant would, without waiver services</w:t>
      </w:r>
      <w:r w:rsidR="002B3202">
        <w:t>,</w:t>
      </w:r>
      <w:r w:rsidRPr="002A0E56">
        <w:t xml:space="preserve"> require a level of care equivalent to the level of care provided in a nursing home. The assessment identifies the participant’s strengths and needs. The information obtained during the assessment is used to develop the appropriate</w:t>
      </w:r>
      <w:r w:rsidR="001F525E">
        <w:t xml:space="preserve"> </w:t>
      </w:r>
      <w:r w:rsidRPr="002A0E56">
        <w:t xml:space="preserve">plan of care. </w:t>
      </w:r>
    </w:p>
    <w:p w14:paraId="5CD570E2" w14:textId="47090301" w:rsidR="002B3202" w:rsidRDefault="00D14326" w:rsidP="00D162D9">
      <w:r w:rsidRPr="002A0E56">
        <w:t xml:space="preserve">To receive waiver services, the participant's assessment </w:t>
      </w:r>
      <w:r w:rsidRPr="002A0E56">
        <w:rPr>
          <w:rStyle w:val="Itlc"/>
          <w:i w:val="0"/>
          <w:iCs/>
          <w:color w:val="auto"/>
        </w:rPr>
        <w:t>must</w:t>
      </w:r>
      <w:r w:rsidRPr="002A0E56">
        <w:t xml:space="preserve"> indicate the need for at least one (1) of the services provided through the waiver. </w:t>
      </w:r>
      <w:r w:rsidR="002B3202">
        <w:t xml:space="preserve">Refer to </w:t>
      </w:r>
      <w:hyperlink w:anchor="_2.1_Covered" w:history="1">
        <w:r w:rsidR="002B3202" w:rsidRPr="00406F43">
          <w:rPr>
            <w:rStyle w:val="Hyperlink"/>
          </w:rPr>
          <w:t>Section 2.1</w:t>
        </w:r>
      </w:hyperlink>
      <w:r w:rsidR="002B3202">
        <w:t xml:space="preserve"> </w:t>
      </w:r>
      <w:r w:rsidR="00ED701F">
        <w:t>of</w:t>
      </w:r>
      <w:r w:rsidR="002B3202">
        <w:t xml:space="preserve"> this manual for information on covered services. </w:t>
      </w:r>
      <w:r w:rsidRPr="002A0E56">
        <w:t xml:space="preserve">In addition, the </w:t>
      </w:r>
      <w:r w:rsidR="00DF3D1E">
        <w:t>AIDS W</w:t>
      </w:r>
      <w:r w:rsidRPr="002A0E56">
        <w:t xml:space="preserve">aiver case manager </w:t>
      </w:r>
      <w:r w:rsidRPr="002A0E56">
        <w:rPr>
          <w:rStyle w:val="Itlc"/>
          <w:i w:val="0"/>
          <w:iCs/>
          <w:color w:val="auto"/>
        </w:rPr>
        <w:t>must</w:t>
      </w:r>
      <w:r w:rsidRPr="002A0E56">
        <w:t xml:space="preserve"> ensure that the participant can be safely maintained in a home or community environment with waiver services. </w:t>
      </w:r>
    </w:p>
    <w:p w14:paraId="60E6B507" w14:textId="045F7342" w:rsidR="00D14326" w:rsidRPr="002A0E56" w:rsidRDefault="00D14326" w:rsidP="00D162D9">
      <w:r w:rsidRPr="002A0E56">
        <w:t xml:space="preserve">Finally, DHSS </w:t>
      </w:r>
      <w:r w:rsidRPr="002A0E56">
        <w:rPr>
          <w:rStyle w:val="Itlc"/>
          <w:i w:val="0"/>
          <w:iCs/>
          <w:color w:val="auto"/>
        </w:rPr>
        <w:t>must</w:t>
      </w:r>
      <w:r w:rsidRPr="002A0E56">
        <w:rPr>
          <w:i/>
        </w:rPr>
        <w:t xml:space="preserve"> </w:t>
      </w:r>
      <w:r w:rsidRPr="002A0E56">
        <w:t>demonstrate that in-home care is provided at a cost equivalent to or less than the institutional care that would otherwise be required.</w:t>
      </w:r>
    </w:p>
    <w:p w14:paraId="0DBBBD44" w14:textId="0E6CCC22" w:rsidR="00D14326" w:rsidRPr="002A0E56" w:rsidRDefault="00D14326" w:rsidP="001F3B10">
      <w:pPr>
        <w:pStyle w:val="Heading4"/>
        <w:rPr>
          <w:i/>
        </w:rPr>
      </w:pPr>
      <w:bookmarkStart w:id="55" w:name="_Toc229051523"/>
      <w:r w:rsidRPr="002A0E56">
        <w:t>Service Plan Development</w:t>
      </w:r>
      <w:bookmarkEnd w:id="55"/>
    </w:p>
    <w:p w14:paraId="76588682" w14:textId="143666B8" w:rsidR="00D14326" w:rsidRPr="002A0E56" w:rsidRDefault="00D14326" w:rsidP="00D162D9">
      <w:r w:rsidRPr="002A0E56">
        <w:t>As part of the process</w:t>
      </w:r>
      <w:r w:rsidR="003657D2">
        <w:t xml:space="preserve"> of developing the service plan</w:t>
      </w:r>
      <w:r w:rsidRPr="002A0E56">
        <w:t xml:space="preserve"> </w:t>
      </w:r>
      <w:r w:rsidR="003657D2">
        <w:t>and</w:t>
      </w:r>
      <w:r w:rsidRPr="002A0E56">
        <w:t xml:space="preserve"> arranging care, </w:t>
      </w:r>
      <w:r w:rsidR="00DF3D1E">
        <w:t>AIDS W</w:t>
      </w:r>
      <w:r w:rsidRPr="002A0E56">
        <w:t xml:space="preserve">aiver case managers require certain information from providers before a participant </w:t>
      </w:r>
      <w:r w:rsidR="002B3202">
        <w:t xml:space="preserve">may </w:t>
      </w:r>
      <w:r w:rsidRPr="002A0E56">
        <w:t xml:space="preserve">begin receiving waiver services. Providers are encouraged to complete an initial assessment of the participant's service needs and to communicate this information to the </w:t>
      </w:r>
      <w:r w:rsidR="00DF3D1E">
        <w:t>AIDS W</w:t>
      </w:r>
      <w:r w:rsidRPr="002A0E56">
        <w:t xml:space="preserve">aiver case manager as appropriate. </w:t>
      </w:r>
    </w:p>
    <w:p w14:paraId="3D2D1AE5" w14:textId="5F0FEA6D" w:rsidR="00D14326" w:rsidRPr="002A0E56" w:rsidRDefault="00304C3F" w:rsidP="00D162D9">
      <w:r>
        <w:t>P</w:t>
      </w:r>
      <w:r w:rsidR="00D14326" w:rsidRPr="002A0E56">
        <w:t xml:space="preserve">roviders are required to complete supervisory monitoring logs monthly. These reports contain utilization data and pertinent information regarding the participant's physical condition. This information is used by the </w:t>
      </w:r>
      <w:r w:rsidR="00DF3D1E">
        <w:t>AIDS W</w:t>
      </w:r>
      <w:r w:rsidR="00D14326" w:rsidRPr="002A0E56">
        <w:t>aiver case manager in assessing the need for services in the subsequent months.</w:t>
      </w:r>
    </w:p>
    <w:p w14:paraId="066D8BCD" w14:textId="77777777" w:rsidR="00D14326" w:rsidRPr="002A0E56" w:rsidRDefault="00D14326" w:rsidP="001F3B10">
      <w:pPr>
        <w:pStyle w:val="Heading4"/>
        <w:rPr>
          <w:i/>
        </w:rPr>
      </w:pPr>
      <w:bookmarkStart w:id="56" w:name="_Plan_of_Care"/>
      <w:bookmarkStart w:id="57" w:name="_Toc229051524"/>
      <w:bookmarkEnd w:id="56"/>
      <w:r w:rsidRPr="002A0E56">
        <w:t>Plan of Care</w:t>
      </w:r>
      <w:bookmarkEnd w:id="57"/>
    </w:p>
    <w:p w14:paraId="3398EB53" w14:textId="077B74BC" w:rsidR="00D14326" w:rsidRPr="002A0E56" w:rsidRDefault="00D14326" w:rsidP="00D162D9">
      <w:r w:rsidRPr="002A0E56">
        <w:t xml:space="preserve">Each participant has a plan of care based on the assessment of need. Information related to the </w:t>
      </w:r>
      <w:r w:rsidRPr="002A0E56">
        <w:rPr>
          <w:rStyle w:val="Itlc"/>
          <w:i w:val="0"/>
          <w:iCs/>
          <w:color w:val="auto"/>
        </w:rPr>
        <w:t>need</w:t>
      </w:r>
      <w:r w:rsidRPr="002A0E56">
        <w:t xml:space="preserve"> for services is obtained from the participant, caretaker, concerned others, primary physician, hospital</w:t>
      </w:r>
      <w:r w:rsidR="00FC73CA">
        <w:t>,</w:t>
      </w:r>
      <w:r w:rsidRPr="002A0E56">
        <w:t xml:space="preserve"> and home health staff. Based on the assessment of need, the </w:t>
      </w:r>
      <w:r w:rsidR="00DF3D1E">
        <w:t>SPPC/</w:t>
      </w:r>
      <w:r w:rsidR="00BA72CF">
        <w:t>AIDS</w:t>
      </w:r>
      <w:r w:rsidR="00BA72CF" w:rsidRPr="00DF3D1E">
        <w:t xml:space="preserve"> </w:t>
      </w:r>
      <w:r w:rsidR="00DF3D1E" w:rsidRPr="00DF3D1E">
        <w:t>Waiver Program Coordinator</w:t>
      </w:r>
      <w:r w:rsidR="00DF3D1E" w:rsidRPr="002A0E56" w:rsidDel="00DF3D1E">
        <w:t xml:space="preserve"> </w:t>
      </w:r>
      <w:r w:rsidRPr="002A0E56">
        <w:t>develops a plan of care listing all services to be provided. For each waiver service, the plan</w:t>
      </w:r>
      <w:r w:rsidR="008F01A6" w:rsidRPr="002A0E56">
        <w:t xml:space="preserve"> of care</w:t>
      </w:r>
      <w:r w:rsidRPr="002A0E56">
        <w:t xml:space="preserve"> specifies the provider, the period of service, the units of service</w:t>
      </w:r>
      <w:r w:rsidR="00FC73CA">
        <w:t>,</w:t>
      </w:r>
      <w:r w:rsidRPr="002A0E56">
        <w:t xml:space="preserve"> and the maximum payment.</w:t>
      </w:r>
    </w:p>
    <w:p w14:paraId="0C889D4E" w14:textId="77777777" w:rsidR="00D14326" w:rsidRPr="002A0E56" w:rsidRDefault="00D14326" w:rsidP="00D162D9">
      <w:r w:rsidRPr="002A0E56">
        <w:t xml:space="preserve">The participant receives at least one (1) home visit by the </w:t>
      </w:r>
      <w:r w:rsidR="00DF3D1E">
        <w:t>AIDS W</w:t>
      </w:r>
      <w:r w:rsidRPr="002A0E56">
        <w:t xml:space="preserve">aiver case manager annually. This visit is conducted by the </w:t>
      </w:r>
      <w:r w:rsidR="00DF3D1E">
        <w:t>AIDS W</w:t>
      </w:r>
      <w:r w:rsidRPr="002A0E56">
        <w:t>aiver case manager to evaluate and assess the participant's needs on an ongoing basis to ensure that services are of an acceptable quality and are appropriate to meet the participant's needs.</w:t>
      </w:r>
    </w:p>
    <w:p w14:paraId="70077E1E" w14:textId="77777777" w:rsidR="00D14326" w:rsidRPr="002A0E56" w:rsidRDefault="00D14326" w:rsidP="001F3B10">
      <w:pPr>
        <w:pStyle w:val="Heading4"/>
        <w:rPr>
          <w:i/>
        </w:rPr>
      </w:pPr>
      <w:bookmarkStart w:id="58" w:name="_Toc229051525"/>
      <w:r w:rsidRPr="002A0E56">
        <w:t>Provider Monitoring</w:t>
      </w:r>
      <w:bookmarkEnd w:id="58"/>
    </w:p>
    <w:p w14:paraId="6A7E3B5C" w14:textId="2AC646C6" w:rsidR="00D14326" w:rsidRPr="002A0E56" w:rsidRDefault="00D14326" w:rsidP="00D162D9">
      <w:r w:rsidRPr="002A0E56">
        <w:t xml:space="preserve">DHSS’ contracted </w:t>
      </w:r>
      <w:r w:rsidR="00DF3D1E">
        <w:t>AIDS W</w:t>
      </w:r>
      <w:r w:rsidRPr="002A0E56">
        <w:t xml:space="preserve">aiver case managers monitor services rendered by home and community-based providers. If there are questions as to the effectiveness or quality of the services, the </w:t>
      </w:r>
      <w:r w:rsidR="00DF3D1E">
        <w:t>AIDS W</w:t>
      </w:r>
      <w:r w:rsidRPr="002A0E56">
        <w:t>aiver case manager consults with DHSS Quality Service Manager (QSM) and other members of the patient care team regarding the quality of services rendered. The QSM’s review is then discussed with the provider and suggestions are offered to improve service delivery if appropriate. If the services are of poor quality, are ineffective</w:t>
      </w:r>
      <w:r w:rsidR="00FC73CA">
        <w:t>,</w:t>
      </w:r>
      <w:r w:rsidRPr="002A0E56">
        <w:t xml:space="preserve"> or are unsatisfactory to the participant, the QSM will work with the </w:t>
      </w:r>
      <w:r w:rsidR="00DF3D1E">
        <w:t>AIDS W</w:t>
      </w:r>
      <w:r w:rsidRPr="002A0E56">
        <w:t xml:space="preserve">aiver case manager to take immediate steps to change services and/or providers. </w:t>
      </w:r>
    </w:p>
    <w:p w14:paraId="07B81902" w14:textId="1FD49F82" w:rsidR="00D14326" w:rsidRPr="002A0E56" w:rsidRDefault="00D14326" w:rsidP="00D162D9">
      <w:r w:rsidRPr="002A0E56">
        <w:t>Multiple unsatisfactory provider reviews are reported to MHD</w:t>
      </w:r>
      <w:r w:rsidR="004A5709">
        <w:t xml:space="preserve"> for quality oversight and follow-up</w:t>
      </w:r>
      <w:r w:rsidRPr="002A0E56">
        <w:t xml:space="preserve">. </w:t>
      </w:r>
    </w:p>
    <w:p w14:paraId="3CA41A5F" w14:textId="2F08CE00" w:rsidR="00D14326" w:rsidRPr="002A0E56" w:rsidRDefault="00D14326" w:rsidP="001F3B10">
      <w:pPr>
        <w:pStyle w:val="Heading3"/>
      </w:pPr>
      <w:bookmarkStart w:id="59" w:name="AIDPriorAuthorizationRequest"/>
      <w:bookmarkStart w:id="60" w:name="_2.8_Prior_Authorization"/>
      <w:bookmarkStart w:id="61" w:name="_Toc225253663"/>
      <w:bookmarkStart w:id="62" w:name="_Toc229051526"/>
      <w:bookmarkEnd w:id="59"/>
      <w:bookmarkEnd w:id="60"/>
      <w:r w:rsidRPr="002A0E56">
        <w:t>2.8</w:t>
      </w:r>
      <w:r w:rsidR="004E5AFF">
        <w:t xml:space="preserve"> </w:t>
      </w:r>
      <w:r w:rsidRPr="002A0E56">
        <w:t>Prior Authorization</w:t>
      </w:r>
      <w:bookmarkEnd w:id="61"/>
      <w:bookmarkEnd w:id="62"/>
    </w:p>
    <w:p w14:paraId="7E9494A3" w14:textId="060F6AE0" w:rsidR="00D14326" w:rsidRPr="002A0E56" w:rsidRDefault="00EB4FA2" w:rsidP="00D162D9">
      <w:r>
        <w:t>A prior authorization (</w:t>
      </w:r>
      <w:r w:rsidR="000B213B" w:rsidRPr="002A0E56">
        <w:t>PA</w:t>
      </w:r>
      <w:r>
        <w:t>) process</w:t>
      </w:r>
      <w:r w:rsidR="00D14326" w:rsidRPr="002A0E56">
        <w:t xml:space="preserve"> is used to ensure the cost effective</w:t>
      </w:r>
      <w:r>
        <w:t>ness</w:t>
      </w:r>
      <w:r w:rsidR="00D14326" w:rsidRPr="002A0E56">
        <w:t xml:space="preserve"> and appropriate provision of services according to the participant's individual plan of </w:t>
      </w:r>
      <w:r w:rsidR="00AC62E3">
        <w:t>care</w:t>
      </w:r>
      <w:r w:rsidR="00D14326" w:rsidRPr="002A0E56">
        <w:t xml:space="preserve">. All covered services in the AIDS Waiver require prior approval. DHSS has been designated by </w:t>
      </w:r>
      <w:r w:rsidR="00C120AC" w:rsidRPr="002A0E56">
        <w:t>DSS</w:t>
      </w:r>
      <w:r w:rsidR="00D14326" w:rsidRPr="002A0E56">
        <w:t xml:space="preserve"> to conduct all AIDS Waiver </w:t>
      </w:r>
      <w:r w:rsidR="000B213B" w:rsidRPr="002A0E56">
        <w:t>PA</w:t>
      </w:r>
      <w:r w:rsidR="00D14326" w:rsidRPr="002A0E56">
        <w:t xml:space="preserve"> activities. All requests for informati</w:t>
      </w:r>
      <w:r w:rsidR="00415CC4" w:rsidRPr="002A0E56">
        <w:t>on or questions regarding AIDS W</w:t>
      </w:r>
      <w:r w:rsidR="00D14326" w:rsidRPr="002A0E56">
        <w:t xml:space="preserve">aiver </w:t>
      </w:r>
      <w:r w:rsidR="006F02D8" w:rsidRPr="002A0E56">
        <w:t>PA</w:t>
      </w:r>
      <w:r w:rsidR="00D14326" w:rsidRPr="002A0E56">
        <w:t xml:space="preserve"> should be directed </w:t>
      </w:r>
      <w:r w:rsidR="00FC73CA">
        <w:t>to DHSS Bureau of HIV, ST</w:t>
      </w:r>
      <w:r>
        <w:t>D</w:t>
      </w:r>
      <w:r w:rsidR="00FC73CA">
        <w:t>, and Hepatitis by calling</w:t>
      </w:r>
      <w:r w:rsidR="006F02D8" w:rsidRPr="002A0E56">
        <w:t xml:space="preserve"> (573) 751-6439 or in writing to</w:t>
      </w:r>
      <w:r w:rsidR="00D14326" w:rsidRPr="002A0E56">
        <w:t>:</w:t>
      </w:r>
    </w:p>
    <w:p w14:paraId="25172129" w14:textId="5C71079D" w:rsidR="00D14326" w:rsidRPr="006A6BD1" w:rsidRDefault="00D14326" w:rsidP="006A6BD1">
      <w:pPr>
        <w:pStyle w:val="Address"/>
        <w:rPr>
          <w:rFonts w:eastAsiaTheme="minorHAnsi"/>
        </w:rPr>
      </w:pPr>
      <w:r w:rsidRPr="006A6BD1">
        <w:rPr>
          <w:rFonts w:eastAsiaTheme="minorHAnsi"/>
        </w:rPr>
        <w:t>Missouri Department of Health and Senior Services</w:t>
      </w:r>
      <w:r w:rsidRPr="006A6BD1">
        <w:rPr>
          <w:rFonts w:eastAsiaTheme="minorHAnsi"/>
        </w:rPr>
        <w:br/>
        <w:t>Bure</w:t>
      </w:r>
      <w:r w:rsidR="001F525E" w:rsidRPr="006A6BD1">
        <w:rPr>
          <w:rFonts w:eastAsiaTheme="minorHAnsi"/>
        </w:rPr>
        <w:t>au of HIV, STD, and Hepatitis</w:t>
      </w:r>
      <w:r w:rsidR="001F525E" w:rsidRPr="006A6BD1">
        <w:rPr>
          <w:rFonts w:eastAsiaTheme="minorHAnsi"/>
        </w:rPr>
        <w:br/>
        <w:t>93</w:t>
      </w:r>
      <w:r w:rsidRPr="006A6BD1">
        <w:rPr>
          <w:rFonts w:eastAsiaTheme="minorHAnsi"/>
        </w:rPr>
        <w:t>0 Wildwood</w:t>
      </w:r>
      <w:r w:rsidRPr="006A6BD1">
        <w:rPr>
          <w:rFonts w:eastAsiaTheme="minorHAnsi"/>
        </w:rPr>
        <w:br/>
        <w:t>Jefferson City, Missouri 65102</w:t>
      </w:r>
      <w:r w:rsidRPr="006A6BD1">
        <w:rPr>
          <w:rFonts w:eastAsiaTheme="minorHAnsi"/>
        </w:rPr>
        <w:br/>
      </w:r>
    </w:p>
    <w:p w14:paraId="035FE3C3" w14:textId="77777777" w:rsidR="00D14326" w:rsidRPr="002A0E56" w:rsidRDefault="00D14326" w:rsidP="001F3B10">
      <w:pPr>
        <w:pStyle w:val="Heading4"/>
        <w:rPr>
          <w:i/>
        </w:rPr>
      </w:pPr>
      <w:bookmarkStart w:id="63" w:name="_Toc229051527"/>
      <w:r w:rsidRPr="002A0E56">
        <w:t>Authorization of Services</w:t>
      </w:r>
      <w:bookmarkEnd w:id="63"/>
    </w:p>
    <w:p w14:paraId="10B1565B" w14:textId="7953D82C" w:rsidR="00D14326" w:rsidRPr="002A0E56" w:rsidRDefault="00D14326" w:rsidP="00D162D9">
      <w:r w:rsidRPr="002A0E56">
        <w:t xml:space="preserve">Based on the participant’s evaluation/assessment, the </w:t>
      </w:r>
      <w:r w:rsidR="00DF3D1E">
        <w:t>AIDS W</w:t>
      </w:r>
      <w:r w:rsidRPr="002A0E56">
        <w:t>aiver case manager develops a plan of care that lists the services to be authorized.</w:t>
      </w:r>
      <w:r w:rsidR="001C631A">
        <w:t xml:space="preserve">, </w:t>
      </w:r>
      <w:proofErr w:type="gramStart"/>
      <w:r w:rsidR="001C631A">
        <w:t xml:space="preserve">and </w:t>
      </w:r>
      <w:r w:rsidRPr="002A0E56">
        <w:t xml:space="preserve"> a</w:t>
      </w:r>
      <w:proofErr w:type="gramEnd"/>
      <w:r w:rsidRPr="002A0E56">
        <w:t xml:space="preserve"> </w:t>
      </w:r>
      <w:r w:rsidR="000B213B" w:rsidRPr="002A0E56">
        <w:t>PA Request</w:t>
      </w:r>
      <w:r w:rsidRPr="002A0E56">
        <w:t xml:space="preserve"> </w:t>
      </w:r>
      <w:r w:rsidR="001C631A">
        <w:t>for</w:t>
      </w:r>
      <w:r w:rsidR="001C631A" w:rsidRPr="002A0E56">
        <w:t xml:space="preserve"> </w:t>
      </w:r>
      <w:r w:rsidRPr="002A0E56">
        <w:t xml:space="preserve">authorized services </w:t>
      </w:r>
      <w:r w:rsidR="001C631A">
        <w:t>is</w:t>
      </w:r>
      <w:r w:rsidR="001C631A" w:rsidRPr="002A0E56">
        <w:t xml:space="preserve"> </w:t>
      </w:r>
      <w:r w:rsidRPr="002A0E56">
        <w:t xml:space="preserve">forwarded to the </w:t>
      </w:r>
      <w:r w:rsidR="00F94D91" w:rsidRPr="002A0E56">
        <w:t>MHD</w:t>
      </w:r>
      <w:r w:rsidRPr="002A0E56">
        <w:t xml:space="preserve"> fiscal agent.</w:t>
      </w:r>
    </w:p>
    <w:p w14:paraId="7E4AA278" w14:textId="77777777" w:rsidR="00D14326" w:rsidRPr="002A0E56" w:rsidRDefault="00D14326" w:rsidP="00D162D9">
      <w:r w:rsidRPr="002A0E56">
        <w:t xml:space="preserve">The PA Request lists the authorized services, the number of units or dollar amounts </w:t>
      </w:r>
      <w:proofErr w:type="gramStart"/>
      <w:r w:rsidRPr="002A0E56">
        <w:t>authorized</w:t>
      </w:r>
      <w:proofErr w:type="gramEnd"/>
      <w:r w:rsidRPr="002A0E56">
        <w:t xml:space="preserve"> and the specific period of time covered by the authorization. Services are authorized by procedure code, one line per month, for periods of up to six (6) consecutive months.</w:t>
      </w:r>
    </w:p>
    <w:p w14:paraId="1047C564" w14:textId="7ED976E6" w:rsidR="00D14326" w:rsidRPr="002A0E56" w:rsidRDefault="00D14326" w:rsidP="00D162D9">
      <w:pPr>
        <w:rPr>
          <w:bCs/>
        </w:rPr>
      </w:pPr>
      <w:r w:rsidRPr="002A0E56">
        <w:rPr>
          <w:bCs/>
        </w:rPr>
        <w:t xml:space="preserve">The completion of the PA Request authorizes payment for services or products delivered conditionally upon the participant's continued MO HealthNet eligibility for such services. Providers should be aware that reimbursement for services is </w:t>
      </w:r>
      <w:r w:rsidRPr="002A0E56">
        <w:rPr>
          <w:rStyle w:val="Itlc"/>
          <w:bCs/>
          <w:i w:val="0"/>
          <w:color w:val="auto"/>
        </w:rPr>
        <w:t>not</w:t>
      </w:r>
      <w:r w:rsidRPr="002A0E56">
        <w:rPr>
          <w:bCs/>
        </w:rPr>
        <w:t xml:space="preserve"> made on behalf of ineligible participants, regardless of the existing </w:t>
      </w:r>
      <w:r w:rsidR="00F94D91" w:rsidRPr="002A0E56">
        <w:rPr>
          <w:bCs/>
        </w:rPr>
        <w:t>PA</w:t>
      </w:r>
      <w:r w:rsidRPr="002A0E56">
        <w:rPr>
          <w:bCs/>
        </w:rPr>
        <w:t xml:space="preserve">. Providers should verify MO HealthNet eligibility </w:t>
      </w:r>
      <w:r w:rsidR="00F94D91" w:rsidRPr="002A0E56">
        <w:rPr>
          <w:bCs/>
        </w:rPr>
        <w:t xml:space="preserve">in </w:t>
      </w:r>
      <w:hyperlink r:id="rId43" w:history="1">
        <w:proofErr w:type="spellStart"/>
        <w:r w:rsidR="00F94D91" w:rsidRPr="00406F43">
          <w:rPr>
            <w:rStyle w:val="Hyperlink"/>
          </w:rPr>
          <w:t>eMOMED</w:t>
        </w:r>
        <w:proofErr w:type="spellEnd"/>
      </w:hyperlink>
      <w:r w:rsidR="00F94D91" w:rsidRPr="002A0E56">
        <w:rPr>
          <w:bCs/>
        </w:rPr>
        <w:t xml:space="preserve"> or </w:t>
      </w:r>
      <w:r w:rsidRPr="002A0E56">
        <w:rPr>
          <w:bCs/>
        </w:rPr>
        <w:t>by c</w:t>
      </w:r>
      <w:r w:rsidR="00F94D91" w:rsidRPr="002A0E56">
        <w:rPr>
          <w:bCs/>
        </w:rPr>
        <w:t>alling</w:t>
      </w:r>
      <w:r w:rsidRPr="002A0E56">
        <w:rPr>
          <w:bCs/>
        </w:rPr>
        <w:t xml:space="preserve"> </w:t>
      </w:r>
      <w:r w:rsidR="00333942">
        <w:rPr>
          <w:bCs/>
        </w:rPr>
        <w:t>Provider Communications</w:t>
      </w:r>
      <w:r w:rsidRPr="002A0E56">
        <w:rPr>
          <w:bCs/>
        </w:rPr>
        <w:t xml:space="preserve"> at</w:t>
      </w:r>
      <w:r w:rsidR="00333942">
        <w:rPr>
          <w:bCs/>
        </w:rPr>
        <w:t xml:space="preserve"> (833) 222-7916</w:t>
      </w:r>
      <w:r w:rsidRPr="002A0E56">
        <w:rPr>
          <w:bCs/>
        </w:rPr>
        <w:t xml:space="preserve">. Refer to the </w:t>
      </w:r>
      <w:hyperlink r:id="rId44" w:history="1">
        <w:r w:rsidRPr="00406F43">
          <w:rPr>
            <w:rStyle w:val="Hyperlink"/>
          </w:rPr>
          <w:t xml:space="preserve">General </w:t>
        </w:r>
        <w:r w:rsidR="00C120AC" w:rsidRPr="00406F43">
          <w:rPr>
            <w:rStyle w:val="Hyperlink"/>
          </w:rPr>
          <w:t xml:space="preserve">Sections </w:t>
        </w:r>
        <w:r w:rsidRPr="00406F43">
          <w:rPr>
            <w:rStyle w:val="Hyperlink"/>
          </w:rPr>
          <w:t>Manual</w:t>
        </w:r>
      </w:hyperlink>
      <w:r w:rsidRPr="002A0E56">
        <w:rPr>
          <w:bCs/>
        </w:rPr>
        <w:t xml:space="preserve"> for </w:t>
      </w:r>
      <w:r w:rsidR="00F94D91" w:rsidRPr="002A0E56">
        <w:rPr>
          <w:bCs/>
        </w:rPr>
        <w:t>more information</w:t>
      </w:r>
      <w:r w:rsidRPr="002A0E56">
        <w:rPr>
          <w:bCs/>
        </w:rPr>
        <w:t>.</w:t>
      </w:r>
    </w:p>
    <w:p w14:paraId="2C6C411B" w14:textId="77777777" w:rsidR="00D14326" w:rsidRPr="002A0E56" w:rsidRDefault="00D14326" w:rsidP="001F3B10">
      <w:pPr>
        <w:pStyle w:val="Heading4"/>
        <w:rPr>
          <w:i/>
        </w:rPr>
      </w:pPr>
      <w:bookmarkStart w:id="64" w:name="_Toc229051528"/>
      <w:r w:rsidRPr="002A0E56">
        <w:t>Changes to Authorized Services</w:t>
      </w:r>
      <w:bookmarkEnd w:id="64"/>
    </w:p>
    <w:p w14:paraId="500A6FFD" w14:textId="77777777" w:rsidR="00D14326" w:rsidRDefault="00D14326" w:rsidP="00D162D9">
      <w:pPr>
        <w:rPr>
          <w:rStyle w:val="Bld"/>
          <w:b w:val="0"/>
          <w:bCs/>
          <w:color w:val="auto"/>
        </w:rPr>
      </w:pPr>
      <w:r w:rsidRPr="002A0E56">
        <w:t xml:space="preserve">Instructions to the providers of AIDS Waiver services are given prior to the initiation of services and are continuously updated as the participant's needs require. In certain </w:t>
      </w:r>
      <w:proofErr w:type="gramStart"/>
      <w:r w:rsidRPr="002A0E56">
        <w:t>situations</w:t>
      </w:r>
      <w:proofErr w:type="gramEnd"/>
      <w:r w:rsidRPr="002A0E56">
        <w:t xml:space="preserve"> changes in the participant's daily care needs require that additional services be authorized. The provider or attending physician should contact the </w:t>
      </w:r>
      <w:r w:rsidR="00DF3D1E">
        <w:t>AIDS W</w:t>
      </w:r>
      <w:r w:rsidRPr="002A0E56">
        <w:t xml:space="preserve">aiver case manager to request authorization for additional services. </w:t>
      </w:r>
      <w:r w:rsidRPr="002A0E56">
        <w:rPr>
          <w:rStyle w:val="Bld"/>
          <w:b w:val="0"/>
          <w:bCs/>
          <w:color w:val="auto"/>
        </w:rPr>
        <w:t xml:space="preserve">No additional services are reimbursed, unless prior approved by the </w:t>
      </w:r>
      <w:r w:rsidR="00DF3D1E">
        <w:rPr>
          <w:rStyle w:val="Bld"/>
          <w:b w:val="0"/>
          <w:bCs/>
          <w:color w:val="auto"/>
        </w:rPr>
        <w:t>AIDS W</w:t>
      </w:r>
      <w:r w:rsidRPr="002A0E56">
        <w:rPr>
          <w:rStyle w:val="Bld"/>
          <w:b w:val="0"/>
          <w:bCs/>
          <w:color w:val="auto"/>
        </w:rPr>
        <w:t xml:space="preserve">aiver </w:t>
      </w:r>
      <w:r w:rsidR="00BD7ADF" w:rsidRPr="002A0E56">
        <w:rPr>
          <w:rStyle w:val="Bld"/>
          <w:b w:val="0"/>
          <w:bCs/>
          <w:color w:val="auto"/>
        </w:rPr>
        <w:t>c</w:t>
      </w:r>
      <w:r w:rsidRPr="002A0E56">
        <w:rPr>
          <w:rStyle w:val="Bld"/>
          <w:b w:val="0"/>
          <w:bCs/>
          <w:color w:val="auto"/>
        </w:rPr>
        <w:t xml:space="preserve">ase </w:t>
      </w:r>
      <w:r w:rsidR="00BD7ADF" w:rsidRPr="002A0E56">
        <w:rPr>
          <w:rStyle w:val="Bld"/>
          <w:b w:val="0"/>
          <w:bCs/>
          <w:color w:val="auto"/>
        </w:rPr>
        <w:t>m</w:t>
      </w:r>
      <w:r w:rsidRPr="002A0E56">
        <w:rPr>
          <w:rStyle w:val="Bld"/>
          <w:b w:val="0"/>
          <w:bCs/>
          <w:color w:val="auto"/>
        </w:rPr>
        <w:t>anager and the SPPC/AIDS Waiver Program Coordinator and authorized in writing.</w:t>
      </w:r>
    </w:p>
    <w:p w14:paraId="3B772C2E" w14:textId="77777777" w:rsidR="00D14326" w:rsidRPr="002A0E56" w:rsidRDefault="00D14326" w:rsidP="001F3B10">
      <w:pPr>
        <w:pStyle w:val="Heading4"/>
        <w:rPr>
          <w:i/>
        </w:rPr>
      </w:pPr>
      <w:bookmarkStart w:id="65" w:name="_Toc229051529"/>
      <w:r w:rsidRPr="002A0E56">
        <w:t>Billing for Authorized Services</w:t>
      </w:r>
      <w:bookmarkEnd w:id="65"/>
    </w:p>
    <w:p w14:paraId="65E6B06F" w14:textId="77777777" w:rsidR="00D14326" w:rsidRPr="002A0E56" w:rsidRDefault="00D14326" w:rsidP="00D162D9">
      <w:r w:rsidRPr="002A0E56">
        <w:t xml:space="preserve">Providers receive notification of authorized services via the MO HealthNet Authorization Determination. Providers should use the </w:t>
      </w:r>
      <w:r w:rsidR="001A15DA" w:rsidRPr="002A0E56">
        <w:t xml:space="preserve">information on the </w:t>
      </w:r>
      <w:r w:rsidRPr="002A0E56">
        <w:t>MO HealthNet Authorization Determination when filing claims to ensure that required information contained on the claim corresponds with information listed on the MO HealthNet Authorization Determination.</w:t>
      </w:r>
    </w:p>
    <w:p w14:paraId="5E0B765A" w14:textId="364B8D4D" w:rsidR="00D14326" w:rsidRDefault="00D14326" w:rsidP="00D162D9">
      <w:r w:rsidRPr="002A0E56">
        <w:t>Providers should verify that the participant’s name and MO HealthNet identification number</w:t>
      </w:r>
      <w:r w:rsidR="000C0151">
        <w:t xml:space="preserve"> (ID)</w:t>
      </w:r>
      <w:r w:rsidRPr="002A0E56">
        <w:t xml:space="preserve"> on the MO HealthNet Authorization Determination correspond with the information on the participant's ID card. Additionally, providers should determine that the MO HealthNet Authorization Determination contains the correct </w:t>
      </w:r>
      <w:proofErr w:type="gramStart"/>
      <w:r w:rsidRPr="002A0E56">
        <w:t>provider</w:t>
      </w:r>
      <w:proofErr w:type="gramEnd"/>
      <w:r w:rsidRPr="002A0E56">
        <w:t xml:space="preserve"> name and number. If any of the items on the MO HealthNet Authorization Determination are incorrect the provider should immediately contact the </w:t>
      </w:r>
      <w:r w:rsidR="00DF3D1E">
        <w:t>AIDS W</w:t>
      </w:r>
      <w:r w:rsidRPr="002A0E56">
        <w:t>aiver case manager to initiate a correction.</w:t>
      </w:r>
    </w:p>
    <w:p w14:paraId="78C84757" w14:textId="2E5B0C15" w:rsidR="003F51BB" w:rsidRPr="002A0E56" w:rsidRDefault="003F51BB" w:rsidP="00B87E54">
      <w:pPr>
        <w:pStyle w:val="Text2"/>
        <w:spacing w:line="276" w:lineRule="auto"/>
        <w:ind w:left="0"/>
      </w:pPr>
      <w:r>
        <w:t xml:space="preserve">Refer to </w:t>
      </w:r>
      <w:hyperlink w:anchor="_SECTION_15_-" w:history="1">
        <w:r w:rsidRPr="00406F43">
          <w:rPr>
            <w:rStyle w:val="Hyperlink"/>
          </w:rPr>
          <w:t>Section 4</w:t>
        </w:r>
      </w:hyperlink>
      <w:r w:rsidR="003913DB">
        <w:t xml:space="preserve"> of</w:t>
      </w:r>
      <w:r>
        <w:t xml:space="preserve"> this manual for additional information on billing and claims. </w:t>
      </w:r>
    </w:p>
    <w:p w14:paraId="3665BCFB" w14:textId="7A41CF46" w:rsidR="00D14326" w:rsidRPr="002A0E56" w:rsidRDefault="0056311F" w:rsidP="001F3B10">
      <w:pPr>
        <w:pStyle w:val="Heading3"/>
      </w:pPr>
      <w:bookmarkStart w:id="66" w:name="AID13.10"/>
      <w:bookmarkStart w:id="67" w:name="_Toc225253664"/>
      <w:bookmarkStart w:id="68" w:name="_Toc229051530"/>
      <w:bookmarkEnd w:id="66"/>
      <w:r>
        <w:t>2.</w:t>
      </w:r>
      <w:r w:rsidR="00CB02E4">
        <w:t>9</w:t>
      </w:r>
      <w:r w:rsidR="004E5AFF">
        <w:t xml:space="preserve"> </w:t>
      </w:r>
      <w:r w:rsidR="00D14326" w:rsidRPr="002A0E56">
        <w:t xml:space="preserve">Waiver Services for </w:t>
      </w:r>
      <w:r w:rsidR="008B7B5A">
        <w:t>Participants</w:t>
      </w:r>
      <w:r w:rsidR="008B7B5A" w:rsidRPr="002A0E56">
        <w:t xml:space="preserve"> </w:t>
      </w:r>
      <w:r w:rsidR="00D14326" w:rsidRPr="002A0E56">
        <w:t>Electing Hospice</w:t>
      </w:r>
      <w:bookmarkEnd w:id="67"/>
      <w:bookmarkEnd w:id="68"/>
    </w:p>
    <w:p w14:paraId="780FC412" w14:textId="77777777" w:rsidR="00E57492" w:rsidRDefault="00D14326" w:rsidP="00D162D9">
      <w:r w:rsidRPr="002A0E56">
        <w:t xml:space="preserve">When electing the hospice benefit, a MO HealthNet participant does </w:t>
      </w:r>
      <w:r w:rsidRPr="002A0E56">
        <w:rPr>
          <w:rStyle w:val="Itlc"/>
          <w:i w:val="0"/>
          <w:iCs/>
          <w:color w:val="auto"/>
        </w:rPr>
        <w:t>not</w:t>
      </w:r>
      <w:r w:rsidRPr="002A0E56">
        <w:t xml:space="preserve"> automatically forfeit the right to receive waiver services. When a MO HealthNet participant is authorized for personal care or waiver services for persons with HIV/AIDS and then elects hospice, the </w:t>
      </w:r>
      <w:r w:rsidR="00DF3D1E">
        <w:t>AIDS W</w:t>
      </w:r>
      <w:r w:rsidRPr="002A0E56">
        <w:t>aiver case manager</w:t>
      </w:r>
      <w:r w:rsidRPr="002A0E56">
        <w:rPr>
          <w:rStyle w:val="Itlc"/>
          <w:iCs/>
          <w:color w:val="auto"/>
        </w:rPr>
        <w:t xml:space="preserve"> </w:t>
      </w:r>
      <w:r w:rsidRPr="002A0E56">
        <w:rPr>
          <w:rStyle w:val="Itlc"/>
          <w:i w:val="0"/>
          <w:iCs/>
          <w:color w:val="auto"/>
        </w:rPr>
        <w:t>must</w:t>
      </w:r>
      <w:r w:rsidRPr="002A0E56">
        <w:t xml:space="preserve"> develop a plan</w:t>
      </w:r>
      <w:r w:rsidR="00B71F5F">
        <w:t xml:space="preserve"> of care</w:t>
      </w:r>
      <w:r w:rsidRPr="002A0E56">
        <w:t xml:space="preserve"> in collaboration with the hospice provider to ensure services are </w:t>
      </w:r>
      <w:r w:rsidRPr="002A0E56">
        <w:rPr>
          <w:rStyle w:val="Itlc"/>
          <w:i w:val="0"/>
          <w:iCs/>
          <w:color w:val="auto"/>
        </w:rPr>
        <w:t>not</w:t>
      </w:r>
      <w:r w:rsidRPr="002A0E56">
        <w:t xml:space="preserve"> duplicative.</w:t>
      </w:r>
    </w:p>
    <w:p w14:paraId="2DCE5834" w14:textId="620D2C50" w:rsidR="004F5774" w:rsidRPr="002A0E56" w:rsidRDefault="004F5774" w:rsidP="00D162D9">
      <w:r>
        <w:t xml:space="preserve">Refer to the </w:t>
      </w:r>
      <w:hyperlink r:id="rId45" w:history="1">
        <w:r w:rsidRPr="00406F43">
          <w:rPr>
            <w:rStyle w:val="Hyperlink"/>
          </w:rPr>
          <w:t>Hospice Provider Manual</w:t>
        </w:r>
      </w:hyperlink>
      <w:r>
        <w:t xml:space="preserve"> for information on covered hospice benefits. </w:t>
      </w:r>
    </w:p>
    <w:p w14:paraId="6D1F85B5" w14:textId="77777777" w:rsidR="002240E7" w:rsidRPr="003A0DD4" w:rsidRDefault="002240E7" w:rsidP="001F3B10">
      <w:pPr>
        <w:pStyle w:val="Heading4"/>
        <w:rPr>
          <w:i/>
        </w:rPr>
      </w:pPr>
      <w:bookmarkStart w:id="69" w:name="_Toc229051531"/>
      <w:r w:rsidRPr="003A0DD4">
        <w:t>Assessing Eligibility for Services in Hospice</w:t>
      </w:r>
      <w:bookmarkEnd w:id="69"/>
    </w:p>
    <w:p w14:paraId="57CC59D2" w14:textId="0357CB12" w:rsidR="00D14326" w:rsidRPr="002A0E56" w:rsidRDefault="00D14326" w:rsidP="00D162D9">
      <w:r w:rsidRPr="002A0E56">
        <w:t xml:space="preserve">Following is a guideline that may be used by </w:t>
      </w:r>
      <w:r w:rsidR="00DF3D1E">
        <w:t>AIDS W</w:t>
      </w:r>
      <w:r w:rsidRPr="002A0E56">
        <w:t>aiver case managers when assessing initial or continued eligibility for waiver or personal care services for persons who have elected hospice.</w:t>
      </w:r>
    </w:p>
    <w:p w14:paraId="559EACBF" w14:textId="5A0BF5A3" w:rsidR="00D14326" w:rsidRPr="00B10681" w:rsidRDefault="001122F3" w:rsidP="001F3B10">
      <w:pPr>
        <w:pStyle w:val="Heading4"/>
      </w:pPr>
      <w:bookmarkStart w:id="70" w:name="_Toc229051532"/>
      <w:r>
        <w:t xml:space="preserve">Specialized Medical </w:t>
      </w:r>
      <w:r w:rsidR="00D14326" w:rsidRPr="00B10681">
        <w:t xml:space="preserve">Supplies </w:t>
      </w:r>
      <w:r w:rsidR="008B7B5A">
        <w:t>for Participant</w:t>
      </w:r>
      <w:r>
        <w:t>s</w:t>
      </w:r>
      <w:r w:rsidR="008B7B5A">
        <w:t xml:space="preserve"> Electing </w:t>
      </w:r>
      <w:r w:rsidR="00D14326" w:rsidRPr="00B10681">
        <w:t>Hospice</w:t>
      </w:r>
      <w:bookmarkEnd w:id="70"/>
    </w:p>
    <w:p w14:paraId="435604F6" w14:textId="707427D4" w:rsidR="00D14326" w:rsidRPr="002A0E56" w:rsidRDefault="00D14326" w:rsidP="00B87E54">
      <w:pPr>
        <w:pStyle w:val="Text2"/>
        <w:spacing w:line="276" w:lineRule="auto"/>
        <w:ind w:left="0"/>
      </w:pPr>
      <w:r w:rsidRPr="00D162D9">
        <w:t xml:space="preserve">The hospice reimbursement is structured to include any palliative care or service that is directly related to the terminal illness. Incontinence briefs/diapers, </w:t>
      </w:r>
      <w:proofErr w:type="spellStart"/>
      <w:r w:rsidRPr="00D162D9">
        <w:t>underpads</w:t>
      </w:r>
      <w:proofErr w:type="spellEnd"/>
      <w:r w:rsidRPr="00D162D9">
        <w:t xml:space="preserve"> and gloves fit this definition and are the financial responsibility of the hospice</w:t>
      </w:r>
      <w:r w:rsidR="008B7B5A" w:rsidRPr="00D162D9">
        <w:t xml:space="preserve"> provider</w:t>
      </w:r>
      <w:r w:rsidRPr="00D162D9">
        <w:t>. Supplies under the AIDS Waiver should never be authorized under the waiver for a participant who has elected hospice</w:t>
      </w:r>
      <w:r w:rsidRPr="002A0E56">
        <w:t>.</w:t>
      </w:r>
    </w:p>
    <w:p w14:paraId="56092895" w14:textId="53792679" w:rsidR="00D14326" w:rsidRPr="00B10681" w:rsidRDefault="00D14326" w:rsidP="001F3B10">
      <w:pPr>
        <w:pStyle w:val="Heading4"/>
      </w:pPr>
      <w:bookmarkStart w:id="71" w:name="_Toc229051533"/>
      <w:r w:rsidRPr="00B10681">
        <w:t xml:space="preserve">State Plan Personal Care and Waiver Attendant Care </w:t>
      </w:r>
      <w:r w:rsidR="008B7B5A">
        <w:t xml:space="preserve">for Participants Electing </w:t>
      </w:r>
      <w:r w:rsidRPr="00B10681">
        <w:t>Hospice</w:t>
      </w:r>
      <w:bookmarkEnd w:id="71"/>
    </w:p>
    <w:p w14:paraId="5618B79F" w14:textId="61BEC613" w:rsidR="008B7B5A" w:rsidRDefault="00D14326" w:rsidP="00D162D9">
      <w:r w:rsidRPr="002A0E56">
        <w:t xml:space="preserve">The hospice benefit includes home health aide and homemaker services. Home health aides may provide personal care services. Aides may also perform household services to maintain a safe and sanitary environment in areas of the home used by the </w:t>
      </w:r>
      <w:r w:rsidR="008B7B5A">
        <w:t>participant</w:t>
      </w:r>
      <w:r w:rsidRPr="002A0E56">
        <w:t xml:space="preserve">, </w:t>
      </w:r>
      <w:r w:rsidR="008B7B5A">
        <w:t>(i.e.,</w:t>
      </w:r>
      <w:r w:rsidRPr="002A0E56">
        <w:t xml:space="preserve"> changing the bed</w:t>
      </w:r>
      <w:r w:rsidR="008B7B5A">
        <w:t xml:space="preserve">, </w:t>
      </w:r>
      <w:r w:rsidRPr="002A0E56">
        <w:t>light cleaning</w:t>
      </w:r>
      <w:r w:rsidR="008B7B5A">
        <w:t xml:space="preserve">, </w:t>
      </w:r>
      <w:r w:rsidRPr="002A0E56">
        <w:t>laundering essential to the comfort and cleanliness of the patient</w:t>
      </w:r>
      <w:r w:rsidR="008B7B5A">
        <w:t>)</w:t>
      </w:r>
      <w:r w:rsidRPr="002A0E56">
        <w:t xml:space="preserve">. </w:t>
      </w:r>
    </w:p>
    <w:p w14:paraId="34134787" w14:textId="77777777" w:rsidR="008B7B5A" w:rsidRDefault="00D14326" w:rsidP="00D162D9">
      <w:r w:rsidRPr="002A0E56">
        <w:t xml:space="preserve">Aide services </w:t>
      </w:r>
      <w:r w:rsidRPr="002A0E56">
        <w:rPr>
          <w:rStyle w:val="Itlc"/>
          <w:i w:val="0"/>
          <w:iCs/>
          <w:color w:val="auto"/>
        </w:rPr>
        <w:t>must</w:t>
      </w:r>
      <w:r w:rsidRPr="002A0E56">
        <w:rPr>
          <w:i/>
        </w:rPr>
        <w:t xml:space="preserve"> </w:t>
      </w:r>
      <w:r w:rsidRPr="002A0E56">
        <w:t xml:space="preserve">be provided under the general supervision of a </w:t>
      </w:r>
      <w:r w:rsidR="006C42BE" w:rsidRPr="002A0E56">
        <w:t>RN</w:t>
      </w:r>
      <w:r w:rsidRPr="002A0E56">
        <w:t>. Homemaker services may include assistance in personal care, maintenance of a safe and healthy environment</w:t>
      </w:r>
      <w:r w:rsidR="008B7B5A">
        <w:t>,</w:t>
      </w:r>
      <w:r w:rsidRPr="002A0E56">
        <w:t xml:space="preserve"> and services to enable the individual to carry out the plan of care. Home health aide and homemaker services are intended to meet personal care needs which are the result of the terminal illness. The hospice benefit, however, is </w:t>
      </w:r>
      <w:r w:rsidRPr="002A0E56">
        <w:rPr>
          <w:rStyle w:val="Itlc"/>
          <w:i w:val="0"/>
          <w:iCs/>
          <w:color w:val="auto"/>
        </w:rPr>
        <w:t>not</w:t>
      </w:r>
      <w:r w:rsidRPr="002A0E56">
        <w:t xml:space="preserve"> intended to provide a full-time caregiver. </w:t>
      </w:r>
    </w:p>
    <w:p w14:paraId="3866C674" w14:textId="3D162C19" w:rsidR="00D14326" w:rsidRPr="002A0E56" w:rsidRDefault="00D14326" w:rsidP="00D162D9">
      <w:r w:rsidRPr="002A0E56">
        <w:t xml:space="preserve">It is appropriate for a person who has elected hospice to also receive </w:t>
      </w:r>
      <w:r w:rsidR="00C80AE6" w:rsidRPr="002A0E56">
        <w:t>SPPC</w:t>
      </w:r>
      <w:r w:rsidRPr="002A0E56">
        <w:t xml:space="preserve"> and waiver personal care. The </w:t>
      </w:r>
      <w:r w:rsidR="00DF3D1E">
        <w:t>AIDS W</w:t>
      </w:r>
      <w:r w:rsidRPr="002A0E56">
        <w:t xml:space="preserve">aiver case manager needs to develop a </w:t>
      </w:r>
      <w:r w:rsidR="00C80AE6" w:rsidRPr="002A0E56">
        <w:t>SPPC</w:t>
      </w:r>
      <w:r w:rsidRPr="002A0E56">
        <w:t xml:space="preserve"> or waiver plan</w:t>
      </w:r>
      <w:r w:rsidR="00B71F5F">
        <w:t xml:space="preserve"> of care</w:t>
      </w:r>
      <w:r w:rsidRPr="002A0E56">
        <w:t xml:space="preserve"> in collaboration with the hospice provider, who maintains primary responsibility for the patient, to </w:t>
      </w:r>
      <w:r w:rsidR="008B7B5A">
        <w:t>e</w:t>
      </w:r>
      <w:r w:rsidRPr="002A0E56">
        <w:t>nsure services are arranged appropriately in the best interest of the participant and augment services that are the responsibility of the hospice.</w:t>
      </w:r>
    </w:p>
    <w:p w14:paraId="59D82050" w14:textId="19FA9440" w:rsidR="00D14326" w:rsidRPr="005D2C5C" w:rsidRDefault="00D14326" w:rsidP="001F3B10">
      <w:pPr>
        <w:pStyle w:val="Heading4"/>
        <w:rPr>
          <w:i/>
        </w:rPr>
      </w:pPr>
      <w:bookmarkStart w:id="72" w:name="_Toc229051534"/>
      <w:r w:rsidRPr="005D2C5C">
        <w:t>Waiver Attendant Care</w:t>
      </w:r>
      <w:r w:rsidR="008B7B5A">
        <w:t xml:space="preserve"> for Participants Electing </w:t>
      </w:r>
      <w:r w:rsidRPr="005D2C5C">
        <w:t>Hospice</w:t>
      </w:r>
      <w:bookmarkEnd w:id="72"/>
    </w:p>
    <w:p w14:paraId="535C848A" w14:textId="77777777" w:rsidR="00D14326" w:rsidRPr="002A0E56" w:rsidRDefault="00D14326" w:rsidP="00D162D9">
      <w:r w:rsidRPr="002A0E56">
        <w:t xml:space="preserve">Individuals authorized to receive waiver attendant care may also elect to receive hospice benefits. </w:t>
      </w:r>
    </w:p>
    <w:p w14:paraId="1F55760E" w14:textId="1B1DFC34" w:rsidR="00D14326" w:rsidRPr="002A0E56" w:rsidRDefault="0056311F" w:rsidP="001F3B10">
      <w:pPr>
        <w:pStyle w:val="Heading3"/>
      </w:pPr>
      <w:bookmarkStart w:id="73" w:name="_Toc225253665"/>
      <w:bookmarkStart w:id="74" w:name="_Toc229051535"/>
      <w:r>
        <w:t>2.</w:t>
      </w:r>
      <w:r w:rsidR="00CB02E4">
        <w:t>10</w:t>
      </w:r>
      <w:r w:rsidR="004E5AFF">
        <w:t xml:space="preserve"> </w:t>
      </w:r>
      <w:r w:rsidR="00D14326" w:rsidRPr="002A0E56">
        <w:t>Confidentiality</w:t>
      </w:r>
      <w:bookmarkEnd w:id="73"/>
      <w:bookmarkEnd w:id="74"/>
    </w:p>
    <w:p w14:paraId="2C9EBB59" w14:textId="77777777" w:rsidR="00D14326" w:rsidRPr="002A0E56" w:rsidRDefault="00D14326" w:rsidP="00D162D9">
      <w:r w:rsidRPr="002A0E56">
        <w:t xml:space="preserve">According to state law, health care personnel working directly with </w:t>
      </w:r>
      <w:r w:rsidR="007676A9" w:rsidRPr="002A0E56">
        <w:t>participants diagnosed with AIDS or HIV</w:t>
      </w:r>
      <w:r w:rsidR="00EA10BE" w:rsidRPr="002A0E56">
        <w:t xml:space="preserve"> </w:t>
      </w:r>
      <w:r w:rsidR="007676A9" w:rsidRPr="002A0E56">
        <w:t>related illnesses</w:t>
      </w:r>
      <w:r w:rsidRPr="002A0E56">
        <w:t xml:space="preserve"> have a need to know this information for the purpose of providing direct patient health care.</w:t>
      </w:r>
    </w:p>
    <w:p w14:paraId="60860B04" w14:textId="77777777" w:rsidR="00D14326" w:rsidRPr="002A0E56" w:rsidRDefault="00D14326" w:rsidP="00D162D9">
      <w:r w:rsidRPr="002A0E56">
        <w:t xml:space="preserve">Medical records of </w:t>
      </w:r>
      <w:r w:rsidR="007676A9" w:rsidRPr="002A0E56">
        <w:t>participants diagnosed with AIDS or HIV</w:t>
      </w:r>
      <w:r w:rsidR="00EA10BE" w:rsidRPr="002A0E56">
        <w:t xml:space="preserve"> </w:t>
      </w:r>
      <w:r w:rsidR="007676A9" w:rsidRPr="002A0E56">
        <w:t>related illnesses</w:t>
      </w:r>
      <w:r w:rsidRPr="002A0E56">
        <w:t xml:space="preserve"> shall be afforded the same confidentiality protection afforded other medical records.</w:t>
      </w:r>
    </w:p>
    <w:p w14:paraId="11616F73" w14:textId="77777777" w:rsidR="00D14326" w:rsidRDefault="00D14326" w:rsidP="00D162D9">
      <w:r w:rsidRPr="002A0E56">
        <w:t xml:space="preserve">No civil liability shall accrue to any health care provider </w:t>
      </w:r>
      <w:proofErr w:type="gramStart"/>
      <w:r w:rsidRPr="002A0E56">
        <w:t>as a result of</w:t>
      </w:r>
      <w:proofErr w:type="gramEnd"/>
      <w:r w:rsidRPr="002A0E56">
        <w:t xml:space="preserve"> making a good faith report to </w:t>
      </w:r>
      <w:r w:rsidR="00EA10BE" w:rsidRPr="002A0E56">
        <w:t>DHSS</w:t>
      </w:r>
      <w:r w:rsidRPr="002A0E56">
        <w:t xml:space="preserve"> about a person reasonably believed to be infected with HIV.</w:t>
      </w:r>
    </w:p>
    <w:p w14:paraId="3A0CE035" w14:textId="23936C2A" w:rsidR="006A6BD1" w:rsidRPr="002669A6" w:rsidRDefault="006A6BD1" w:rsidP="002669A6">
      <w:pPr>
        <w:pStyle w:val="Heading2"/>
      </w:pPr>
      <w:bookmarkStart w:id="75" w:name="_Toc225253666"/>
      <w:bookmarkStart w:id="76" w:name="_Toc229051536"/>
      <w:r w:rsidRPr="002669A6">
        <w:t>Section 3:  Special Documentation Requirements</w:t>
      </w:r>
      <w:bookmarkEnd w:id="75"/>
      <w:bookmarkEnd w:id="76"/>
    </w:p>
    <w:p w14:paraId="4B39F0EA" w14:textId="32A8E6FF" w:rsidR="00D14326" w:rsidRPr="002A0E56" w:rsidRDefault="00D14326" w:rsidP="006A1D89">
      <w:bookmarkStart w:id="77" w:name="_SECTION_14_-"/>
      <w:bookmarkEnd w:id="77"/>
      <w:r w:rsidRPr="002A0E56">
        <w:t xml:space="preserve">AIDS Waiver services covered under the MO HealthNet Program must be prior authorized by the Department of Health and Senior Services (DHSS) </w:t>
      </w:r>
      <w:r w:rsidR="004A0D9D" w:rsidRPr="002A0E56">
        <w:t>State Plan Personal Care (</w:t>
      </w:r>
      <w:r w:rsidRPr="002A0E56">
        <w:t>SPPC</w:t>
      </w:r>
      <w:r w:rsidR="004A0D9D" w:rsidRPr="002A0E56">
        <w:t>)</w:t>
      </w:r>
      <w:r w:rsidRPr="002A0E56">
        <w:t>/AIDS Waiver Program Coordinator prior to the service being rendered. Contracted AIDS Waiver case managers will assess the participant’s needs and determine services; DHSS Quality Service Man</w:t>
      </w:r>
      <w:r w:rsidR="004A0D9D" w:rsidRPr="002A0E56">
        <w:t>a</w:t>
      </w:r>
      <w:r w:rsidRPr="002A0E56">
        <w:t xml:space="preserve">gers (QSMs) must approve all services prior to delivery. Following QSM approval, DHSS generates a computer printout and sends it to the MO HealthNet </w:t>
      </w:r>
      <w:r w:rsidR="004A0D9D" w:rsidRPr="002A0E56">
        <w:t xml:space="preserve">Division (MHD) </w:t>
      </w:r>
      <w:r w:rsidRPr="002A0E56">
        <w:t xml:space="preserve">fiscal agent, who then enters the information into the claims processing system. Once processed, the </w:t>
      </w:r>
      <w:r w:rsidR="004A0D9D" w:rsidRPr="002A0E56">
        <w:t>MHD</w:t>
      </w:r>
      <w:r w:rsidRPr="002A0E56">
        <w:t xml:space="preserve"> fiscal agent sends an authorization determination letter to DHSS, who then sends a copy to the provider. </w:t>
      </w:r>
    </w:p>
    <w:p w14:paraId="08DC275D" w14:textId="5BD25932" w:rsidR="00D14326" w:rsidRPr="002A0E56" w:rsidRDefault="008B7B5A" w:rsidP="006A1D89">
      <w:r>
        <w:t>Prior to performing AIDS Waiver services, a</w:t>
      </w:r>
      <w:r w:rsidR="00D14326" w:rsidRPr="002A0E56">
        <w:t xml:space="preserve">ll providers must complete </w:t>
      </w:r>
      <w:r w:rsidR="00D14326" w:rsidRPr="001F6AA4">
        <w:t xml:space="preserve">the </w:t>
      </w:r>
      <w:hyperlink r:id="rId46" w:history="1">
        <w:r w:rsidR="00D14326" w:rsidRPr="00406F43">
          <w:rPr>
            <w:rStyle w:val="Hyperlink"/>
          </w:rPr>
          <w:t>MO HealthNet AIDS Waiver Program Addendum</w:t>
        </w:r>
      </w:hyperlink>
      <w:r>
        <w:t xml:space="preserve"> and the </w:t>
      </w:r>
      <w:proofErr w:type="spellStart"/>
      <w:r>
        <w:t>speciality</w:t>
      </w:r>
      <w:proofErr w:type="spellEnd"/>
      <w:r>
        <w:t xml:space="preserve"> must be approved by Missouri Medicaid Audit and Compliance (MMAC).</w:t>
      </w:r>
      <w:r w:rsidR="00D14326" w:rsidRPr="001F6AA4">
        <w:rPr>
          <w:color w:val="F79646" w:themeColor="accent6"/>
        </w:rPr>
        <w:t xml:space="preserve"> </w:t>
      </w:r>
      <w:r w:rsidR="00D14326" w:rsidRPr="002A0E56">
        <w:t xml:space="preserve">This document must be sent to the </w:t>
      </w:r>
      <w:r w:rsidR="00A77B30">
        <w:t xml:space="preserve">MMAC </w:t>
      </w:r>
      <w:r w:rsidR="004A0D9D" w:rsidRPr="002A0E56">
        <w:t>Provider</w:t>
      </w:r>
      <w:r w:rsidR="00D14326" w:rsidRPr="002A0E56">
        <w:t xml:space="preserve"> Enrollment Unit</w:t>
      </w:r>
      <w:r w:rsidR="004A0D9D" w:rsidRPr="002A0E56">
        <w:t xml:space="preserve"> at </w:t>
      </w:r>
      <w:hyperlink r:id="rId47" w:history="1">
        <w:r w:rsidR="004A0D9D" w:rsidRPr="00406F43">
          <w:rPr>
            <w:rStyle w:val="Hyperlink"/>
          </w:rPr>
          <w:t>MMAC.ProviderEnrollment@dss.mo.gov</w:t>
        </w:r>
      </w:hyperlink>
      <w:r w:rsidR="00D14326" w:rsidRPr="001521CF">
        <w:t xml:space="preserve"> </w:t>
      </w:r>
      <w:r w:rsidR="00D14326" w:rsidRPr="002A0E56">
        <w:t xml:space="preserve">for approval. </w:t>
      </w:r>
    </w:p>
    <w:p w14:paraId="00DED2E9" w14:textId="7231B278" w:rsidR="00D14326" w:rsidRPr="002A0E56" w:rsidRDefault="008E4248" w:rsidP="006A1D89">
      <w:r w:rsidRPr="002A0E56">
        <w:t>MHD</w:t>
      </w:r>
      <w:r w:rsidR="00D14326" w:rsidRPr="002A0E56">
        <w:t xml:space="preserve"> has other requirements for documentation when processing claims under certain circumstances. Refer to </w:t>
      </w:r>
      <w:hyperlink w:anchor="_SECTION_15_-" w:history="1">
        <w:r w:rsidR="00CB0ACF" w:rsidRPr="00406F43">
          <w:rPr>
            <w:rStyle w:val="Hyperlink"/>
          </w:rPr>
          <w:t>Section 4</w:t>
        </w:r>
      </w:hyperlink>
      <w:r w:rsidR="00CB0ACF">
        <w:t xml:space="preserve"> of</w:t>
      </w:r>
      <w:r w:rsidR="00CB0ACF" w:rsidRPr="002A0E56">
        <w:t xml:space="preserve"> </w:t>
      </w:r>
      <w:r w:rsidR="005B2D58" w:rsidRPr="002A0E56">
        <w:t xml:space="preserve">this manual for additional information. </w:t>
      </w:r>
      <w:r w:rsidR="00D14326" w:rsidRPr="002A0E56">
        <w:t xml:space="preserve">Refer to the </w:t>
      </w:r>
      <w:hyperlink r:id="rId48" w:history="1">
        <w:r w:rsidR="00D14326" w:rsidRPr="00406F43">
          <w:rPr>
            <w:rStyle w:val="Hyperlink"/>
          </w:rPr>
          <w:t xml:space="preserve">General </w:t>
        </w:r>
        <w:r w:rsidR="005B2D58" w:rsidRPr="00406F43">
          <w:rPr>
            <w:rStyle w:val="Hyperlink"/>
          </w:rPr>
          <w:t xml:space="preserve">Sections </w:t>
        </w:r>
        <w:r w:rsidR="00D14326" w:rsidRPr="00406F43">
          <w:rPr>
            <w:rStyle w:val="Hyperlink"/>
          </w:rPr>
          <w:t>Manual</w:t>
        </w:r>
      </w:hyperlink>
      <w:r w:rsidRPr="002A0E56">
        <w:t xml:space="preserve"> </w:t>
      </w:r>
      <w:r w:rsidR="00D14326" w:rsidRPr="002A0E56">
        <w:t>for general program documentation requirements.</w:t>
      </w:r>
    </w:p>
    <w:p w14:paraId="7F4DE9FD" w14:textId="5FC68185" w:rsidR="00D14326" w:rsidRPr="00F67153" w:rsidRDefault="00D14326" w:rsidP="002669A6">
      <w:pPr>
        <w:pStyle w:val="Heading2"/>
      </w:pPr>
      <w:bookmarkStart w:id="78" w:name="_SECTION_15_-"/>
      <w:bookmarkStart w:id="79" w:name="_Section_4:_"/>
      <w:bookmarkStart w:id="80" w:name="_Toc225253667"/>
      <w:bookmarkStart w:id="81" w:name="_Toc229051537"/>
      <w:bookmarkEnd w:id="78"/>
      <w:bookmarkEnd w:id="79"/>
      <w:r w:rsidRPr="00F67153">
        <w:t>Section 4</w:t>
      </w:r>
      <w:r w:rsidR="000752E3" w:rsidRPr="00F67153">
        <w:t>:</w:t>
      </w:r>
      <w:r w:rsidR="002669A6">
        <w:t xml:space="preserve"> </w:t>
      </w:r>
      <w:r w:rsidRPr="00F67153">
        <w:t>Billing Instructions</w:t>
      </w:r>
      <w:bookmarkEnd w:id="80"/>
      <w:bookmarkEnd w:id="81"/>
      <w:r w:rsidRPr="00F67153">
        <w:t xml:space="preserve"> </w:t>
      </w:r>
    </w:p>
    <w:p w14:paraId="182AD32E" w14:textId="38FB36DE" w:rsidR="00D14326" w:rsidRPr="002A0E56" w:rsidRDefault="00825A3A" w:rsidP="001F3B10">
      <w:pPr>
        <w:pStyle w:val="Heading3"/>
      </w:pPr>
      <w:bookmarkStart w:id="82" w:name="_Toc372026679"/>
      <w:bookmarkStart w:id="83" w:name="_Toc225253668"/>
      <w:bookmarkStart w:id="84" w:name="_Toc229051538"/>
      <w:r w:rsidRPr="002A0E56">
        <w:t>4.</w:t>
      </w:r>
      <w:r w:rsidR="0018702E">
        <w:t>1</w:t>
      </w:r>
      <w:r w:rsidR="004E5AFF">
        <w:t xml:space="preserve"> </w:t>
      </w:r>
      <w:r w:rsidR="00D14326" w:rsidRPr="002A0E56">
        <w:t>Electronic Data Interchange</w:t>
      </w:r>
      <w:bookmarkEnd w:id="82"/>
      <w:bookmarkEnd w:id="83"/>
      <w:bookmarkEnd w:id="84"/>
    </w:p>
    <w:p w14:paraId="3DF45B94" w14:textId="68DBD981" w:rsidR="00D033D7" w:rsidRPr="00406F43" w:rsidRDefault="00D033D7" w:rsidP="00D162D9">
      <w:pPr>
        <w:rPr>
          <w:rStyle w:val="Hyperlink"/>
        </w:rPr>
      </w:pPr>
      <w:r w:rsidRPr="001F6AA4">
        <w:t xml:space="preserve">Providers exchanging electronic transactions with </w:t>
      </w:r>
      <w:r w:rsidR="009F0921">
        <w:t xml:space="preserve">the </w:t>
      </w:r>
      <w:r w:rsidR="00DA08F4">
        <w:t>MO HealthNet</w:t>
      </w:r>
      <w:r w:rsidR="00DA08F4" w:rsidRPr="001F6AA4">
        <w:t xml:space="preserve"> </w:t>
      </w:r>
      <w:r w:rsidR="009F0921">
        <w:t xml:space="preserve">Division (MHD) </w:t>
      </w:r>
      <w:r w:rsidRPr="001F6AA4">
        <w:t>should access the</w:t>
      </w:r>
      <w:r w:rsidRPr="001F6AA4">
        <w:rPr>
          <w:b/>
        </w:rPr>
        <w:t xml:space="preserve"> </w:t>
      </w:r>
      <w:hyperlink r:id="rId49" w:history="1">
        <w:r w:rsidRPr="00406F43">
          <w:rPr>
            <w:rStyle w:val="Hyperlink"/>
            <w:rFonts w:eastAsiaTheme="majorEastAsia"/>
          </w:rPr>
          <w:t>ASC X12 Implementation Guides</w:t>
        </w:r>
      </w:hyperlink>
      <w:r w:rsidRPr="001F6AA4">
        <w:rPr>
          <w:b/>
        </w:rPr>
        <w:t xml:space="preserve">, </w:t>
      </w:r>
      <w:r w:rsidRPr="001F6AA4">
        <w:t xml:space="preserve">adopted under the Health Insurance Portability and Accountability Act (HIPAA). For Missouri specific information, including connection methods, the biller’s responsibilities, forms to be completed prior to submitting electronic information, as well as supplemental information, reference </w:t>
      </w:r>
      <w:r w:rsidRPr="00406F43">
        <w:rPr>
          <w:rStyle w:val="Hyperlink"/>
        </w:rPr>
        <w:t xml:space="preserve">the </w:t>
      </w:r>
      <w:hyperlink r:id="rId50" w:history="1">
        <w:r w:rsidRPr="00406F43">
          <w:rPr>
            <w:rStyle w:val="Hyperlink"/>
            <w:rFonts w:eastAsiaTheme="majorEastAsia"/>
          </w:rPr>
          <w:t>X12 Version v5010</w:t>
        </w:r>
      </w:hyperlink>
      <w:r w:rsidRPr="001521CF">
        <w:rPr>
          <w:b/>
          <w:color w:val="F79646" w:themeColor="accent6"/>
        </w:rPr>
        <w:t xml:space="preserve"> </w:t>
      </w:r>
      <w:r w:rsidRPr="006F5FBA">
        <w:t>and</w:t>
      </w:r>
      <w:r w:rsidRPr="001F6AA4">
        <w:rPr>
          <w:b/>
        </w:rPr>
        <w:t xml:space="preserve"> </w:t>
      </w:r>
      <w:hyperlink r:id="rId51" w:history="1">
        <w:r w:rsidRPr="00406F43">
          <w:rPr>
            <w:rStyle w:val="Hyperlink"/>
            <w:rFonts w:eastAsiaTheme="majorEastAsia"/>
          </w:rPr>
          <w:t>NCPDP Telecommunication D.0 &amp; Batch Transaction Standard V.1.1 Companion Guides</w:t>
        </w:r>
      </w:hyperlink>
      <w:r w:rsidRPr="00406F43">
        <w:rPr>
          <w:rStyle w:val="Hyperlink"/>
        </w:rPr>
        <w:t>.</w:t>
      </w:r>
    </w:p>
    <w:p w14:paraId="626A1B9B" w14:textId="00E90AD1" w:rsidR="00D14326" w:rsidRPr="002A0E56" w:rsidRDefault="00D14326" w:rsidP="001F3B10">
      <w:pPr>
        <w:pStyle w:val="Heading3"/>
      </w:pPr>
      <w:bookmarkStart w:id="85" w:name="_Toc372026680"/>
      <w:bookmarkStart w:id="86" w:name="_Toc225253669"/>
      <w:bookmarkStart w:id="87" w:name="_Toc229051539"/>
      <w:r w:rsidRPr="002A0E56">
        <w:t>4.</w:t>
      </w:r>
      <w:r w:rsidR="00354574">
        <w:t>2</w:t>
      </w:r>
      <w:r w:rsidR="004E5AFF">
        <w:t xml:space="preserve"> </w:t>
      </w:r>
      <w:r w:rsidRPr="002A0E56">
        <w:t>Claim Submission</w:t>
      </w:r>
      <w:bookmarkEnd w:id="85"/>
      <w:bookmarkEnd w:id="86"/>
      <w:bookmarkEnd w:id="87"/>
    </w:p>
    <w:p w14:paraId="1BB1E95F" w14:textId="2FB4B6AC" w:rsidR="00D14326" w:rsidRPr="002A0E56" w:rsidRDefault="00D14326" w:rsidP="006A1D89">
      <w:r w:rsidRPr="002A0E56">
        <w:t xml:space="preserve">Providers may submit claims </w:t>
      </w:r>
      <w:r w:rsidR="00A02FC5" w:rsidRPr="002A0E56">
        <w:t xml:space="preserve">via </w:t>
      </w:r>
      <w:hyperlink r:id="rId52" w:history="1">
        <w:proofErr w:type="spellStart"/>
        <w:r w:rsidR="00A02FC5" w:rsidRPr="00406F43">
          <w:rPr>
            <w:rStyle w:val="Hyperlink"/>
          </w:rPr>
          <w:t>eMOMED</w:t>
        </w:r>
        <w:proofErr w:type="spellEnd"/>
      </w:hyperlink>
      <w:r w:rsidR="00A02FC5" w:rsidRPr="002A0E56">
        <w:t>.</w:t>
      </w:r>
      <w:r w:rsidRPr="002A0E56">
        <w:t xml:space="preserve"> Providers are unable to access </w:t>
      </w:r>
      <w:hyperlink r:id="rId53" w:history="1">
        <w:proofErr w:type="spellStart"/>
        <w:r w:rsidR="00A02FC5" w:rsidRPr="00406F43">
          <w:rPr>
            <w:rStyle w:val="Hyperlink"/>
          </w:rPr>
          <w:t>eMOMED</w:t>
        </w:r>
        <w:proofErr w:type="spellEnd"/>
      </w:hyperlink>
      <w:r w:rsidR="00A02FC5" w:rsidRPr="001521CF">
        <w:t xml:space="preserve"> </w:t>
      </w:r>
      <w:r w:rsidRPr="002A0E56">
        <w:t xml:space="preserve">without proper authorization. An authorization is required for each individual user. </w:t>
      </w:r>
    </w:p>
    <w:p w14:paraId="616148A2" w14:textId="42D0A05A" w:rsidR="002371FC" w:rsidRDefault="00D14326" w:rsidP="006A1D89">
      <w:r w:rsidRPr="002A0E56">
        <w:t xml:space="preserve">The following claim types can be used </w:t>
      </w:r>
      <w:r w:rsidR="00A02FC5" w:rsidRPr="002A0E56">
        <w:t xml:space="preserve">in </w:t>
      </w:r>
      <w:hyperlink r:id="rId54" w:history="1">
        <w:proofErr w:type="spellStart"/>
        <w:r w:rsidR="00A02FC5" w:rsidRPr="00406F43">
          <w:rPr>
            <w:rStyle w:val="Hyperlink"/>
          </w:rPr>
          <w:t>eMOMED</w:t>
        </w:r>
        <w:proofErr w:type="spellEnd"/>
      </w:hyperlink>
      <w:r w:rsidR="00A02FC5" w:rsidRPr="002A0E56">
        <w:t xml:space="preserve"> applications</w:t>
      </w:r>
      <w:r w:rsidRPr="002A0E56">
        <w:t>: Medical (NSF), Inpatient and Outpatient (</w:t>
      </w:r>
      <w:hyperlink r:id="rId55" w:history="1">
        <w:r w:rsidRPr="00406F43">
          <w:rPr>
            <w:rStyle w:val="Hyperlink"/>
          </w:rPr>
          <w:t>UB-04</w:t>
        </w:r>
      </w:hyperlink>
      <w:r w:rsidRPr="002A0E56">
        <w:t>), Dental</w:t>
      </w:r>
      <w:r w:rsidR="00A02FC5" w:rsidRPr="002A0E56">
        <w:t xml:space="preserve"> (</w:t>
      </w:r>
      <w:hyperlink r:id="rId56" w:history="1">
        <w:r w:rsidR="00A02FC5" w:rsidRPr="00406F43">
          <w:rPr>
            <w:rStyle w:val="Hyperlink"/>
          </w:rPr>
          <w:t>2019 American Dental Association</w:t>
        </w:r>
      </w:hyperlink>
      <w:r w:rsidR="00A02FC5" w:rsidRPr="002A0E56">
        <w:t>)</w:t>
      </w:r>
      <w:r w:rsidRPr="002A0E56">
        <w:t>, Nursing Home</w:t>
      </w:r>
      <w:r w:rsidR="00354574">
        <w:t>,</w:t>
      </w:r>
      <w:r w:rsidRPr="002A0E56">
        <w:t xml:space="preserve"> and Pharmacy. For convenience, some of the input fields are set as indicators or accepted values in drop-down boxes. Providers have the option to input and submit claims individually or in a batch submission. A confirmation file is returned for each transmission.</w:t>
      </w:r>
      <w:r w:rsidRPr="002A0E56" w:rsidDel="00F83AD6">
        <w:t xml:space="preserve"> </w:t>
      </w:r>
      <w:bookmarkStart w:id="88" w:name="_Toc372026681"/>
      <w:r w:rsidR="002371FC" w:rsidRPr="002A0E56">
        <w:t xml:space="preserve">Refer to the </w:t>
      </w:r>
      <w:hyperlink r:id="rId57" w:history="1">
        <w:r w:rsidR="002371FC" w:rsidRPr="00406F43">
          <w:rPr>
            <w:rStyle w:val="Hyperlink"/>
          </w:rPr>
          <w:t>General Sections Manual</w:t>
        </w:r>
      </w:hyperlink>
      <w:r w:rsidR="002371FC" w:rsidRPr="002A0E56">
        <w:t xml:space="preserve"> for more information.</w:t>
      </w:r>
    </w:p>
    <w:p w14:paraId="152AC6C7" w14:textId="5DD60D9A" w:rsidR="00400770" w:rsidRPr="002A0E56" w:rsidRDefault="00400770" w:rsidP="006A1D89">
      <w:pPr>
        <w:rPr>
          <w:b/>
        </w:rPr>
      </w:pPr>
      <w:r w:rsidRPr="002A0E56">
        <w:t>The MO HealthNet Authorization Determination contains the program specific procedure code, the type of service</w:t>
      </w:r>
      <w:r>
        <w:t>,</w:t>
      </w:r>
      <w:r w:rsidRPr="002A0E56">
        <w:t xml:space="preserve"> and the number of units or dollar amount authorized per month for the participant. </w:t>
      </w:r>
      <w:r w:rsidRPr="002A0E56">
        <w:rPr>
          <w:rStyle w:val="Bld-Itlc"/>
          <w:b w:val="0"/>
          <w:bCs/>
          <w:i w:val="0"/>
          <w:iCs/>
          <w:color w:val="auto"/>
        </w:rPr>
        <w:t>No</w:t>
      </w:r>
      <w:r w:rsidRPr="002A0E56">
        <w:rPr>
          <w:b/>
        </w:rPr>
        <w:t xml:space="preserve"> </w:t>
      </w:r>
      <w:r w:rsidRPr="002A0E56">
        <w:rPr>
          <w:rStyle w:val="Bld"/>
          <w:b w:val="0"/>
          <w:bCs/>
          <w:color w:val="auto"/>
        </w:rPr>
        <w:t xml:space="preserve">reimbursement is made for units or dollar amounts billed </w:t>
      </w:r>
      <w:proofErr w:type="gramStart"/>
      <w:r w:rsidRPr="002A0E56">
        <w:rPr>
          <w:rStyle w:val="Bld"/>
          <w:b w:val="0"/>
          <w:bCs/>
          <w:color w:val="auto"/>
        </w:rPr>
        <w:t>in excess of</w:t>
      </w:r>
      <w:proofErr w:type="gramEnd"/>
      <w:r w:rsidRPr="002A0E56">
        <w:rPr>
          <w:rStyle w:val="Bld"/>
          <w:b w:val="0"/>
          <w:bCs/>
          <w:color w:val="auto"/>
        </w:rPr>
        <w:t xml:space="preserve"> the amount authorized or provided</w:t>
      </w:r>
      <w:r w:rsidRPr="002A0E56">
        <w:rPr>
          <w:b/>
        </w:rPr>
        <w:t>.</w:t>
      </w:r>
    </w:p>
    <w:p w14:paraId="251889F3" w14:textId="77777777" w:rsidR="00400770" w:rsidRPr="002A0E56" w:rsidRDefault="00400770" w:rsidP="006A1D89">
      <w:r w:rsidRPr="002A0E56">
        <w:t>The following suggestions help ensure prompt and accurate payment:</w:t>
      </w:r>
    </w:p>
    <w:p w14:paraId="3970F7F5" w14:textId="5C16E6DE" w:rsidR="00400770" w:rsidRPr="006A1D89" w:rsidRDefault="00400770" w:rsidP="006A1D89">
      <w:pPr>
        <w:pStyle w:val="ListBullet"/>
      </w:pPr>
      <w:r w:rsidRPr="006A1D89">
        <w:t>The place of service (POS) code to use for AIDS Waiver services provided in the home is 12. POS 12 is a location, other than a hospital or other facility, where the patient receives care in a private residence.</w:t>
      </w:r>
    </w:p>
    <w:p w14:paraId="3DE55330" w14:textId="77777777" w:rsidR="00400770" w:rsidRPr="006A1D89" w:rsidRDefault="00400770" w:rsidP="006A1D89">
      <w:pPr>
        <w:pStyle w:val="ListBullet"/>
      </w:pPr>
      <w:r w:rsidRPr="006A1D89">
        <w:t>Each date of service must match or fall within the from/through dates on the appropriate line of the MO HealthNet Authorization Determination</w:t>
      </w:r>
    </w:p>
    <w:p w14:paraId="21B52278" w14:textId="77777777" w:rsidR="00400770" w:rsidRPr="006A1D89" w:rsidRDefault="00400770" w:rsidP="006A1D89">
      <w:pPr>
        <w:pStyle w:val="ListBullet"/>
      </w:pPr>
      <w:r w:rsidRPr="006A1D89">
        <w:t>When the MO HealthNet Authorization Determination appears to contain errors or information that is not understandable, contact the participant's AIDS Waiver case manager for clarification</w:t>
      </w:r>
    </w:p>
    <w:p w14:paraId="15272AB1" w14:textId="77777777" w:rsidR="00400770" w:rsidRPr="006A1D89" w:rsidRDefault="00400770" w:rsidP="006A1D89">
      <w:pPr>
        <w:pStyle w:val="ListBullet"/>
      </w:pPr>
      <w:r w:rsidRPr="006A1D89">
        <w:t xml:space="preserve">Each time a claim is processed and paid, the number of units or dollars paid is subtracted from the number authorized. Providers should not bill for more units or dollars than authorized within the specified </w:t>
      </w:r>
      <w:proofErr w:type="gramStart"/>
      <w:r w:rsidRPr="006A1D89">
        <w:t>time period</w:t>
      </w:r>
      <w:proofErr w:type="gramEnd"/>
      <w:r w:rsidRPr="006A1D89">
        <w:t xml:space="preserve"> on the PA file or the claim will be denied.</w:t>
      </w:r>
    </w:p>
    <w:p w14:paraId="1A9D9435" w14:textId="77777777" w:rsidR="00400770" w:rsidRPr="006A1D89" w:rsidRDefault="00400770" w:rsidP="006A1D89">
      <w:pPr>
        <w:pStyle w:val="ListBullet"/>
      </w:pPr>
      <w:r w:rsidRPr="006A1D89">
        <w:t>The AIDS Waiver case manager must have the correct provider number with which the provider will bill, because services are prior authorized to a specific provider number</w:t>
      </w:r>
    </w:p>
    <w:p w14:paraId="69C5647B" w14:textId="2F23E927" w:rsidR="00400770" w:rsidRPr="002669A6" w:rsidRDefault="00400770" w:rsidP="002669A6">
      <w:pPr>
        <w:pStyle w:val="Heading3"/>
      </w:pPr>
      <w:bookmarkStart w:id="89" w:name="_Toc225253670"/>
      <w:bookmarkStart w:id="90" w:name="_Toc229051540"/>
      <w:r w:rsidRPr="002669A6">
        <w:t>4.3</w:t>
      </w:r>
      <w:r w:rsidR="004E5AFF" w:rsidRPr="002669A6">
        <w:t xml:space="preserve"> </w:t>
      </w:r>
      <w:r w:rsidRPr="002669A6">
        <w:t>Resubmission of Claims</w:t>
      </w:r>
      <w:bookmarkEnd w:id="89"/>
      <w:bookmarkEnd w:id="90"/>
    </w:p>
    <w:p w14:paraId="54ACB94B" w14:textId="77777777" w:rsidR="00400770" w:rsidRPr="002A0E56" w:rsidRDefault="00400770" w:rsidP="006A1D89">
      <w:r w:rsidRPr="002A0E56">
        <w:t xml:space="preserve">Any line item on a claim that resulted in a zero </w:t>
      </w:r>
      <w:r>
        <w:t xml:space="preserve">(0) </w:t>
      </w:r>
      <w:r w:rsidRPr="002A0E56">
        <w:t xml:space="preserve">payment can be resubmitted if it denied due to a correctable error. The error that caused the claim to deny </w:t>
      </w:r>
      <w:r w:rsidRPr="002A0E56">
        <w:rPr>
          <w:rStyle w:val="Itlc"/>
          <w:i w:val="0"/>
          <w:iCs/>
          <w:color w:val="auto"/>
        </w:rPr>
        <w:t>must</w:t>
      </w:r>
      <w:r w:rsidRPr="002A0E56">
        <w:t xml:space="preserve"> be corrected before resubmitting the claim. The provider may resubmit </w:t>
      </w:r>
      <w:r>
        <w:t xml:space="preserve">claims </w:t>
      </w:r>
      <w:r w:rsidRPr="002A0E56">
        <w:t xml:space="preserve">in </w:t>
      </w:r>
      <w:hyperlink r:id="rId58" w:history="1">
        <w:proofErr w:type="spellStart"/>
        <w:r w:rsidRPr="00406F43">
          <w:rPr>
            <w:rStyle w:val="Hyperlink"/>
          </w:rPr>
          <w:t>eMOMED</w:t>
        </w:r>
        <w:proofErr w:type="spellEnd"/>
      </w:hyperlink>
      <w:r w:rsidRPr="002A0E56">
        <w:t xml:space="preserve"> or on a </w:t>
      </w:r>
      <w:hyperlink r:id="rId59" w:history="1">
        <w:r w:rsidRPr="00406F43">
          <w:rPr>
            <w:rStyle w:val="Hyperlink"/>
          </w:rPr>
          <w:t>CMS-1500</w:t>
        </w:r>
      </w:hyperlink>
      <w:r w:rsidRPr="0058457B">
        <w:rPr>
          <w:color w:val="F79646" w:themeColor="accent6"/>
        </w:rPr>
        <w:t xml:space="preserve"> </w:t>
      </w:r>
      <w:r w:rsidRPr="00DA3C01">
        <w:t>claim form</w:t>
      </w:r>
      <w:r w:rsidRPr="002A0E56">
        <w:t xml:space="preserve">. </w:t>
      </w:r>
    </w:p>
    <w:p w14:paraId="014D60B2" w14:textId="104CC4E6" w:rsidR="00400770" w:rsidRPr="002A0E56" w:rsidRDefault="00400770" w:rsidP="006A1D89">
      <w:r w:rsidRPr="002A0E56">
        <w:t xml:space="preserve">In certain situations, providers may receive an underpayment on a submitted claim. When a claim is paid, whether in full or in part, the resubmission of the claim may result in its denial as a duplicate. In cases where the whole claim (zero payment) has been previously denied, the provider may then resubmit with the appropriate corrections. The above applies to overpayments as well. </w:t>
      </w:r>
      <w:r>
        <w:t>Refer to</w:t>
      </w:r>
      <w:r w:rsidRPr="002A0E56">
        <w:t xml:space="preserve"> the </w:t>
      </w:r>
      <w:hyperlink r:id="rId60" w:history="1">
        <w:r w:rsidRPr="00406F43">
          <w:rPr>
            <w:rStyle w:val="Hyperlink"/>
          </w:rPr>
          <w:t>General Sections Manual</w:t>
        </w:r>
      </w:hyperlink>
      <w:r w:rsidRPr="002A0E56">
        <w:t xml:space="preserve"> for specific information regarding adjustments.</w:t>
      </w:r>
    </w:p>
    <w:p w14:paraId="36F48CD2" w14:textId="58A47B8E" w:rsidR="00400770" w:rsidRPr="00D8111A" w:rsidRDefault="00400770" w:rsidP="006A1D89">
      <w:r>
        <w:t>R</w:t>
      </w:r>
      <w:r w:rsidRPr="002A0E56">
        <w:t xml:space="preserve">efer to the </w:t>
      </w:r>
      <w:hyperlink r:id="rId61" w:history="1">
        <w:r w:rsidRPr="00406F43">
          <w:rPr>
            <w:rStyle w:val="Hyperlink"/>
          </w:rPr>
          <w:t>General Sections Manual</w:t>
        </w:r>
      </w:hyperlink>
      <w:r w:rsidRPr="002A0E56">
        <w:t xml:space="preserve"> for </w:t>
      </w:r>
      <w:r>
        <w:t xml:space="preserve">additional </w:t>
      </w:r>
      <w:r w:rsidRPr="002A0E56">
        <w:t>billing instructions.</w:t>
      </w:r>
    </w:p>
    <w:p w14:paraId="6C2C5C2B" w14:textId="67B0D3F3" w:rsidR="00D14326" w:rsidRPr="002A0E56" w:rsidRDefault="00D14326" w:rsidP="001F3B10">
      <w:pPr>
        <w:pStyle w:val="Heading3"/>
      </w:pPr>
      <w:bookmarkStart w:id="91" w:name="_Toc225253671"/>
      <w:bookmarkStart w:id="92" w:name="_Toc229051541"/>
      <w:r w:rsidRPr="002A0E56">
        <w:t>4.</w:t>
      </w:r>
      <w:r w:rsidR="00400770">
        <w:t>4</w:t>
      </w:r>
      <w:r w:rsidR="004E5AFF">
        <w:t xml:space="preserve"> </w:t>
      </w:r>
      <w:r w:rsidR="00795423">
        <w:t xml:space="preserve">CMS-1500 </w:t>
      </w:r>
      <w:r w:rsidRPr="002A0E56">
        <w:t>Claim Form</w:t>
      </w:r>
      <w:bookmarkEnd w:id="88"/>
      <w:bookmarkEnd w:id="91"/>
      <w:bookmarkEnd w:id="92"/>
    </w:p>
    <w:p w14:paraId="7CD8DE58" w14:textId="54029144" w:rsidR="00D14326" w:rsidRPr="002A0E56" w:rsidRDefault="004B56CE" w:rsidP="002A3632">
      <w:pPr>
        <w:spacing w:line="276" w:lineRule="auto"/>
      </w:pPr>
      <w:r>
        <w:t>The</w:t>
      </w:r>
      <w:r w:rsidR="00D14326" w:rsidRPr="0058457B">
        <w:rPr>
          <w:color w:val="F79646" w:themeColor="accent6"/>
        </w:rPr>
        <w:t xml:space="preserve"> </w:t>
      </w:r>
      <w:hyperlink r:id="rId62" w:history="1">
        <w:r w:rsidR="00D14326" w:rsidRPr="00406F43">
          <w:rPr>
            <w:rStyle w:val="Hyperlink"/>
          </w:rPr>
          <w:t>CMS-1500</w:t>
        </w:r>
      </w:hyperlink>
      <w:r w:rsidR="00795423" w:rsidRPr="00406F43">
        <w:rPr>
          <w:rStyle w:val="Hyperlink"/>
        </w:rPr>
        <w:t xml:space="preserve"> claim form</w:t>
      </w:r>
      <w:r w:rsidR="00795423" w:rsidRPr="00D8111A">
        <w:rPr>
          <w:rStyle w:val="Hyperlink"/>
          <w:u w:val="none"/>
        </w:rPr>
        <w:t xml:space="preserve"> </w:t>
      </w:r>
      <w:r>
        <w:t xml:space="preserve">is </w:t>
      </w:r>
      <w:r w:rsidR="00D14326" w:rsidRPr="002A0E56">
        <w:t>used</w:t>
      </w:r>
      <w:r w:rsidR="00795423">
        <w:t xml:space="preserve"> </w:t>
      </w:r>
      <w:r w:rsidR="00795423" w:rsidRPr="002A0E56">
        <w:t>by personal care providers</w:t>
      </w:r>
      <w:r w:rsidR="00795423">
        <w:t xml:space="preserve"> and</w:t>
      </w:r>
      <w:r w:rsidR="00795423" w:rsidRPr="002A0E56">
        <w:t xml:space="preserve"> durable medical equipment</w:t>
      </w:r>
      <w:r w:rsidR="00795423">
        <w:t xml:space="preserve"> (DME)</w:t>
      </w:r>
      <w:r w:rsidR="00795423" w:rsidRPr="002A0E56">
        <w:t xml:space="preserve"> </w:t>
      </w:r>
      <w:r w:rsidR="00795423">
        <w:t>providers</w:t>
      </w:r>
      <w:r w:rsidR="00D14326" w:rsidRPr="002A0E56">
        <w:t xml:space="preserve"> for billing AIDS Waiver services</w:t>
      </w:r>
      <w:r w:rsidR="00795423">
        <w:t xml:space="preserve">. Providers may bill these services in </w:t>
      </w:r>
      <w:hyperlink r:id="rId63" w:history="1">
        <w:proofErr w:type="spellStart"/>
        <w:r w:rsidR="00795423" w:rsidRPr="00406F43">
          <w:rPr>
            <w:rStyle w:val="Hyperlink"/>
          </w:rPr>
          <w:t>eMOMED</w:t>
        </w:r>
        <w:proofErr w:type="spellEnd"/>
      </w:hyperlink>
      <w:r w:rsidR="00795423">
        <w:t xml:space="preserve"> or on paper.</w:t>
      </w:r>
      <w:bookmarkStart w:id="93" w:name="_Toc372026682"/>
    </w:p>
    <w:p w14:paraId="18CC18A2" w14:textId="77777777" w:rsidR="00085876" w:rsidRPr="00354574" w:rsidRDefault="00085876" w:rsidP="001F3B10">
      <w:pPr>
        <w:pStyle w:val="Heading4"/>
      </w:pPr>
      <w:bookmarkStart w:id="94" w:name="_Toc229051542"/>
      <w:bookmarkEnd w:id="93"/>
      <w:r w:rsidRPr="00354574">
        <w:t>CMS-1500 Claim Filing Instructions</w:t>
      </w:r>
      <w:bookmarkEnd w:id="94"/>
    </w:p>
    <w:p w14:paraId="68D9C01D" w14:textId="5FC06743" w:rsidR="008C22A9" w:rsidRPr="002A0E56" w:rsidRDefault="008C22A9" w:rsidP="00D162D9">
      <w:pPr>
        <w:rPr>
          <w:rFonts w:eastAsiaTheme="minorHAnsi"/>
        </w:rPr>
      </w:pPr>
      <w:r w:rsidRPr="002A0E56">
        <w:rPr>
          <w:rFonts w:eastAsiaTheme="minorHAnsi"/>
        </w:rPr>
        <w:t xml:space="preserve">The </w:t>
      </w:r>
      <w:hyperlink r:id="rId64" w:history="1">
        <w:r w:rsidRPr="00406F43">
          <w:rPr>
            <w:rStyle w:val="Hyperlink"/>
            <w:rFonts w:eastAsiaTheme="minorHAnsi"/>
          </w:rPr>
          <w:t>CMS-1500 claim form</w:t>
        </w:r>
      </w:hyperlink>
      <w:r w:rsidRPr="002A0E56">
        <w:rPr>
          <w:rFonts w:eastAsiaTheme="minorHAnsi"/>
        </w:rPr>
        <w:t xml:space="preserve"> should be typed or legibly printed. It may be duplicated if the copy is legible. M</w:t>
      </w:r>
      <w:r w:rsidR="00795423">
        <w:rPr>
          <w:rFonts w:eastAsiaTheme="minorHAnsi"/>
        </w:rPr>
        <w:t>HD</w:t>
      </w:r>
      <w:r w:rsidRPr="002A0E56">
        <w:rPr>
          <w:rFonts w:eastAsiaTheme="minorHAnsi"/>
        </w:rPr>
        <w:t xml:space="preserve"> claims should be mailed to:</w:t>
      </w:r>
    </w:p>
    <w:p w14:paraId="04ABFA65" w14:textId="77777777" w:rsidR="008C22A9" w:rsidRPr="00406F43" w:rsidRDefault="008C22A9" w:rsidP="006A6BD1">
      <w:pPr>
        <w:pStyle w:val="Address"/>
        <w:rPr>
          <w:rFonts w:eastAsiaTheme="minorHAnsi"/>
        </w:rPr>
      </w:pPr>
      <w:r w:rsidRPr="00406F43">
        <w:rPr>
          <w:rFonts w:eastAsiaTheme="minorHAnsi"/>
        </w:rPr>
        <w:t xml:space="preserve">Wipro </w:t>
      </w:r>
      <w:proofErr w:type="spellStart"/>
      <w:r w:rsidRPr="00406F43">
        <w:rPr>
          <w:rFonts w:eastAsiaTheme="minorHAnsi"/>
        </w:rPr>
        <w:t>Infocrossing</w:t>
      </w:r>
      <w:proofErr w:type="spellEnd"/>
      <w:r w:rsidRPr="00406F43">
        <w:rPr>
          <w:rFonts w:eastAsiaTheme="minorHAnsi"/>
        </w:rPr>
        <w:t xml:space="preserve"> </w:t>
      </w:r>
      <w:r w:rsidRPr="00406F43">
        <w:rPr>
          <w:rFonts w:eastAsiaTheme="minorHAnsi"/>
        </w:rPr>
        <w:br/>
        <w:t>P.O. Box 5600</w:t>
      </w:r>
      <w:r w:rsidRPr="00406F43">
        <w:rPr>
          <w:rFonts w:eastAsiaTheme="minorHAnsi"/>
        </w:rPr>
        <w:br/>
        <w:t>Jefferson City, MO 65102</w:t>
      </w:r>
    </w:p>
    <w:p w14:paraId="54B1B0B5" w14:textId="77777777" w:rsidR="00475B51" w:rsidRPr="002A0E56" w:rsidRDefault="008C22A9" w:rsidP="00D162D9">
      <w:pPr>
        <w:rPr>
          <w:rFonts w:eastAsiaTheme="minorHAnsi"/>
        </w:rPr>
      </w:pPr>
      <w:r w:rsidRPr="002A0E56">
        <w:rPr>
          <w:rFonts w:eastAsiaTheme="minorHAnsi"/>
        </w:rPr>
        <w:t xml:space="preserve">An asterisk (*) beside field numbers indicates required fields. These fields must be </w:t>
      </w:r>
      <w:proofErr w:type="gramStart"/>
      <w:r w:rsidRPr="002A0E56">
        <w:rPr>
          <w:rFonts w:eastAsiaTheme="minorHAnsi"/>
        </w:rPr>
        <w:t>completed</w:t>
      </w:r>
      <w:proofErr w:type="gramEnd"/>
      <w:r w:rsidRPr="002A0E56">
        <w:rPr>
          <w:rFonts w:eastAsiaTheme="minorHAnsi"/>
        </w:rPr>
        <w:t xml:space="preserve"> or the claim is denied. All other fields should be completed as applicable. </w:t>
      </w:r>
    </w:p>
    <w:p w14:paraId="3FD4FC8D" w14:textId="5D08D26E" w:rsidR="008C22A9" w:rsidRPr="002A0E56" w:rsidRDefault="008C22A9" w:rsidP="00D162D9">
      <w:pPr>
        <w:rPr>
          <w:rFonts w:eastAsiaTheme="minorHAnsi"/>
        </w:rPr>
      </w:pPr>
      <w:r w:rsidRPr="002A0E56">
        <w:rPr>
          <w:rFonts w:eastAsiaTheme="minorHAnsi"/>
        </w:rPr>
        <w:t>Two</w:t>
      </w:r>
      <w:r w:rsidR="00795423">
        <w:rPr>
          <w:rFonts w:eastAsiaTheme="minorHAnsi"/>
        </w:rPr>
        <w:t xml:space="preserve"> (2)</w:t>
      </w:r>
      <w:r w:rsidRPr="002A0E56">
        <w:rPr>
          <w:rFonts w:eastAsiaTheme="minorHAnsi"/>
        </w:rPr>
        <w:t xml:space="preserve"> asterisks (**) beside the field number indicate a field is required in specific situations.</w:t>
      </w:r>
    </w:p>
    <w:p w14:paraId="68E97D2B" w14:textId="77777777" w:rsidR="00475B51" w:rsidRPr="002A0E56" w:rsidRDefault="00475B51" w:rsidP="002A3632">
      <w:pPr>
        <w:pStyle w:val="Text1"/>
        <w:spacing w:line="276" w:lineRule="auto"/>
        <w:rPr>
          <w:rFonts w:eastAsiaTheme="minorHAnsi"/>
        </w:rPr>
      </w:pP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0"/>
        <w:gridCol w:w="3390"/>
        <w:gridCol w:w="3390"/>
      </w:tblGrid>
      <w:tr w:rsidR="008C22A9" w:rsidRPr="002A0E56" w14:paraId="3B63F60E" w14:textId="77777777" w:rsidTr="00297EC1">
        <w:trPr>
          <w:cantSplit/>
          <w:trHeight w:val="315"/>
          <w:tblHeader/>
        </w:trPr>
        <w:tc>
          <w:tcPr>
            <w:tcW w:w="3390" w:type="dxa"/>
            <w:shd w:val="clear" w:color="auto" w:fill="04427D"/>
            <w:vAlign w:val="center"/>
            <w:hideMark/>
          </w:tcPr>
          <w:p w14:paraId="6073D38E" w14:textId="77777777" w:rsidR="008C22A9" w:rsidRPr="00EF781C" w:rsidRDefault="008C22A9" w:rsidP="00EF781C">
            <w:pPr>
              <w:spacing w:line="276" w:lineRule="auto"/>
              <w:jc w:val="center"/>
              <w:rPr>
                <w:b/>
                <w:bCs/>
                <w:color w:val="FFFFFF" w:themeColor="background1"/>
                <w:sz w:val="26"/>
                <w:szCs w:val="26"/>
              </w:rPr>
            </w:pPr>
            <w:r w:rsidRPr="00EF781C">
              <w:rPr>
                <w:b/>
                <w:bCs/>
                <w:color w:val="FFFFFF" w:themeColor="background1"/>
                <w:sz w:val="26"/>
                <w:szCs w:val="26"/>
              </w:rPr>
              <w:t>Field Number</w:t>
            </w:r>
          </w:p>
        </w:tc>
        <w:tc>
          <w:tcPr>
            <w:tcW w:w="3390" w:type="dxa"/>
            <w:shd w:val="clear" w:color="auto" w:fill="04427D"/>
            <w:vAlign w:val="center"/>
            <w:hideMark/>
          </w:tcPr>
          <w:p w14:paraId="5687CEDE" w14:textId="77777777" w:rsidR="008C22A9" w:rsidRPr="00EF781C" w:rsidRDefault="008C22A9" w:rsidP="00EF781C">
            <w:pPr>
              <w:spacing w:line="276" w:lineRule="auto"/>
              <w:jc w:val="center"/>
              <w:rPr>
                <w:b/>
                <w:bCs/>
                <w:color w:val="FFFFFF" w:themeColor="background1"/>
                <w:sz w:val="26"/>
                <w:szCs w:val="26"/>
              </w:rPr>
            </w:pPr>
            <w:r w:rsidRPr="00EF781C">
              <w:rPr>
                <w:b/>
                <w:bCs/>
                <w:color w:val="FFFFFF" w:themeColor="background1"/>
                <w:sz w:val="26"/>
                <w:szCs w:val="26"/>
              </w:rPr>
              <w:t>Field Name</w:t>
            </w:r>
          </w:p>
        </w:tc>
        <w:tc>
          <w:tcPr>
            <w:tcW w:w="3390" w:type="dxa"/>
            <w:shd w:val="clear" w:color="auto" w:fill="04427D"/>
            <w:vAlign w:val="center"/>
            <w:hideMark/>
          </w:tcPr>
          <w:p w14:paraId="33180426" w14:textId="58915235" w:rsidR="008C22A9" w:rsidRPr="00EF781C" w:rsidRDefault="008C22A9" w:rsidP="00EF781C">
            <w:pPr>
              <w:spacing w:line="276" w:lineRule="auto"/>
              <w:jc w:val="center"/>
              <w:rPr>
                <w:b/>
                <w:bCs/>
                <w:color w:val="FFFFFF" w:themeColor="background1"/>
                <w:sz w:val="26"/>
                <w:szCs w:val="26"/>
              </w:rPr>
            </w:pPr>
            <w:r w:rsidRPr="00EF781C">
              <w:rPr>
                <w:b/>
                <w:bCs/>
                <w:color w:val="FFFFFF" w:themeColor="background1"/>
                <w:sz w:val="26"/>
                <w:szCs w:val="26"/>
              </w:rPr>
              <w:t>Instructions for Completion</w:t>
            </w:r>
          </w:p>
        </w:tc>
      </w:tr>
      <w:tr w:rsidR="008C22A9" w:rsidRPr="002A0E56" w14:paraId="4787B82C" w14:textId="77777777" w:rsidTr="00297EC1">
        <w:trPr>
          <w:trHeight w:val="1890"/>
        </w:trPr>
        <w:tc>
          <w:tcPr>
            <w:tcW w:w="3390" w:type="dxa"/>
            <w:shd w:val="clear" w:color="F8CBAD" w:fill="F8CBAD"/>
            <w:vAlign w:val="center"/>
            <w:hideMark/>
          </w:tcPr>
          <w:p w14:paraId="04E33F2C" w14:textId="1E6E18A8" w:rsidR="008C22A9" w:rsidRPr="002A0E56" w:rsidRDefault="008C22A9" w:rsidP="00EF781C">
            <w:pPr>
              <w:spacing w:line="276" w:lineRule="auto"/>
              <w:jc w:val="center"/>
              <w:rPr>
                <w:color w:val="000000"/>
              </w:rPr>
            </w:pPr>
            <w:r w:rsidRPr="002A0E56">
              <w:rPr>
                <w:color w:val="000000"/>
              </w:rPr>
              <w:t>1</w:t>
            </w:r>
          </w:p>
        </w:tc>
        <w:tc>
          <w:tcPr>
            <w:tcW w:w="3390" w:type="dxa"/>
            <w:shd w:val="clear" w:color="F8CBAD" w:fill="F8CBAD"/>
            <w:vAlign w:val="center"/>
            <w:hideMark/>
          </w:tcPr>
          <w:p w14:paraId="1CFB246C" w14:textId="77777777" w:rsidR="008C22A9" w:rsidRPr="002A0E56" w:rsidRDefault="008C22A9" w:rsidP="006A1D89">
            <w:pPr>
              <w:spacing w:line="276" w:lineRule="auto"/>
              <w:jc w:val="left"/>
              <w:rPr>
                <w:color w:val="000000"/>
              </w:rPr>
            </w:pPr>
            <w:r w:rsidRPr="002A0E56">
              <w:rPr>
                <w:color w:val="000000"/>
              </w:rPr>
              <w:t>Type of Health Insurance Coverage</w:t>
            </w:r>
          </w:p>
        </w:tc>
        <w:tc>
          <w:tcPr>
            <w:tcW w:w="3390" w:type="dxa"/>
            <w:shd w:val="clear" w:color="F8CBAD" w:fill="F8CBAD"/>
            <w:vAlign w:val="center"/>
            <w:hideMark/>
          </w:tcPr>
          <w:p w14:paraId="69B107DE" w14:textId="77777777" w:rsidR="008C22A9" w:rsidRPr="002A0E56" w:rsidRDefault="008C22A9" w:rsidP="006A1D89">
            <w:pPr>
              <w:spacing w:line="276" w:lineRule="auto"/>
              <w:jc w:val="left"/>
              <w:rPr>
                <w:color w:val="000000"/>
              </w:rPr>
            </w:pPr>
            <w:r w:rsidRPr="002A0E56">
              <w:rPr>
                <w:color w:val="000000"/>
              </w:rPr>
              <w:t>Show the type of health insurance coverage applicable to this claim by checking the appropriate box.  For example, if a Medicare claim is being filed, check the Medicare box, if a MO HealthNet claim is being filed, check the Medicaid box and if the patient has both Medicare and MO HealthNet, check both boxes.</w:t>
            </w:r>
          </w:p>
        </w:tc>
      </w:tr>
      <w:tr w:rsidR="008C22A9" w:rsidRPr="002A0E56" w14:paraId="548BDD12" w14:textId="77777777" w:rsidTr="00297EC1">
        <w:trPr>
          <w:trHeight w:val="630"/>
        </w:trPr>
        <w:tc>
          <w:tcPr>
            <w:tcW w:w="3390" w:type="dxa"/>
            <w:shd w:val="clear" w:color="FCE4D6" w:fill="FCE4D6"/>
            <w:vAlign w:val="center"/>
            <w:hideMark/>
          </w:tcPr>
          <w:p w14:paraId="3CB158BC" w14:textId="77777777" w:rsidR="008C22A9" w:rsidRPr="002A0E56" w:rsidRDefault="008C22A9" w:rsidP="00EF781C">
            <w:pPr>
              <w:spacing w:line="276" w:lineRule="auto"/>
              <w:jc w:val="center"/>
              <w:rPr>
                <w:color w:val="000000"/>
              </w:rPr>
            </w:pPr>
            <w:r w:rsidRPr="002A0E56">
              <w:rPr>
                <w:color w:val="000000"/>
              </w:rPr>
              <w:t>1a</w:t>
            </w:r>
            <w:r w:rsidR="00A61506" w:rsidRPr="002A0E56">
              <w:rPr>
                <w:color w:val="000000"/>
              </w:rPr>
              <w:t>*</w:t>
            </w:r>
          </w:p>
        </w:tc>
        <w:tc>
          <w:tcPr>
            <w:tcW w:w="3390" w:type="dxa"/>
            <w:shd w:val="clear" w:color="FCE4D6" w:fill="FCE4D6"/>
            <w:vAlign w:val="center"/>
            <w:hideMark/>
          </w:tcPr>
          <w:p w14:paraId="7AA5FB96" w14:textId="77777777" w:rsidR="008C22A9" w:rsidRPr="002A0E56" w:rsidRDefault="008C22A9" w:rsidP="006A1D89">
            <w:pPr>
              <w:spacing w:line="276" w:lineRule="auto"/>
              <w:jc w:val="left"/>
              <w:rPr>
                <w:color w:val="000000"/>
              </w:rPr>
            </w:pPr>
            <w:r w:rsidRPr="002A0E56">
              <w:rPr>
                <w:color w:val="000000"/>
              </w:rPr>
              <w:t>Insured’s ID Number</w:t>
            </w:r>
          </w:p>
        </w:tc>
        <w:tc>
          <w:tcPr>
            <w:tcW w:w="3390" w:type="dxa"/>
            <w:shd w:val="clear" w:color="FCE4D6" w:fill="FCE4D6"/>
            <w:vAlign w:val="center"/>
            <w:hideMark/>
          </w:tcPr>
          <w:p w14:paraId="4CB19AC9" w14:textId="77777777" w:rsidR="008C22A9" w:rsidRPr="002A0E56" w:rsidRDefault="008C22A9" w:rsidP="006A1D89">
            <w:pPr>
              <w:spacing w:line="276" w:lineRule="auto"/>
              <w:jc w:val="left"/>
              <w:rPr>
                <w:color w:val="000000"/>
              </w:rPr>
            </w:pPr>
            <w:r w:rsidRPr="002A0E56">
              <w:rPr>
                <w:color w:val="000000"/>
              </w:rPr>
              <w:t xml:space="preserve">Enter the patient's eight (8)-digit MO HealthNet ID   number (DCN) as shown on the </w:t>
            </w:r>
            <w:r w:rsidR="00A61506" w:rsidRPr="002A0E56">
              <w:rPr>
                <w:color w:val="000000"/>
              </w:rPr>
              <w:t xml:space="preserve">participant's </w:t>
            </w:r>
            <w:r w:rsidRPr="002A0E56">
              <w:rPr>
                <w:color w:val="000000"/>
              </w:rPr>
              <w:t>ID card</w:t>
            </w:r>
          </w:p>
        </w:tc>
      </w:tr>
      <w:tr w:rsidR="008C22A9" w:rsidRPr="002A0E56" w14:paraId="17F2C46A" w14:textId="77777777" w:rsidTr="00297EC1">
        <w:trPr>
          <w:trHeight w:val="630"/>
        </w:trPr>
        <w:tc>
          <w:tcPr>
            <w:tcW w:w="3390" w:type="dxa"/>
            <w:shd w:val="clear" w:color="F8CBAD" w:fill="F8CBAD"/>
            <w:vAlign w:val="center"/>
            <w:hideMark/>
          </w:tcPr>
          <w:p w14:paraId="14ACE365" w14:textId="77777777" w:rsidR="008C22A9" w:rsidRPr="002A0E56" w:rsidRDefault="008C22A9" w:rsidP="00EF781C">
            <w:pPr>
              <w:spacing w:line="276" w:lineRule="auto"/>
              <w:jc w:val="center"/>
              <w:rPr>
                <w:color w:val="000000"/>
              </w:rPr>
            </w:pPr>
            <w:r w:rsidRPr="002A0E56">
              <w:rPr>
                <w:color w:val="000000"/>
              </w:rPr>
              <w:t>2</w:t>
            </w:r>
            <w:r w:rsidR="00A61506" w:rsidRPr="002A0E56">
              <w:rPr>
                <w:color w:val="000000"/>
              </w:rPr>
              <w:t>*</w:t>
            </w:r>
          </w:p>
        </w:tc>
        <w:tc>
          <w:tcPr>
            <w:tcW w:w="3390" w:type="dxa"/>
            <w:shd w:val="clear" w:color="F8CBAD" w:fill="F8CBAD"/>
            <w:vAlign w:val="center"/>
            <w:hideMark/>
          </w:tcPr>
          <w:p w14:paraId="479C43BA" w14:textId="77777777" w:rsidR="008C22A9" w:rsidRPr="002A0E56" w:rsidRDefault="008C22A9" w:rsidP="006A1D89">
            <w:pPr>
              <w:spacing w:line="276" w:lineRule="auto"/>
              <w:jc w:val="left"/>
              <w:rPr>
                <w:color w:val="000000"/>
              </w:rPr>
            </w:pPr>
            <w:r w:rsidRPr="002A0E56">
              <w:rPr>
                <w:color w:val="000000"/>
              </w:rPr>
              <w:t>Patient’s Name</w:t>
            </w:r>
          </w:p>
        </w:tc>
        <w:tc>
          <w:tcPr>
            <w:tcW w:w="3390" w:type="dxa"/>
            <w:shd w:val="clear" w:color="F8CBAD" w:fill="F8CBAD"/>
            <w:vAlign w:val="center"/>
            <w:hideMark/>
          </w:tcPr>
          <w:p w14:paraId="50DF0C96" w14:textId="77777777" w:rsidR="008C22A9" w:rsidRPr="002A0E56" w:rsidRDefault="008C22A9" w:rsidP="006A1D89">
            <w:pPr>
              <w:spacing w:line="276" w:lineRule="auto"/>
              <w:jc w:val="left"/>
              <w:rPr>
                <w:color w:val="000000"/>
              </w:rPr>
            </w:pPr>
            <w:r w:rsidRPr="002A0E56">
              <w:rPr>
                <w:color w:val="000000"/>
              </w:rPr>
              <w:t>Enter last name, first name, middle initial</w:t>
            </w:r>
            <w:r w:rsidRPr="002A0E56">
              <w:t xml:space="preserve"> in that order </w:t>
            </w:r>
            <w:r w:rsidRPr="002A0E56">
              <w:rPr>
                <w:color w:val="000000"/>
              </w:rPr>
              <w:t>as it appears on the ID card</w:t>
            </w:r>
          </w:p>
        </w:tc>
      </w:tr>
      <w:tr w:rsidR="00297EC1" w:rsidRPr="002A0E56" w14:paraId="6FE9EDFB" w14:textId="77777777" w:rsidTr="00297EC1">
        <w:trPr>
          <w:cantSplit/>
          <w:trHeight w:val="630"/>
        </w:trPr>
        <w:tc>
          <w:tcPr>
            <w:tcW w:w="3390" w:type="dxa"/>
            <w:vMerge w:val="restart"/>
            <w:shd w:val="clear" w:color="FCE4D6" w:fill="FCE4D6"/>
            <w:vAlign w:val="center"/>
            <w:hideMark/>
          </w:tcPr>
          <w:p w14:paraId="5765DBE4" w14:textId="77777777" w:rsidR="00297EC1" w:rsidRPr="002A0E56" w:rsidRDefault="00297EC1" w:rsidP="00EF781C">
            <w:pPr>
              <w:spacing w:line="276" w:lineRule="auto"/>
              <w:jc w:val="center"/>
              <w:rPr>
                <w:color w:val="000000"/>
              </w:rPr>
            </w:pPr>
            <w:r w:rsidRPr="002A0E56">
              <w:rPr>
                <w:color w:val="000000"/>
              </w:rPr>
              <w:t>3</w:t>
            </w:r>
          </w:p>
        </w:tc>
        <w:tc>
          <w:tcPr>
            <w:tcW w:w="3390" w:type="dxa"/>
            <w:shd w:val="clear" w:color="FCE4D6" w:fill="FCE4D6"/>
            <w:vAlign w:val="center"/>
            <w:hideMark/>
          </w:tcPr>
          <w:p w14:paraId="79B19B4E" w14:textId="77777777" w:rsidR="00297EC1" w:rsidRPr="002A0E56" w:rsidRDefault="00297EC1" w:rsidP="006A1D89">
            <w:pPr>
              <w:spacing w:line="276" w:lineRule="auto"/>
              <w:jc w:val="left"/>
              <w:rPr>
                <w:color w:val="000000"/>
              </w:rPr>
            </w:pPr>
            <w:r w:rsidRPr="002A0E56">
              <w:rPr>
                <w:color w:val="000000"/>
              </w:rPr>
              <w:t>Patient’s Birth Date</w:t>
            </w:r>
          </w:p>
        </w:tc>
        <w:tc>
          <w:tcPr>
            <w:tcW w:w="3390" w:type="dxa"/>
            <w:shd w:val="clear" w:color="FCE4D6" w:fill="FCE4D6"/>
            <w:vAlign w:val="center"/>
            <w:hideMark/>
          </w:tcPr>
          <w:p w14:paraId="2DA00B9A" w14:textId="77777777" w:rsidR="00297EC1" w:rsidRPr="002A0E56" w:rsidRDefault="00297EC1" w:rsidP="006A1D89">
            <w:pPr>
              <w:spacing w:line="276" w:lineRule="auto"/>
              <w:jc w:val="left"/>
              <w:rPr>
                <w:color w:val="000000"/>
              </w:rPr>
            </w:pPr>
            <w:r w:rsidRPr="002A0E56">
              <w:rPr>
                <w:color w:val="000000"/>
              </w:rPr>
              <w:t>Enter month, day, and year of birth</w:t>
            </w:r>
          </w:p>
        </w:tc>
      </w:tr>
      <w:tr w:rsidR="00297EC1" w:rsidRPr="002A0E56" w14:paraId="38D0A75A" w14:textId="77777777" w:rsidTr="00297EC1">
        <w:trPr>
          <w:trHeight w:val="315"/>
        </w:trPr>
        <w:tc>
          <w:tcPr>
            <w:tcW w:w="3390" w:type="dxa"/>
            <w:vMerge/>
            <w:shd w:val="clear" w:color="000000" w:fill="FCE4D6"/>
            <w:vAlign w:val="center"/>
            <w:hideMark/>
          </w:tcPr>
          <w:p w14:paraId="7C5BAA9E" w14:textId="77777777" w:rsidR="00297EC1" w:rsidRPr="002A0E56" w:rsidRDefault="00297EC1" w:rsidP="00EF781C">
            <w:pPr>
              <w:spacing w:line="276" w:lineRule="auto"/>
              <w:jc w:val="center"/>
              <w:rPr>
                <w:color w:val="000000"/>
              </w:rPr>
            </w:pPr>
          </w:p>
        </w:tc>
        <w:tc>
          <w:tcPr>
            <w:tcW w:w="3390" w:type="dxa"/>
            <w:shd w:val="clear" w:color="000000" w:fill="FCE4D6"/>
            <w:vAlign w:val="center"/>
            <w:hideMark/>
          </w:tcPr>
          <w:p w14:paraId="63AD7A17" w14:textId="77777777" w:rsidR="00297EC1" w:rsidRPr="002A0E56" w:rsidRDefault="00297EC1" w:rsidP="006A1D89">
            <w:pPr>
              <w:spacing w:line="276" w:lineRule="auto"/>
              <w:jc w:val="left"/>
              <w:rPr>
                <w:color w:val="000000"/>
              </w:rPr>
            </w:pPr>
            <w:r w:rsidRPr="002A0E56">
              <w:rPr>
                <w:color w:val="000000"/>
              </w:rPr>
              <w:t>Sex</w:t>
            </w:r>
          </w:p>
        </w:tc>
        <w:tc>
          <w:tcPr>
            <w:tcW w:w="3390" w:type="dxa"/>
            <w:shd w:val="clear" w:color="000000" w:fill="FCE4D6"/>
            <w:vAlign w:val="center"/>
            <w:hideMark/>
          </w:tcPr>
          <w:p w14:paraId="1131A697" w14:textId="77777777" w:rsidR="00297EC1" w:rsidRPr="002A0E56" w:rsidRDefault="00297EC1" w:rsidP="006A1D89">
            <w:pPr>
              <w:spacing w:line="276" w:lineRule="auto"/>
              <w:jc w:val="left"/>
              <w:rPr>
                <w:color w:val="000000"/>
              </w:rPr>
            </w:pPr>
            <w:r w:rsidRPr="002A0E56">
              <w:rPr>
                <w:color w:val="000000"/>
              </w:rPr>
              <w:t>Mark appropriate box</w:t>
            </w:r>
          </w:p>
        </w:tc>
      </w:tr>
      <w:tr w:rsidR="008C22A9" w:rsidRPr="002A0E56" w14:paraId="1D3166D1" w14:textId="77777777" w:rsidTr="00297EC1">
        <w:trPr>
          <w:cantSplit/>
          <w:trHeight w:val="1575"/>
        </w:trPr>
        <w:tc>
          <w:tcPr>
            <w:tcW w:w="3390" w:type="dxa"/>
            <w:shd w:val="clear" w:color="000000" w:fill="F8CBAD"/>
            <w:vAlign w:val="center"/>
            <w:hideMark/>
          </w:tcPr>
          <w:p w14:paraId="37B0FFE3" w14:textId="77777777" w:rsidR="008C22A9" w:rsidRPr="002A0E56" w:rsidRDefault="008C22A9" w:rsidP="00EF781C">
            <w:pPr>
              <w:spacing w:line="276" w:lineRule="auto"/>
              <w:jc w:val="center"/>
              <w:rPr>
                <w:color w:val="000000"/>
              </w:rPr>
            </w:pPr>
            <w:r w:rsidRPr="002A0E56">
              <w:rPr>
                <w:color w:val="000000"/>
              </w:rPr>
              <w:t>4</w:t>
            </w:r>
            <w:r w:rsidR="00A61506" w:rsidRPr="002A0E56">
              <w:rPr>
                <w:color w:val="000000"/>
              </w:rPr>
              <w:t>**</w:t>
            </w:r>
          </w:p>
        </w:tc>
        <w:tc>
          <w:tcPr>
            <w:tcW w:w="3390" w:type="dxa"/>
            <w:shd w:val="clear" w:color="000000" w:fill="F8CBAD"/>
            <w:vAlign w:val="center"/>
            <w:hideMark/>
          </w:tcPr>
          <w:p w14:paraId="1C55794A" w14:textId="77777777" w:rsidR="008C22A9" w:rsidRPr="002A0E56" w:rsidRDefault="008C22A9" w:rsidP="006A1D89">
            <w:pPr>
              <w:spacing w:line="276" w:lineRule="auto"/>
              <w:jc w:val="left"/>
              <w:rPr>
                <w:color w:val="000000"/>
              </w:rPr>
            </w:pPr>
            <w:r w:rsidRPr="002A0E56">
              <w:rPr>
                <w:color w:val="000000"/>
              </w:rPr>
              <w:t>Insured’s Name</w:t>
            </w:r>
          </w:p>
        </w:tc>
        <w:tc>
          <w:tcPr>
            <w:tcW w:w="3390" w:type="dxa"/>
            <w:shd w:val="clear" w:color="000000" w:fill="F8CBAD"/>
            <w:vAlign w:val="center"/>
            <w:hideMark/>
          </w:tcPr>
          <w:p w14:paraId="161ACCD9" w14:textId="77777777" w:rsidR="008C22A9" w:rsidRPr="002A0E56" w:rsidRDefault="008C22A9" w:rsidP="006A1D89">
            <w:pPr>
              <w:spacing w:line="276" w:lineRule="auto"/>
              <w:jc w:val="left"/>
              <w:rPr>
                <w:color w:val="000000"/>
              </w:rPr>
            </w:pPr>
            <w:r w:rsidRPr="002A0E56">
              <w:rPr>
                <w:color w:val="000000"/>
              </w:rPr>
              <w:t>If there is individual or group insurance besides MO HealthNet, enter the name of the primary policyholder. If this field is completed, also complete Fields 6, 7, 11 and 13.  If no private insurance is involved, leave blank.</w:t>
            </w:r>
          </w:p>
        </w:tc>
      </w:tr>
      <w:tr w:rsidR="008C22A9" w:rsidRPr="002A0E56" w14:paraId="4D15B856" w14:textId="77777777" w:rsidTr="00297EC1">
        <w:trPr>
          <w:trHeight w:val="315"/>
        </w:trPr>
        <w:tc>
          <w:tcPr>
            <w:tcW w:w="3390" w:type="dxa"/>
            <w:shd w:val="clear" w:color="000000" w:fill="FCE4D6"/>
            <w:vAlign w:val="center"/>
            <w:hideMark/>
          </w:tcPr>
          <w:p w14:paraId="0B422C6E" w14:textId="77777777" w:rsidR="008C22A9" w:rsidRPr="002A0E56" w:rsidRDefault="008C22A9" w:rsidP="00EF781C">
            <w:pPr>
              <w:spacing w:line="276" w:lineRule="auto"/>
              <w:jc w:val="center"/>
              <w:rPr>
                <w:color w:val="000000"/>
              </w:rPr>
            </w:pPr>
            <w:r w:rsidRPr="002A0E56">
              <w:rPr>
                <w:color w:val="000000"/>
              </w:rPr>
              <w:t>5</w:t>
            </w:r>
          </w:p>
        </w:tc>
        <w:tc>
          <w:tcPr>
            <w:tcW w:w="3390" w:type="dxa"/>
            <w:shd w:val="clear" w:color="000000" w:fill="FCE4D6"/>
            <w:vAlign w:val="center"/>
            <w:hideMark/>
          </w:tcPr>
          <w:p w14:paraId="04AF3CE6" w14:textId="77777777" w:rsidR="008C22A9" w:rsidRPr="002A0E56" w:rsidRDefault="008C22A9" w:rsidP="006A1D89">
            <w:pPr>
              <w:spacing w:line="276" w:lineRule="auto"/>
              <w:jc w:val="left"/>
              <w:rPr>
                <w:color w:val="000000"/>
              </w:rPr>
            </w:pPr>
            <w:r w:rsidRPr="002A0E56">
              <w:rPr>
                <w:color w:val="000000"/>
              </w:rPr>
              <w:t>Patient’s Address</w:t>
            </w:r>
          </w:p>
        </w:tc>
        <w:tc>
          <w:tcPr>
            <w:tcW w:w="3390" w:type="dxa"/>
            <w:shd w:val="clear" w:color="000000" w:fill="FCE4D6"/>
            <w:vAlign w:val="center"/>
            <w:hideMark/>
          </w:tcPr>
          <w:p w14:paraId="51BFFB3A" w14:textId="77777777" w:rsidR="008C22A9" w:rsidRPr="002A0E56" w:rsidRDefault="008C22A9" w:rsidP="006A1D89">
            <w:pPr>
              <w:spacing w:line="276" w:lineRule="auto"/>
              <w:jc w:val="left"/>
              <w:rPr>
                <w:color w:val="000000"/>
              </w:rPr>
            </w:pPr>
            <w:r w:rsidRPr="002A0E56">
              <w:rPr>
                <w:color w:val="000000"/>
              </w:rPr>
              <w:t>Enter address and telephone number if available</w:t>
            </w:r>
          </w:p>
        </w:tc>
      </w:tr>
      <w:tr w:rsidR="008C22A9" w:rsidRPr="002A0E56" w14:paraId="4B4C2A2C" w14:textId="77777777" w:rsidTr="00AF51BA">
        <w:trPr>
          <w:cantSplit/>
          <w:trHeight w:val="945"/>
        </w:trPr>
        <w:tc>
          <w:tcPr>
            <w:tcW w:w="3390" w:type="dxa"/>
            <w:shd w:val="clear" w:color="000000" w:fill="F8CBAD"/>
            <w:vAlign w:val="center"/>
            <w:hideMark/>
          </w:tcPr>
          <w:p w14:paraId="554D9408" w14:textId="77777777" w:rsidR="008C22A9" w:rsidRPr="002A0E56" w:rsidRDefault="008C22A9" w:rsidP="00EF781C">
            <w:pPr>
              <w:spacing w:line="276" w:lineRule="auto"/>
              <w:jc w:val="center"/>
              <w:rPr>
                <w:color w:val="000000"/>
              </w:rPr>
            </w:pPr>
            <w:r w:rsidRPr="002A0E56">
              <w:rPr>
                <w:color w:val="000000"/>
              </w:rPr>
              <w:t>6</w:t>
            </w:r>
            <w:r w:rsidR="0097032E" w:rsidRPr="002A0E56">
              <w:rPr>
                <w:color w:val="000000"/>
              </w:rPr>
              <w:t>**</w:t>
            </w:r>
          </w:p>
        </w:tc>
        <w:tc>
          <w:tcPr>
            <w:tcW w:w="3390" w:type="dxa"/>
            <w:shd w:val="clear" w:color="000000" w:fill="F8CBAD"/>
            <w:vAlign w:val="center"/>
            <w:hideMark/>
          </w:tcPr>
          <w:p w14:paraId="1C34DA1D" w14:textId="77777777" w:rsidR="008C22A9" w:rsidRPr="002A0E56" w:rsidRDefault="008C22A9" w:rsidP="006A1D89">
            <w:pPr>
              <w:spacing w:line="276" w:lineRule="auto"/>
              <w:jc w:val="left"/>
              <w:rPr>
                <w:color w:val="000000"/>
              </w:rPr>
            </w:pPr>
            <w:r w:rsidRPr="002A0E56">
              <w:rPr>
                <w:color w:val="000000"/>
              </w:rPr>
              <w:t>Patient’s Relationship to Insured</w:t>
            </w:r>
          </w:p>
        </w:tc>
        <w:tc>
          <w:tcPr>
            <w:tcW w:w="3390" w:type="dxa"/>
            <w:shd w:val="clear" w:color="000000" w:fill="F8CBAD"/>
            <w:vAlign w:val="center"/>
            <w:hideMark/>
          </w:tcPr>
          <w:p w14:paraId="32A050E5" w14:textId="77777777" w:rsidR="008C22A9" w:rsidRPr="002A0E56" w:rsidRDefault="008C22A9" w:rsidP="006A1D89">
            <w:pPr>
              <w:spacing w:line="276" w:lineRule="auto"/>
              <w:jc w:val="left"/>
              <w:rPr>
                <w:color w:val="000000"/>
              </w:rPr>
            </w:pPr>
            <w:r w:rsidRPr="002A0E56">
              <w:rPr>
                <w:color w:val="000000"/>
              </w:rPr>
              <w:t>Mark appropriate box if there is other insurance.  If no private insurance is involved, leave blank.</w:t>
            </w:r>
          </w:p>
        </w:tc>
      </w:tr>
      <w:tr w:rsidR="008C22A9" w:rsidRPr="002A0E56" w14:paraId="16F36E35" w14:textId="77777777" w:rsidTr="00297EC1">
        <w:trPr>
          <w:trHeight w:val="945"/>
        </w:trPr>
        <w:tc>
          <w:tcPr>
            <w:tcW w:w="3390" w:type="dxa"/>
            <w:shd w:val="clear" w:color="000000" w:fill="FCE4D6"/>
            <w:vAlign w:val="center"/>
            <w:hideMark/>
          </w:tcPr>
          <w:p w14:paraId="43FAB0AD" w14:textId="77777777" w:rsidR="008C22A9" w:rsidRPr="002A0E56" w:rsidRDefault="008C22A9" w:rsidP="00EF781C">
            <w:pPr>
              <w:spacing w:line="276" w:lineRule="auto"/>
              <w:jc w:val="center"/>
              <w:rPr>
                <w:color w:val="000000"/>
              </w:rPr>
            </w:pPr>
            <w:r w:rsidRPr="002A0E56">
              <w:rPr>
                <w:color w:val="000000"/>
              </w:rPr>
              <w:t>7</w:t>
            </w:r>
            <w:r w:rsidR="0097032E" w:rsidRPr="002A0E56">
              <w:rPr>
                <w:color w:val="000000"/>
              </w:rPr>
              <w:t>**</w:t>
            </w:r>
          </w:p>
        </w:tc>
        <w:tc>
          <w:tcPr>
            <w:tcW w:w="3390" w:type="dxa"/>
            <w:shd w:val="clear" w:color="000000" w:fill="FCE4D6"/>
            <w:vAlign w:val="center"/>
            <w:hideMark/>
          </w:tcPr>
          <w:p w14:paraId="0358BCC3" w14:textId="77777777" w:rsidR="008C22A9" w:rsidRPr="002A0E56" w:rsidRDefault="008C22A9" w:rsidP="006A1D89">
            <w:pPr>
              <w:spacing w:line="276" w:lineRule="auto"/>
              <w:jc w:val="left"/>
              <w:rPr>
                <w:color w:val="000000"/>
              </w:rPr>
            </w:pPr>
            <w:r w:rsidRPr="002A0E56">
              <w:rPr>
                <w:color w:val="000000"/>
              </w:rPr>
              <w:t>Insured’s Address</w:t>
            </w:r>
          </w:p>
        </w:tc>
        <w:tc>
          <w:tcPr>
            <w:tcW w:w="3390" w:type="dxa"/>
            <w:shd w:val="clear" w:color="000000" w:fill="FCE4D6"/>
            <w:vAlign w:val="center"/>
            <w:hideMark/>
          </w:tcPr>
          <w:p w14:paraId="7E4E2521" w14:textId="77777777" w:rsidR="008C22A9" w:rsidRPr="002A0E56" w:rsidRDefault="008C22A9" w:rsidP="006A1D89">
            <w:pPr>
              <w:spacing w:line="276" w:lineRule="auto"/>
              <w:jc w:val="left"/>
              <w:rPr>
                <w:color w:val="000000"/>
              </w:rPr>
            </w:pPr>
            <w:r w:rsidRPr="002A0E56">
              <w:rPr>
                <w:color w:val="000000"/>
              </w:rPr>
              <w:t>Enter the primary policyholder’s address; enter policyholder’s telephone number, if available.  If no private insurance is involved, leave blank.</w:t>
            </w:r>
          </w:p>
        </w:tc>
      </w:tr>
      <w:tr w:rsidR="008C22A9" w:rsidRPr="002A0E56" w14:paraId="35854C5A" w14:textId="77777777" w:rsidTr="00297EC1">
        <w:trPr>
          <w:trHeight w:val="315"/>
        </w:trPr>
        <w:tc>
          <w:tcPr>
            <w:tcW w:w="3390" w:type="dxa"/>
            <w:shd w:val="clear" w:color="000000" w:fill="F8CBAD"/>
            <w:vAlign w:val="center"/>
            <w:hideMark/>
          </w:tcPr>
          <w:p w14:paraId="13D7AD9D" w14:textId="77777777" w:rsidR="008C22A9" w:rsidRPr="002A0E56" w:rsidRDefault="008C22A9" w:rsidP="00EF781C">
            <w:pPr>
              <w:spacing w:line="276" w:lineRule="auto"/>
              <w:jc w:val="center"/>
              <w:rPr>
                <w:color w:val="000000"/>
              </w:rPr>
            </w:pPr>
            <w:r w:rsidRPr="002A0E56">
              <w:rPr>
                <w:color w:val="000000"/>
              </w:rPr>
              <w:t>8</w:t>
            </w:r>
          </w:p>
        </w:tc>
        <w:tc>
          <w:tcPr>
            <w:tcW w:w="3390" w:type="dxa"/>
            <w:shd w:val="clear" w:color="000000" w:fill="F8CBAD"/>
            <w:vAlign w:val="center"/>
            <w:hideMark/>
          </w:tcPr>
          <w:p w14:paraId="542C2904" w14:textId="77777777" w:rsidR="008C22A9" w:rsidRPr="002A0E56" w:rsidRDefault="008C22A9" w:rsidP="006A1D89">
            <w:pPr>
              <w:spacing w:line="276" w:lineRule="auto"/>
              <w:jc w:val="left"/>
              <w:rPr>
                <w:color w:val="000000"/>
              </w:rPr>
            </w:pPr>
            <w:r w:rsidRPr="002A0E56">
              <w:rPr>
                <w:color w:val="000000"/>
              </w:rPr>
              <w:t>Patient Status</w:t>
            </w:r>
          </w:p>
        </w:tc>
        <w:tc>
          <w:tcPr>
            <w:tcW w:w="3390" w:type="dxa"/>
            <w:shd w:val="clear" w:color="000000" w:fill="F8CBAD"/>
            <w:vAlign w:val="center"/>
            <w:hideMark/>
          </w:tcPr>
          <w:p w14:paraId="3D2E5525" w14:textId="77777777" w:rsidR="008C22A9" w:rsidRPr="002A0E56" w:rsidRDefault="008C22A9" w:rsidP="006A1D89">
            <w:pPr>
              <w:spacing w:line="276" w:lineRule="auto"/>
              <w:jc w:val="left"/>
              <w:rPr>
                <w:color w:val="000000"/>
              </w:rPr>
            </w:pPr>
            <w:r w:rsidRPr="002A0E56">
              <w:rPr>
                <w:color w:val="000000"/>
              </w:rPr>
              <w:t>Not required</w:t>
            </w:r>
          </w:p>
        </w:tc>
      </w:tr>
      <w:tr w:rsidR="008C22A9" w:rsidRPr="002A0E56" w14:paraId="374DCC72" w14:textId="77777777" w:rsidTr="00297EC1">
        <w:trPr>
          <w:trHeight w:val="602"/>
        </w:trPr>
        <w:tc>
          <w:tcPr>
            <w:tcW w:w="3390" w:type="dxa"/>
            <w:shd w:val="clear" w:color="000000" w:fill="FCE4D6"/>
            <w:vAlign w:val="center"/>
            <w:hideMark/>
          </w:tcPr>
          <w:p w14:paraId="55CEDF5A" w14:textId="77777777" w:rsidR="008C22A9" w:rsidRPr="002A0E56" w:rsidRDefault="008C22A9" w:rsidP="00EF781C">
            <w:pPr>
              <w:spacing w:line="276" w:lineRule="auto"/>
              <w:jc w:val="center"/>
              <w:rPr>
                <w:color w:val="000000"/>
              </w:rPr>
            </w:pPr>
            <w:r w:rsidRPr="002A0E56">
              <w:rPr>
                <w:color w:val="000000"/>
              </w:rPr>
              <w:t>9</w:t>
            </w:r>
            <w:r w:rsidR="0097032E" w:rsidRPr="002A0E56">
              <w:rPr>
                <w:color w:val="000000"/>
              </w:rPr>
              <w:t>**</w:t>
            </w:r>
          </w:p>
        </w:tc>
        <w:tc>
          <w:tcPr>
            <w:tcW w:w="3390" w:type="dxa"/>
            <w:shd w:val="clear" w:color="000000" w:fill="FCE4D6"/>
            <w:vAlign w:val="center"/>
            <w:hideMark/>
          </w:tcPr>
          <w:p w14:paraId="7C5B648C" w14:textId="77777777" w:rsidR="008C22A9" w:rsidRPr="002A0E56" w:rsidRDefault="008C22A9" w:rsidP="006A1D89">
            <w:pPr>
              <w:spacing w:line="276" w:lineRule="auto"/>
              <w:jc w:val="left"/>
              <w:rPr>
                <w:color w:val="000000"/>
              </w:rPr>
            </w:pPr>
            <w:r w:rsidRPr="002A0E56">
              <w:rPr>
                <w:color w:val="000000"/>
              </w:rPr>
              <w:t>Other Insured’s Name</w:t>
            </w:r>
          </w:p>
        </w:tc>
        <w:tc>
          <w:tcPr>
            <w:tcW w:w="3390" w:type="dxa"/>
            <w:shd w:val="clear" w:color="000000" w:fill="FCE4D6"/>
            <w:vAlign w:val="center"/>
            <w:hideMark/>
          </w:tcPr>
          <w:p w14:paraId="592D3B6E" w14:textId="3EA41BB2" w:rsidR="008C22A9" w:rsidRPr="002A0E56" w:rsidRDefault="008C22A9" w:rsidP="006A1D89">
            <w:pPr>
              <w:spacing w:line="276" w:lineRule="auto"/>
              <w:jc w:val="left"/>
              <w:rPr>
                <w:color w:val="000000"/>
              </w:rPr>
            </w:pPr>
            <w:r w:rsidRPr="002A0E56">
              <w:rPr>
                <w:color w:val="000000"/>
              </w:rPr>
              <w:t xml:space="preserve">If there is other insurance coverage in addition to the primary policy, enter the secondary policyholder’s name. If no private insurance involved, leave blank. </w:t>
            </w:r>
            <w:r w:rsidR="0097032E" w:rsidRPr="002A0E56">
              <w:rPr>
                <w:rFonts w:eastAsiaTheme="minorHAnsi"/>
              </w:rPr>
              <w:t xml:space="preserve">This field is for private insurance information only. </w:t>
            </w:r>
          </w:p>
        </w:tc>
      </w:tr>
      <w:tr w:rsidR="008C22A9" w:rsidRPr="002A0E56" w14:paraId="6D3644D9" w14:textId="77777777" w:rsidTr="00297EC1">
        <w:trPr>
          <w:cantSplit/>
          <w:trHeight w:val="945"/>
        </w:trPr>
        <w:tc>
          <w:tcPr>
            <w:tcW w:w="3390" w:type="dxa"/>
            <w:shd w:val="clear" w:color="000000" w:fill="F8CBAD"/>
            <w:vAlign w:val="center"/>
            <w:hideMark/>
          </w:tcPr>
          <w:p w14:paraId="3EA8F0F4" w14:textId="77777777" w:rsidR="008C22A9" w:rsidRPr="002A0E56" w:rsidRDefault="008C22A9" w:rsidP="00EF781C">
            <w:pPr>
              <w:spacing w:line="276" w:lineRule="auto"/>
              <w:jc w:val="center"/>
              <w:rPr>
                <w:color w:val="000000"/>
              </w:rPr>
            </w:pPr>
            <w:r w:rsidRPr="002A0E56">
              <w:rPr>
                <w:color w:val="000000"/>
              </w:rPr>
              <w:t>9a</w:t>
            </w:r>
            <w:r w:rsidR="0097032E" w:rsidRPr="002A0E56">
              <w:rPr>
                <w:color w:val="000000"/>
              </w:rPr>
              <w:t>**</w:t>
            </w:r>
          </w:p>
        </w:tc>
        <w:tc>
          <w:tcPr>
            <w:tcW w:w="3390" w:type="dxa"/>
            <w:shd w:val="clear" w:color="000000" w:fill="F8CBAD"/>
            <w:vAlign w:val="center"/>
            <w:hideMark/>
          </w:tcPr>
          <w:p w14:paraId="72309BAD" w14:textId="77777777" w:rsidR="008C22A9" w:rsidRPr="002A0E56" w:rsidRDefault="008C22A9" w:rsidP="006A1D89">
            <w:pPr>
              <w:spacing w:line="276" w:lineRule="auto"/>
              <w:jc w:val="left"/>
              <w:rPr>
                <w:color w:val="000000"/>
              </w:rPr>
            </w:pPr>
            <w:r w:rsidRPr="002A0E56">
              <w:rPr>
                <w:color w:val="000000"/>
              </w:rPr>
              <w:t>Other Insured’s Policy or Group Number</w:t>
            </w:r>
          </w:p>
        </w:tc>
        <w:tc>
          <w:tcPr>
            <w:tcW w:w="3390" w:type="dxa"/>
            <w:shd w:val="clear" w:color="000000" w:fill="F8CBAD"/>
            <w:vAlign w:val="center"/>
            <w:hideMark/>
          </w:tcPr>
          <w:p w14:paraId="4DD13049" w14:textId="665D9B62" w:rsidR="008C22A9" w:rsidRPr="002A0E56" w:rsidRDefault="008C22A9" w:rsidP="006A1D89">
            <w:pPr>
              <w:spacing w:line="276" w:lineRule="auto"/>
              <w:jc w:val="left"/>
              <w:rPr>
                <w:color w:val="000000"/>
              </w:rPr>
            </w:pPr>
            <w:r w:rsidRPr="002A0E56">
              <w:rPr>
                <w:color w:val="000000"/>
              </w:rPr>
              <w:t xml:space="preserve">Enter the secondary policyholder’s insurance policy number or group number, if the insurance is through a group such as an employer, union, etc. </w:t>
            </w:r>
            <w:r w:rsidR="0097032E" w:rsidRPr="002A0E56">
              <w:rPr>
                <w:rFonts w:eastAsiaTheme="minorHAnsi"/>
              </w:rPr>
              <w:t xml:space="preserve">This field is for private insurance information only. </w:t>
            </w:r>
            <w:r w:rsidR="0097032E" w:rsidRPr="002A0E56">
              <w:rPr>
                <w:color w:val="000000"/>
              </w:rPr>
              <w:t xml:space="preserve">If no private insurance involved, leave blank. </w:t>
            </w:r>
          </w:p>
        </w:tc>
      </w:tr>
      <w:tr w:rsidR="008C22A9" w:rsidRPr="002A0E56" w14:paraId="31179340" w14:textId="77777777" w:rsidTr="00297EC1">
        <w:trPr>
          <w:cantSplit/>
          <w:trHeight w:val="1260"/>
        </w:trPr>
        <w:tc>
          <w:tcPr>
            <w:tcW w:w="3390" w:type="dxa"/>
            <w:shd w:val="clear" w:color="000000" w:fill="FCE4D6"/>
            <w:vAlign w:val="center"/>
            <w:hideMark/>
          </w:tcPr>
          <w:p w14:paraId="55FC1AFD" w14:textId="77777777" w:rsidR="008C22A9" w:rsidRPr="002A0E56" w:rsidRDefault="008C22A9" w:rsidP="003A4DDD">
            <w:pPr>
              <w:spacing w:line="276" w:lineRule="auto"/>
              <w:jc w:val="center"/>
              <w:rPr>
                <w:color w:val="000000"/>
              </w:rPr>
            </w:pPr>
            <w:r w:rsidRPr="002A0E56">
              <w:rPr>
                <w:color w:val="000000"/>
              </w:rPr>
              <w:t>9b</w:t>
            </w:r>
            <w:r w:rsidR="0097032E" w:rsidRPr="002A0E56">
              <w:rPr>
                <w:color w:val="000000"/>
              </w:rPr>
              <w:t>**</w:t>
            </w:r>
          </w:p>
        </w:tc>
        <w:tc>
          <w:tcPr>
            <w:tcW w:w="3390" w:type="dxa"/>
            <w:shd w:val="clear" w:color="000000" w:fill="FCE4D6"/>
            <w:vAlign w:val="center"/>
            <w:hideMark/>
          </w:tcPr>
          <w:p w14:paraId="43A433F3" w14:textId="77777777" w:rsidR="008C22A9" w:rsidRPr="002A0E56" w:rsidRDefault="008C22A9" w:rsidP="006A1D89">
            <w:pPr>
              <w:spacing w:line="276" w:lineRule="auto"/>
              <w:jc w:val="left"/>
              <w:rPr>
                <w:color w:val="000000"/>
              </w:rPr>
            </w:pPr>
            <w:r w:rsidRPr="002A0E56">
              <w:rPr>
                <w:color w:val="000000"/>
              </w:rPr>
              <w:t>Other Insured’s Date of Birth</w:t>
            </w:r>
          </w:p>
        </w:tc>
        <w:tc>
          <w:tcPr>
            <w:tcW w:w="3390" w:type="dxa"/>
            <w:shd w:val="clear" w:color="000000" w:fill="FCE4D6"/>
            <w:vAlign w:val="center"/>
            <w:hideMark/>
          </w:tcPr>
          <w:p w14:paraId="0D69DB87" w14:textId="301EEBA0" w:rsidR="008C22A9" w:rsidRPr="002A0E56" w:rsidRDefault="008C22A9" w:rsidP="006A1D89">
            <w:pPr>
              <w:spacing w:line="276" w:lineRule="auto"/>
              <w:jc w:val="left"/>
              <w:rPr>
                <w:color w:val="000000"/>
              </w:rPr>
            </w:pPr>
            <w:r w:rsidRPr="002A0E56">
              <w:rPr>
                <w:color w:val="000000"/>
              </w:rPr>
              <w:t xml:space="preserve">Enter the secondary policyholder’s date of birth and mark the appropriate box for the sex of the secondary policyholder. </w:t>
            </w:r>
            <w:r w:rsidR="0097032E" w:rsidRPr="002A0E56">
              <w:rPr>
                <w:rFonts w:eastAsiaTheme="minorHAnsi"/>
              </w:rPr>
              <w:t xml:space="preserve">This field is for private insurance information only. </w:t>
            </w:r>
            <w:r w:rsidR="0097032E" w:rsidRPr="002A0E56">
              <w:rPr>
                <w:color w:val="000000"/>
              </w:rPr>
              <w:t xml:space="preserve">If no private insurance involved, leave blank. </w:t>
            </w:r>
          </w:p>
        </w:tc>
      </w:tr>
      <w:tr w:rsidR="008C22A9" w:rsidRPr="002A0E56" w14:paraId="1559242A" w14:textId="77777777" w:rsidTr="00297EC1">
        <w:trPr>
          <w:trHeight w:val="945"/>
        </w:trPr>
        <w:tc>
          <w:tcPr>
            <w:tcW w:w="3390" w:type="dxa"/>
            <w:shd w:val="clear" w:color="000000" w:fill="F8CBAD"/>
            <w:vAlign w:val="center"/>
            <w:hideMark/>
          </w:tcPr>
          <w:p w14:paraId="7078C37B" w14:textId="77777777" w:rsidR="008C22A9" w:rsidRPr="002A0E56" w:rsidRDefault="008C22A9" w:rsidP="003A4DDD">
            <w:pPr>
              <w:spacing w:line="276" w:lineRule="auto"/>
              <w:jc w:val="center"/>
              <w:rPr>
                <w:color w:val="000000"/>
              </w:rPr>
            </w:pPr>
            <w:r w:rsidRPr="002A0E56">
              <w:rPr>
                <w:color w:val="000000"/>
              </w:rPr>
              <w:t>9c</w:t>
            </w:r>
            <w:r w:rsidR="0097032E" w:rsidRPr="002A0E56">
              <w:rPr>
                <w:color w:val="000000"/>
              </w:rPr>
              <w:t>**</w:t>
            </w:r>
          </w:p>
        </w:tc>
        <w:tc>
          <w:tcPr>
            <w:tcW w:w="3390" w:type="dxa"/>
            <w:shd w:val="clear" w:color="000000" w:fill="F8CBAD"/>
            <w:vAlign w:val="center"/>
            <w:hideMark/>
          </w:tcPr>
          <w:p w14:paraId="63F03F97" w14:textId="77777777" w:rsidR="008C22A9" w:rsidRPr="002A0E56" w:rsidRDefault="008C22A9" w:rsidP="006A1D89">
            <w:pPr>
              <w:spacing w:line="276" w:lineRule="auto"/>
              <w:jc w:val="left"/>
              <w:rPr>
                <w:color w:val="000000"/>
              </w:rPr>
            </w:pPr>
            <w:r w:rsidRPr="002A0E56">
              <w:rPr>
                <w:color w:val="000000"/>
              </w:rPr>
              <w:t>Employer’s Name</w:t>
            </w:r>
          </w:p>
        </w:tc>
        <w:tc>
          <w:tcPr>
            <w:tcW w:w="3390" w:type="dxa"/>
            <w:shd w:val="clear" w:color="000000" w:fill="F8CBAD"/>
            <w:vAlign w:val="center"/>
            <w:hideMark/>
          </w:tcPr>
          <w:p w14:paraId="12C47214" w14:textId="0694FAAB" w:rsidR="008C22A9" w:rsidRPr="002A0E56" w:rsidRDefault="008C22A9" w:rsidP="006A1D89">
            <w:pPr>
              <w:spacing w:line="276" w:lineRule="auto"/>
              <w:jc w:val="left"/>
              <w:rPr>
                <w:color w:val="000000"/>
              </w:rPr>
            </w:pPr>
            <w:r w:rsidRPr="002A0E56">
              <w:rPr>
                <w:color w:val="000000"/>
              </w:rPr>
              <w:t xml:space="preserve">Enter the secondary policyholder’s employer name. </w:t>
            </w:r>
            <w:r w:rsidR="0097032E" w:rsidRPr="002A0E56">
              <w:rPr>
                <w:rFonts w:eastAsiaTheme="minorHAnsi"/>
              </w:rPr>
              <w:t xml:space="preserve">This field is for private insurance information only. </w:t>
            </w:r>
            <w:r w:rsidR="0097032E" w:rsidRPr="002A0E56">
              <w:rPr>
                <w:color w:val="000000"/>
              </w:rPr>
              <w:t>If no private insurance involved, leave</w:t>
            </w:r>
          </w:p>
        </w:tc>
      </w:tr>
      <w:tr w:rsidR="008C22A9" w:rsidRPr="002A0E56" w14:paraId="3F988159" w14:textId="77777777" w:rsidTr="00297EC1">
        <w:trPr>
          <w:trHeight w:val="945"/>
        </w:trPr>
        <w:tc>
          <w:tcPr>
            <w:tcW w:w="3390" w:type="dxa"/>
            <w:shd w:val="clear" w:color="000000" w:fill="FCE4D6"/>
            <w:vAlign w:val="center"/>
            <w:hideMark/>
          </w:tcPr>
          <w:p w14:paraId="17CD09E5" w14:textId="77777777" w:rsidR="008C22A9" w:rsidRPr="002A0E56" w:rsidRDefault="008C22A9" w:rsidP="003A4DDD">
            <w:pPr>
              <w:spacing w:line="276" w:lineRule="auto"/>
              <w:jc w:val="center"/>
              <w:rPr>
                <w:color w:val="000000"/>
              </w:rPr>
            </w:pPr>
            <w:r w:rsidRPr="002A0E56">
              <w:rPr>
                <w:color w:val="000000"/>
              </w:rPr>
              <w:t>9d</w:t>
            </w:r>
            <w:r w:rsidR="0097032E" w:rsidRPr="002A0E56">
              <w:rPr>
                <w:color w:val="000000"/>
              </w:rPr>
              <w:t>**</w:t>
            </w:r>
          </w:p>
        </w:tc>
        <w:tc>
          <w:tcPr>
            <w:tcW w:w="3390" w:type="dxa"/>
            <w:shd w:val="clear" w:color="000000" w:fill="FCE4D6"/>
            <w:vAlign w:val="center"/>
            <w:hideMark/>
          </w:tcPr>
          <w:p w14:paraId="3001573B" w14:textId="77777777" w:rsidR="008C22A9" w:rsidRPr="002A0E56" w:rsidRDefault="008C22A9" w:rsidP="006A1D89">
            <w:pPr>
              <w:spacing w:line="276" w:lineRule="auto"/>
              <w:jc w:val="left"/>
              <w:rPr>
                <w:color w:val="000000"/>
              </w:rPr>
            </w:pPr>
            <w:r w:rsidRPr="002A0E56">
              <w:rPr>
                <w:color w:val="000000"/>
              </w:rPr>
              <w:t>Insurance Plan Name or Program Name</w:t>
            </w:r>
          </w:p>
        </w:tc>
        <w:tc>
          <w:tcPr>
            <w:tcW w:w="3390" w:type="dxa"/>
            <w:shd w:val="clear" w:color="000000" w:fill="FCE4D6"/>
            <w:vAlign w:val="center"/>
            <w:hideMark/>
          </w:tcPr>
          <w:p w14:paraId="40224368" w14:textId="77777777" w:rsidR="008C22A9" w:rsidRDefault="008C22A9" w:rsidP="006A1D89">
            <w:pPr>
              <w:spacing w:line="276" w:lineRule="auto"/>
              <w:jc w:val="left"/>
              <w:rPr>
                <w:color w:val="000000"/>
              </w:rPr>
            </w:pPr>
            <w:r w:rsidRPr="002A0E56">
              <w:rPr>
                <w:color w:val="000000"/>
              </w:rPr>
              <w:t>Enter the other insured plan name or program name.</w:t>
            </w:r>
          </w:p>
          <w:p w14:paraId="3E7C3F63" w14:textId="40D35730" w:rsidR="00354574" w:rsidRPr="002A0E56" w:rsidRDefault="00354574" w:rsidP="006A1D89">
            <w:pPr>
              <w:spacing w:line="276" w:lineRule="auto"/>
              <w:jc w:val="left"/>
              <w:rPr>
                <w:color w:val="000000"/>
              </w:rPr>
            </w:pPr>
            <w:r w:rsidRPr="002A0E56">
              <w:t xml:space="preserve">If the insurance plan denied payment for the service provided, attach valid denial from the insurance plan. </w:t>
            </w:r>
            <w:r w:rsidRPr="002A0E56">
              <w:rPr>
                <w:color w:val="000000"/>
              </w:rPr>
              <w:t xml:space="preserve">If insurance paid, complete </w:t>
            </w:r>
            <w:r>
              <w:rPr>
                <w:color w:val="000000"/>
              </w:rPr>
              <w:t>F</w:t>
            </w:r>
            <w:r w:rsidRPr="002A0E56">
              <w:rPr>
                <w:color w:val="000000"/>
              </w:rPr>
              <w:t xml:space="preserve">ield 29. </w:t>
            </w:r>
            <w:r w:rsidRPr="002A0E56">
              <w:rPr>
                <w:rFonts w:eastAsiaTheme="minorHAnsi"/>
              </w:rPr>
              <w:t xml:space="preserve">This field is for private insurance information only. </w:t>
            </w:r>
          </w:p>
        </w:tc>
      </w:tr>
      <w:tr w:rsidR="008C22A9" w:rsidRPr="002A0E56" w14:paraId="6CCFAB40" w14:textId="77777777" w:rsidTr="00297EC1">
        <w:trPr>
          <w:cantSplit/>
          <w:trHeight w:val="1260"/>
        </w:trPr>
        <w:tc>
          <w:tcPr>
            <w:tcW w:w="3390" w:type="dxa"/>
            <w:shd w:val="clear" w:color="F8CBAD" w:fill="F8CBAD"/>
            <w:vAlign w:val="center"/>
            <w:hideMark/>
          </w:tcPr>
          <w:p w14:paraId="7A5C40A9" w14:textId="77777777" w:rsidR="008C22A9" w:rsidRPr="002A0E56" w:rsidRDefault="008C22A9" w:rsidP="00297EC1">
            <w:pPr>
              <w:spacing w:line="276" w:lineRule="auto"/>
              <w:jc w:val="center"/>
              <w:rPr>
                <w:color w:val="000000"/>
              </w:rPr>
            </w:pPr>
            <w:r w:rsidRPr="002A0E56">
              <w:rPr>
                <w:color w:val="000000"/>
              </w:rPr>
              <w:t>10a-10c</w:t>
            </w:r>
            <w:r w:rsidR="0097032E" w:rsidRPr="002A0E56">
              <w:rPr>
                <w:color w:val="000000"/>
              </w:rPr>
              <w:t>**</w:t>
            </w:r>
          </w:p>
        </w:tc>
        <w:tc>
          <w:tcPr>
            <w:tcW w:w="3390" w:type="dxa"/>
            <w:shd w:val="clear" w:color="F8CBAD" w:fill="F8CBAD"/>
            <w:vAlign w:val="center"/>
            <w:hideMark/>
          </w:tcPr>
          <w:p w14:paraId="40299A31" w14:textId="77777777" w:rsidR="008C22A9" w:rsidRPr="002A0E56" w:rsidRDefault="008C22A9" w:rsidP="006A1D89">
            <w:pPr>
              <w:spacing w:line="276" w:lineRule="auto"/>
              <w:jc w:val="left"/>
              <w:rPr>
                <w:color w:val="000000"/>
              </w:rPr>
            </w:pPr>
            <w:r w:rsidRPr="002A0E56">
              <w:rPr>
                <w:color w:val="000000"/>
              </w:rPr>
              <w:t>Is Patient’s Condition Related to:</w:t>
            </w:r>
          </w:p>
        </w:tc>
        <w:tc>
          <w:tcPr>
            <w:tcW w:w="3390" w:type="dxa"/>
            <w:shd w:val="clear" w:color="F8CBAD" w:fill="F8CBAD"/>
            <w:vAlign w:val="center"/>
            <w:hideMark/>
          </w:tcPr>
          <w:p w14:paraId="170D1AF3" w14:textId="77777777" w:rsidR="008C22A9" w:rsidRPr="002A0E56" w:rsidRDefault="008C22A9" w:rsidP="006A1D89">
            <w:pPr>
              <w:spacing w:line="276" w:lineRule="auto"/>
              <w:jc w:val="left"/>
              <w:rPr>
                <w:color w:val="000000"/>
              </w:rPr>
            </w:pPr>
            <w:r w:rsidRPr="002A0E56">
              <w:rPr>
                <w:color w:val="000000"/>
              </w:rPr>
              <w:t xml:space="preserve">If services on the claim are related to patient’s employment, auto accident or other accident, mark the appropriate box.  If the services are </w:t>
            </w:r>
            <w:r w:rsidRPr="002A0E56">
              <w:t>not</w:t>
            </w:r>
            <w:r w:rsidRPr="002A0E56">
              <w:rPr>
                <w:color w:val="000000"/>
              </w:rPr>
              <w:t xml:space="preserve"> related to an accident, leave blank.</w:t>
            </w:r>
          </w:p>
        </w:tc>
      </w:tr>
      <w:tr w:rsidR="008C22A9" w:rsidRPr="002A0E56" w14:paraId="581D5C72" w14:textId="77777777" w:rsidTr="00297EC1">
        <w:trPr>
          <w:trHeight w:val="630"/>
        </w:trPr>
        <w:tc>
          <w:tcPr>
            <w:tcW w:w="3390" w:type="dxa"/>
            <w:shd w:val="clear" w:color="FCE4D6" w:fill="FCE4D6"/>
            <w:vAlign w:val="center"/>
            <w:hideMark/>
          </w:tcPr>
          <w:p w14:paraId="75E9A152" w14:textId="77777777" w:rsidR="008C22A9" w:rsidRPr="002A0E56" w:rsidRDefault="008C22A9" w:rsidP="00C64C71">
            <w:pPr>
              <w:spacing w:line="276" w:lineRule="auto"/>
              <w:jc w:val="center"/>
              <w:rPr>
                <w:color w:val="000000"/>
              </w:rPr>
            </w:pPr>
            <w:r w:rsidRPr="002A0E56">
              <w:rPr>
                <w:color w:val="000000"/>
              </w:rPr>
              <w:t>10d</w:t>
            </w:r>
          </w:p>
        </w:tc>
        <w:tc>
          <w:tcPr>
            <w:tcW w:w="3390" w:type="dxa"/>
            <w:shd w:val="clear" w:color="FCE4D6" w:fill="FCE4D6"/>
            <w:vAlign w:val="center"/>
            <w:hideMark/>
          </w:tcPr>
          <w:p w14:paraId="1EDEB65C" w14:textId="77777777" w:rsidR="008C22A9" w:rsidRPr="002A0E56" w:rsidRDefault="008C22A9" w:rsidP="006A1D89">
            <w:pPr>
              <w:spacing w:line="276" w:lineRule="auto"/>
              <w:jc w:val="left"/>
              <w:rPr>
                <w:color w:val="000000"/>
              </w:rPr>
            </w:pPr>
            <w:r w:rsidRPr="002A0E56">
              <w:rPr>
                <w:color w:val="000000"/>
              </w:rPr>
              <w:t>Reserved for Local Use</w:t>
            </w:r>
          </w:p>
        </w:tc>
        <w:tc>
          <w:tcPr>
            <w:tcW w:w="3390" w:type="dxa"/>
            <w:shd w:val="clear" w:color="FCE4D6" w:fill="FCE4D6"/>
            <w:vAlign w:val="center"/>
            <w:hideMark/>
          </w:tcPr>
          <w:p w14:paraId="6106ACBB" w14:textId="77777777" w:rsidR="008C22A9" w:rsidRPr="002A0E56" w:rsidRDefault="008C22A9" w:rsidP="006A1D89">
            <w:pPr>
              <w:spacing w:line="276" w:lineRule="auto"/>
              <w:jc w:val="left"/>
              <w:rPr>
                <w:color w:val="000000"/>
              </w:rPr>
            </w:pPr>
            <w:r w:rsidRPr="002A0E56">
              <w:rPr>
                <w:color w:val="000000"/>
              </w:rPr>
              <w:t>May be used for comments/descriptions</w:t>
            </w:r>
          </w:p>
        </w:tc>
      </w:tr>
      <w:tr w:rsidR="008C22A9" w:rsidRPr="002A0E56" w14:paraId="07A6376A" w14:textId="77777777" w:rsidTr="00297EC1">
        <w:trPr>
          <w:cantSplit/>
          <w:trHeight w:val="1260"/>
        </w:trPr>
        <w:tc>
          <w:tcPr>
            <w:tcW w:w="3390" w:type="dxa"/>
            <w:shd w:val="clear" w:color="F8CBAD" w:fill="F8CBAD"/>
            <w:vAlign w:val="center"/>
            <w:hideMark/>
          </w:tcPr>
          <w:p w14:paraId="79706B6F" w14:textId="77777777" w:rsidR="008C22A9" w:rsidRPr="002A0E56" w:rsidRDefault="008C22A9" w:rsidP="00166537">
            <w:pPr>
              <w:spacing w:line="276" w:lineRule="auto"/>
              <w:jc w:val="center"/>
              <w:rPr>
                <w:color w:val="000000"/>
              </w:rPr>
            </w:pPr>
            <w:r w:rsidRPr="002A0E56">
              <w:rPr>
                <w:color w:val="000000"/>
              </w:rPr>
              <w:t>11</w:t>
            </w:r>
            <w:r w:rsidR="00DD3CBA" w:rsidRPr="002A0E56">
              <w:rPr>
                <w:color w:val="000000"/>
              </w:rPr>
              <w:t>**</w:t>
            </w:r>
          </w:p>
        </w:tc>
        <w:tc>
          <w:tcPr>
            <w:tcW w:w="3390" w:type="dxa"/>
            <w:shd w:val="clear" w:color="F8CBAD" w:fill="F8CBAD"/>
            <w:vAlign w:val="center"/>
            <w:hideMark/>
          </w:tcPr>
          <w:p w14:paraId="68D68259" w14:textId="77777777" w:rsidR="008C22A9" w:rsidRPr="002A0E56" w:rsidRDefault="008C22A9" w:rsidP="006A1D89">
            <w:pPr>
              <w:spacing w:line="276" w:lineRule="auto"/>
              <w:jc w:val="left"/>
              <w:rPr>
                <w:color w:val="000000"/>
              </w:rPr>
            </w:pPr>
            <w:r w:rsidRPr="002A0E56">
              <w:rPr>
                <w:color w:val="000000"/>
              </w:rPr>
              <w:t>Insured’s Policy or Group Number</w:t>
            </w:r>
          </w:p>
        </w:tc>
        <w:tc>
          <w:tcPr>
            <w:tcW w:w="3390" w:type="dxa"/>
            <w:shd w:val="clear" w:color="F8CBAD" w:fill="F8CBAD"/>
            <w:vAlign w:val="center"/>
            <w:hideMark/>
          </w:tcPr>
          <w:p w14:paraId="08538872" w14:textId="2D42179E" w:rsidR="008C22A9" w:rsidRPr="002A0E56" w:rsidRDefault="008C22A9" w:rsidP="006A1D89">
            <w:pPr>
              <w:spacing w:line="276" w:lineRule="auto"/>
              <w:jc w:val="left"/>
              <w:rPr>
                <w:color w:val="000000"/>
              </w:rPr>
            </w:pPr>
            <w:r w:rsidRPr="002A0E56">
              <w:rPr>
                <w:color w:val="000000"/>
              </w:rPr>
              <w:t xml:space="preserve">Enter the primary policyholder’s insurance policy number or group number, if the insurance is through a group, such as an employer, union, etc. </w:t>
            </w:r>
            <w:r w:rsidR="00DD3CBA" w:rsidRPr="002A0E56">
              <w:rPr>
                <w:rFonts w:eastAsiaTheme="minorHAnsi"/>
              </w:rPr>
              <w:t xml:space="preserve">This field is for private insurance information only. </w:t>
            </w:r>
            <w:r w:rsidR="00DD3CBA" w:rsidRPr="002A0E56">
              <w:rPr>
                <w:color w:val="000000"/>
              </w:rPr>
              <w:t xml:space="preserve">If no private insurance involved, leave blank. </w:t>
            </w:r>
          </w:p>
        </w:tc>
      </w:tr>
      <w:tr w:rsidR="008C22A9" w:rsidRPr="002A0E56" w14:paraId="6BD72603" w14:textId="77777777" w:rsidTr="00297EC1">
        <w:trPr>
          <w:trHeight w:val="1260"/>
        </w:trPr>
        <w:tc>
          <w:tcPr>
            <w:tcW w:w="3390" w:type="dxa"/>
            <w:shd w:val="clear" w:color="FCE4D6" w:fill="FCE4D6"/>
            <w:vAlign w:val="center"/>
            <w:hideMark/>
          </w:tcPr>
          <w:p w14:paraId="0EA88140" w14:textId="77777777" w:rsidR="008C22A9" w:rsidRPr="002A0E56" w:rsidRDefault="008C22A9" w:rsidP="00166537">
            <w:pPr>
              <w:spacing w:line="276" w:lineRule="auto"/>
              <w:jc w:val="center"/>
              <w:rPr>
                <w:color w:val="000000"/>
              </w:rPr>
            </w:pPr>
            <w:r w:rsidRPr="002A0E56">
              <w:rPr>
                <w:color w:val="000000"/>
              </w:rPr>
              <w:t>11a</w:t>
            </w:r>
            <w:r w:rsidR="00DD3CBA" w:rsidRPr="002A0E56">
              <w:rPr>
                <w:color w:val="000000"/>
              </w:rPr>
              <w:t>**</w:t>
            </w:r>
          </w:p>
        </w:tc>
        <w:tc>
          <w:tcPr>
            <w:tcW w:w="3390" w:type="dxa"/>
            <w:shd w:val="clear" w:color="FCE4D6" w:fill="FCE4D6"/>
            <w:vAlign w:val="center"/>
            <w:hideMark/>
          </w:tcPr>
          <w:p w14:paraId="71734060" w14:textId="77777777" w:rsidR="008C22A9" w:rsidRPr="002A0E56" w:rsidRDefault="008C22A9" w:rsidP="006A1D89">
            <w:pPr>
              <w:spacing w:line="276" w:lineRule="auto"/>
              <w:jc w:val="left"/>
              <w:rPr>
                <w:color w:val="000000"/>
              </w:rPr>
            </w:pPr>
            <w:r w:rsidRPr="002A0E56">
              <w:rPr>
                <w:color w:val="000000"/>
              </w:rPr>
              <w:t>Insured’s Date of Birth, Sex</w:t>
            </w:r>
          </w:p>
        </w:tc>
        <w:tc>
          <w:tcPr>
            <w:tcW w:w="3390" w:type="dxa"/>
            <w:shd w:val="clear" w:color="FCE4D6" w:fill="FCE4D6"/>
            <w:vAlign w:val="center"/>
            <w:hideMark/>
          </w:tcPr>
          <w:p w14:paraId="6D7991B1" w14:textId="5D52F1B7" w:rsidR="008C22A9" w:rsidRPr="002A0E56" w:rsidRDefault="008C22A9" w:rsidP="006A1D89">
            <w:pPr>
              <w:spacing w:line="276" w:lineRule="auto"/>
              <w:jc w:val="left"/>
              <w:rPr>
                <w:color w:val="000000"/>
              </w:rPr>
            </w:pPr>
            <w:r w:rsidRPr="002A0E56">
              <w:rPr>
                <w:color w:val="000000"/>
              </w:rPr>
              <w:t xml:space="preserve">Enter primary policyholder’s date of birth and mark the appropriate box reflecting the sex of the primary policyholder. </w:t>
            </w:r>
            <w:r w:rsidR="00DD3CBA" w:rsidRPr="002A0E56">
              <w:rPr>
                <w:rFonts w:eastAsiaTheme="minorHAnsi"/>
              </w:rPr>
              <w:t xml:space="preserve">This field is for private insurance information only. </w:t>
            </w:r>
            <w:r w:rsidR="00DD3CBA" w:rsidRPr="002A0E56">
              <w:rPr>
                <w:color w:val="000000"/>
              </w:rPr>
              <w:t xml:space="preserve">If no private insurance involved, leave blank. </w:t>
            </w:r>
          </w:p>
        </w:tc>
      </w:tr>
      <w:tr w:rsidR="008C22A9" w:rsidRPr="002A0E56" w14:paraId="51D98DB0" w14:textId="77777777" w:rsidTr="00297EC1">
        <w:trPr>
          <w:cantSplit/>
          <w:trHeight w:val="630"/>
        </w:trPr>
        <w:tc>
          <w:tcPr>
            <w:tcW w:w="3390" w:type="dxa"/>
            <w:shd w:val="clear" w:color="F8CBAD" w:fill="F8CBAD"/>
            <w:vAlign w:val="center"/>
            <w:hideMark/>
          </w:tcPr>
          <w:p w14:paraId="37DA44E4" w14:textId="77777777" w:rsidR="008C22A9" w:rsidRPr="002A0E56" w:rsidRDefault="008C22A9" w:rsidP="00166537">
            <w:pPr>
              <w:spacing w:line="276" w:lineRule="auto"/>
              <w:jc w:val="center"/>
              <w:rPr>
                <w:color w:val="000000"/>
              </w:rPr>
            </w:pPr>
            <w:r w:rsidRPr="002A0E56">
              <w:rPr>
                <w:color w:val="000000"/>
              </w:rPr>
              <w:t>11b</w:t>
            </w:r>
            <w:r w:rsidR="00DD3CBA" w:rsidRPr="002A0E56">
              <w:rPr>
                <w:color w:val="000000"/>
              </w:rPr>
              <w:t>**</w:t>
            </w:r>
          </w:p>
        </w:tc>
        <w:tc>
          <w:tcPr>
            <w:tcW w:w="3390" w:type="dxa"/>
            <w:shd w:val="clear" w:color="F8CBAD" w:fill="F8CBAD"/>
            <w:vAlign w:val="center"/>
            <w:hideMark/>
          </w:tcPr>
          <w:p w14:paraId="4B91A5C9" w14:textId="77777777" w:rsidR="008C22A9" w:rsidRPr="002A0E56" w:rsidRDefault="008C22A9" w:rsidP="006A1D89">
            <w:pPr>
              <w:spacing w:line="276" w:lineRule="auto"/>
              <w:jc w:val="left"/>
              <w:rPr>
                <w:color w:val="000000"/>
              </w:rPr>
            </w:pPr>
            <w:r w:rsidRPr="002A0E56">
              <w:rPr>
                <w:color w:val="000000"/>
              </w:rPr>
              <w:t>Employer’s Name</w:t>
            </w:r>
          </w:p>
        </w:tc>
        <w:tc>
          <w:tcPr>
            <w:tcW w:w="3390" w:type="dxa"/>
            <w:shd w:val="clear" w:color="F8CBAD" w:fill="F8CBAD"/>
            <w:vAlign w:val="center"/>
            <w:hideMark/>
          </w:tcPr>
          <w:p w14:paraId="2D91EA62" w14:textId="05C00293" w:rsidR="008C22A9" w:rsidRPr="002A0E56" w:rsidRDefault="008C22A9" w:rsidP="006A1D89">
            <w:pPr>
              <w:spacing w:line="276" w:lineRule="auto"/>
              <w:jc w:val="left"/>
              <w:rPr>
                <w:color w:val="000000"/>
              </w:rPr>
            </w:pPr>
            <w:r w:rsidRPr="002A0E56">
              <w:rPr>
                <w:color w:val="000000"/>
              </w:rPr>
              <w:t xml:space="preserve">Enter the primary policyholder’s employer name. </w:t>
            </w:r>
            <w:r w:rsidR="00DD3CBA" w:rsidRPr="002A0E56">
              <w:rPr>
                <w:rFonts w:eastAsiaTheme="minorHAnsi"/>
              </w:rPr>
              <w:t xml:space="preserve">This field is for private insurance information only. </w:t>
            </w:r>
            <w:r w:rsidR="00DD3CBA" w:rsidRPr="002A0E56">
              <w:rPr>
                <w:color w:val="000000"/>
              </w:rPr>
              <w:t xml:space="preserve">If no private insurance involved, leave blank. </w:t>
            </w:r>
          </w:p>
        </w:tc>
      </w:tr>
      <w:tr w:rsidR="00D43B8C" w:rsidRPr="002A0E56" w14:paraId="7F82DA05" w14:textId="77777777" w:rsidTr="00297EC1">
        <w:trPr>
          <w:cantSplit/>
          <w:trHeight w:val="1916"/>
        </w:trPr>
        <w:tc>
          <w:tcPr>
            <w:tcW w:w="3390" w:type="dxa"/>
            <w:shd w:val="clear" w:color="FCE4D6" w:fill="FCE4D6"/>
            <w:vAlign w:val="center"/>
            <w:hideMark/>
          </w:tcPr>
          <w:p w14:paraId="221D7BD8" w14:textId="77777777" w:rsidR="00D43B8C" w:rsidRPr="002A0E56" w:rsidRDefault="00D43B8C" w:rsidP="00166537">
            <w:pPr>
              <w:spacing w:line="276" w:lineRule="auto"/>
              <w:jc w:val="center"/>
              <w:rPr>
                <w:color w:val="000000"/>
              </w:rPr>
            </w:pPr>
            <w:r w:rsidRPr="002A0E56">
              <w:rPr>
                <w:color w:val="000000"/>
              </w:rPr>
              <w:t>11c**</w:t>
            </w:r>
          </w:p>
        </w:tc>
        <w:tc>
          <w:tcPr>
            <w:tcW w:w="3390" w:type="dxa"/>
            <w:shd w:val="clear" w:color="FCE4D6" w:fill="FCE4D6"/>
            <w:vAlign w:val="center"/>
            <w:hideMark/>
          </w:tcPr>
          <w:p w14:paraId="6024DE51" w14:textId="77777777" w:rsidR="00D43B8C" w:rsidRPr="002A0E56" w:rsidRDefault="00D43B8C" w:rsidP="006A1D89">
            <w:pPr>
              <w:spacing w:line="276" w:lineRule="auto"/>
              <w:jc w:val="left"/>
              <w:rPr>
                <w:color w:val="000000"/>
              </w:rPr>
            </w:pPr>
            <w:r w:rsidRPr="002A0E56">
              <w:rPr>
                <w:color w:val="000000"/>
              </w:rPr>
              <w:t>Insurance Plan Name</w:t>
            </w:r>
          </w:p>
        </w:tc>
        <w:tc>
          <w:tcPr>
            <w:tcW w:w="3390" w:type="dxa"/>
            <w:shd w:val="clear" w:color="FCE4D6" w:fill="FCE4D6"/>
            <w:vAlign w:val="center"/>
            <w:hideMark/>
          </w:tcPr>
          <w:p w14:paraId="1F667F6B" w14:textId="77777777" w:rsidR="00D43B8C" w:rsidRPr="002A0E56" w:rsidRDefault="00D43B8C" w:rsidP="006A1D89">
            <w:pPr>
              <w:spacing w:line="276" w:lineRule="auto"/>
              <w:jc w:val="left"/>
              <w:rPr>
                <w:color w:val="000000"/>
              </w:rPr>
            </w:pPr>
            <w:r w:rsidRPr="002A0E56">
              <w:rPr>
                <w:color w:val="000000"/>
              </w:rPr>
              <w:t>Enter the primary policyholder’s insurance plan name</w:t>
            </w:r>
          </w:p>
          <w:p w14:paraId="0171A2E5" w14:textId="3A32FC58" w:rsidR="00D43B8C" w:rsidRPr="002A0E56" w:rsidRDefault="00D43B8C" w:rsidP="006A1D89">
            <w:pPr>
              <w:spacing w:line="276" w:lineRule="auto"/>
              <w:jc w:val="left"/>
              <w:rPr>
                <w:color w:val="000000"/>
              </w:rPr>
            </w:pPr>
            <w:r w:rsidRPr="002A0E56">
              <w:t xml:space="preserve">If the insurance plan denied payment for the service provided, attach valid denial from the insurance plan. </w:t>
            </w:r>
            <w:r w:rsidRPr="002A0E56">
              <w:rPr>
                <w:rFonts w:eastAsiaTheme="minorHAnsi"/>
              </w:rPr>
              <w:t xml:space="preserve">This field is for private insurance information only. </w:t>
            </w:r>
            <w:r w:rsidRPr="002A0E56">
              <w:rPr>
                <w:color w:val="000000"/>
              </w:rPr>
              <w:t xml:space="preserve">If no private insurance involved, leave blank. </w:t>
            </w:r>
          </w:p>
        </w:tc>
      </w:tr>
      <w:tr w:rsidR="008C22A9" w:rsidRPr="002A0E56" w14:paraId="4DA8064A" w14:textId="77777777" w:rsidTr="00297EC1">
        <w:trPr>
          <w:cantSplit/>
          <w:trHeight w:val="692"/>
        </w:trPr>
        <w:tc>
          <w:tcPr>
            <w:tcW w:w="3390" w:type="dxa"/>
            <w:shd w:val="clear" w:color="auto" w:fill="FBD4B4" w:themeFill="accent6" w:themeFillTint="66"/>
            <w:vAlign w:val="center"/>
            <w:hideMark/>
          </w:tcPr>
          <w:p w14:paraId="3B67B857" w14:textId="77777777" w:rsidR="008C22A9" w:rsidRPr="002A0E56" w:rsidRDefault="008C22A9" w:rsidP="00166537">
            <w:pPr>
              <w:spacing w:line="276" w:lineRule="auto"/>
              <w:jc w:val="center"/>
              <w:rPr>
                <w:color w:val="000000"/>
              </w:rPr>
            </w:pPr>
            <w:r w:rsidRPr="002A0E56">
              <w:rPr>
                <w:color w:val="000000"/>
              </w:rPr>
              <w:t>11d</w:t>
            </w:r>
            <w:r w:rsidR="00DD3CBA" w:rsidRPr="002A0E56">
              <w:rPr>
                <w:color w:val="000000"/>
              </w:rPr>
              <w:t>**</w:t>
            </w:r>
          </w:p>
        </w:tc>
        <w:tc>
          <w:tcPr>
            <w:tcW w:w="3390" w:type="dxa"/>
            <w:shd w:val="clear" w:color="auto" w:fill="FBD4B4" w:themeFill="accent6" w:themeFillTint="66"/>
            <w:vAlign w:val="center"/>
            <w:hideMark/>
          </w:tcPr>
          <w:p w14:paraId="1517BC32" w14:textId="77777777" w:rsidR="008C22A9" w:rsidRPr="002A0E56" w:rsidRDefault="008C22A9" w:rsidP="006A1D89">
            <w:pPr>
              <w:spacing w:line="276" w:lineRule="auto"/>
              <w:jc w:val="left"/>
              <w:rPr>
                <w:color w:val="000000"/>
              </w:rPr>
            </w:pPr>
            <w:r w:rsidRPr="002A0E56">
              <w:rPr>
                <w:color w:val="000000"/>
              </w:rPr>
              <w:t>Other Health Plan</w:t>
            </w:r>
          </w:p>
        </w:tc>
        <w:tc>
          <w:tcPr>
            <w:tcW w:w="3390" w:type="dxa"/>
            <w:shd w:val="clear" w:color="auto" w:fill="FBD4B4" w:themeFill="accent6" w:themeFillTint="66"/>
            <w:vAlign w:val="center"/>
            <w:hideMark/>
          </w:tcPr>
          <w:p w14:paraId="4A9B94CB" w14:textId="322F6718" w:rsidR="008C22A9" w:rsidRPr="002A0E56" w:rsidRDefault="008C22A9" w:rsidP="006A1D89">
            <w:pPr>
              <w:spacing w:line="276" w:lineRule="auto"/>
              <w:jc w:val="left"/>
              <w:rPr>
                <w:color w:val="000000"/>
              </w:rPr>
            </w:pPr>
            <w:r w:rsidRPr="002A0E56">
              <w:rPr>
                <w:color w:val="000000"/>
              </w:rPr>
              <w:t xml:space="preserve">Indicate whether the patient has a secondary health insurance plan; if so, complete Fields 9-9d with the secondary insurance information. </w:t>
            </w:r>
            <w:r w:rsidR="00DD3CBA" w:rsidRPr="002A0E56">
              <w:rPr>
                <w:rFonts w:eastAsiaTheme="minorHAnsi"/>
              </w:rPr>
              <w:t xml:space="preserve">This field is for private insurance information only. </w:t>
            </w:r>
            <w:r w:rsidR="00DD3CBA" w:rsidRPr="002A0E56">
              <w:rPr>
                <w:color w:val="000000"/>
              </w:rPr>
              <w:t xml:space="preserve">If no private insurance involved, leave blank. </w:t>
            </w:r>
          </w:p>
        </w:tc>
      </w:tr>
      <w:tr w:rsidR="008C22A9" w:rsidRPr="002A0E56" w14:paraId="0C7A77ED" w14:textId="77777777" w:rsidTr="00297EC1">
        <w:trPr>
          <w:trHeight w:val="630"/>
        </w:trPr>
        <w:tc>
          <w:tcPr>
            <w:tcW w:w="3390" w:type="dxa"/>
            <w:shd w:val="clear" w:color="auto" w:fill="FDE9D9" w:themeFill="accent6" w:themeFillTint="33"/>
            <w:vAlign w:val="center"/>
            <w:hideMark/>
          </w:tcPr>
          <w:p w14:paraId="420616DB" w14:textId="77777777" w:rsidR="008C22A9" w:rsidRPr="002A0E56" w:rsidRDefault="008C22A9" w:rsidP="00166537">
            <w:pPr>
              <w:spacing w:line="276" w:lineRule="auto"/>
              <w:jc w:val="center"/>
              <w:rPr>
                <w:color w:val="000000"/>
              </w:rPr>
            </w:pPr>
            <w:r w:rsidRPr="002A0E56">
              <w:rPr>
                <w:color w:val="000000"/>
              </w:rPr>
              <w:t>12</w:t>
            </w:r>
          </w:p>
        </w:tc>
        <w:tc>
          <w:tcPr>
            <w:tcW w:w="3390" w:type="dxa"/>
            <w:shd w:val="clear" w:color="auto" w:fill="FDE9D9" w:themeFill="accent6" w:themeFillTint="33"/>
            <w:vAlign w:val="center"/>
            <w:hideMark/>
          </w:tcPr>
          <w:p w14:paraId="7EA79E74" w14:textId="77777777" w:rsidR="008C22A9" w:rsidRPr="002A0E56" w:rsidRDefault="008C22A9" w:rsidP="006A1D89">
            <w:pPr>
              <w:spacing w:line="276" w:lineRule="auto"/>
              <w:jc w:val="left"/>
              <w:rPr>
                <w:color w:val="000000"/>
              </w:rPr>
            </w:pPr>
            <w:r w:rsidRPr="002A0E56">
              <w:rPr>
                <w:color w:val="000000"/>
              </w:rPr>
              <w:t>Patient’s Signature</w:t>
            </w:r>
          </w:p>
        </w:tc>
        <w:tc>
          <w:tcPr>
            <w:tcW w:w="3390" w:type="dxa"/>
            <w:shd w:val="clear" w:color="auto" w:fill="FDE9D9" w:themeFill="accent6" w:themeFillTint="33"/>
            <w:vAlign w:val="center"/>
            <w:hideMark/>
          </w:tcPr>
          <w:p w14:paraId="7F76D29B"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5F4A2CDB" w14:textId="77777777" w:rsidTr="00297EC1">
        <w:trPr>
          <w:cantSplit/>
          <w:trHeight w:val="2835"/>
        </w:trPr>
        <w:tc>
          <w:tcPr>
            <w:tcW w:w="3390" w:type="dxa"/>
            <w:shd w:val="clear" w:color="auto" w:fill="FBD4B4" w:themeFill="accent6" w:themeFillTint="66"/>
            <w:vAlign w:val="center"/>
            <w:hideMark/>
          </w:tcPr>
          <w:p w14:paraId="51577D10" w14:textId="77777777" w:rsidR="008C22A9" w:rsidRPr="002A0E56" w:rsidRDefault="008C22A9" w:rsidP="00166537">
            <w:pPr>
              <w:spacing w:line="276" w:lineRule="auto"/>
              <w:jc w:val="center"/>
              <w:rPr>
                <w:color w:val="000000"/>
              </w:rPr>
            </w:pPr>
            <w:r w:rsidRPr="002A0E56">
              <w:rPr>
                <w:color w:val="000000"/>
              </w:rPr>
              <w:t>13</w:t>
            </w:r>
            <w:r w:rsidR="00DD3CBA" w:rsidRPr="002A0E56">
              <w:rPr>
                <w:color w:val="000000"/>
              </w:rPr>
              <w:t>**</w:t>
            </w:r>
          </w:p>
        </w:tc>
        <w:tc>
          <w:tcPr>
            <w:tcW w:w="3390" w:type="dxa"/>
            <w:shd w:val="clear" w:color="auto" w:fill="FBD4B4" w:themeFill="accent6" w:themeFillTint="66"/>
            <w:vAlign w:val="center"/>
            <w:hideMark/>
          </w:tcPr>
          <w:p w14:paraId="2465B0F8" w14:textId="77777777" w:rsidR="008C22A9" w:rsidRPr="002A0E56" w:rsidRDefault="008C22A9" w:rsidP="006A1D89">
            <w:pPr>
              <w:spacing w:line="276" w:lineRule="auto"/>
              <w:jc w:val="left"/>
              <w:rPr>
                <w:color w:val="000000"/>
              </w:rPr>
            </w:pPr>
            <w:r w:rsidRPr="002A0E56">
              <w:rPr>
                <w:color w:val="000000"/>
              </w:rPr>
              <w:t>Insured’s Signature</w:t>
            </w:r>
          </w:p>
        </w:tc>
        <w:tc>
          <w:tcPr>
            <w:tcW w:w="3390" w:type="dxa"/>
            <w:shd w:val="clear" w:color="auto" w:fill="FBD4B4" w:themeFill="accent6" w:themeFillTint="66"/>
            <w:vAlign w:val="center"/>
            <w:hideMark/>
          </w:tcPr>
          <w:p w14:paraId="6C42F1FB" w14:textId="77777777" w:rsidR="008C22A9" w:rsidRPr="002A0E56" w:rsidRDefault="008C22A9" w:rsidP="006A1D89">
            <w:pPr>
              <w:spacing w:line="276" w:lineRule="auto"/>
              <w:jc w:val="left"/>
              <w:rPr>
                <w:color w:val="000000"/>
              </w:rPr>
            </w:pPr>
            <w:r w:rsidRPr="002A0E56">
              <w:rPr>
                <w:color w:val="000000"/>
              </w:rPr>
              <w:t>This field should be completed only when the patient has another health insurance policy. Obtain the policyholder’s or authorized person’s signature for assignment of benefits. The signature is necessary to ensure the insurance plan pays any benefits directly to</w:t>
            </w:r>
            <w:r w:rsidRPr="002A0E56">
              <w:rPr>
                <w:b/>
                <w:bCs/>
                <w:color w:val="000000"/>
              </w:rPr>
              <w:t xml:space="preserve"> </w:t>
            </w:r>
            <w:r w:rsidRPr="002A0E56">
              <w:rPr>
                <w:color w:val="000000"/>
              </w:rPr>
              <w:t xml:space="preserve">the provider or </w:t>
            </w:r>
            <w:r w:rsidR="00DA08F4">
              <w:rPr>
                <w:color w:val="000000"/>
              </w:rPr>
              <w:t>MO HealthNet</w:t>
            </w:r>
            <w:r w:rsidRPr="002A0E56">
              <w:rPr>
                <w:color w:val="000000"/>
              </w:rPr>
              <w:t>. Payment may be otherwise issued to the policyholder requiring the provider to collect insurance benefits from the policyholder.</w:t>
            </w:r>
          </w:p>
        </w:tc>
      </w:tr>
      <w:tr w:rsidR="008C22A9" w:rsidRPr="002A0E56" w14:paraId="638A81B2" w14:textId="77777777" w:rsidTr="00297EC1">
        <w:trPr>
          <w:trHeight w:val="945"/>
        </w:trPr>
        <w:tc>
          <w:tcPr>
            <w:tcW w:w="3390" w:type="dxa"/>
            <w:shd w:val="clear" w:color="auto" w:fill="FDE9D9" w:themeFill="accent6" w:themeFillTint="33"/>
            <w:vAlign w:val="center"/>
            <w:hideMark/>
          </w:tcPr>
          <w:p w14:paraId="3BA7C55F" w14:textId="77777777" w:rsidR="008C22A9" w:rsidRPr="002A0E56" w:rsidRDefault="008C22A9" w:rsidP="00166537">
            <w:pPr>
              <w:spacing w:line="276" w:lineRule="auto"/>
              <w:jc w:val="center"/>
              <w:rPr>
                <w:color w:val="000000"/>
              </w:rPr>
            </w:pPr>
            <w:r w:rsidRPr="002A0E56">
              <w:rPr>
                <w:color w:val="000000"/>
              </w:rPr>
              <w:t>14</w:t>
            </w:r>
          </w:p>
        </w:tc>
        <w:tc>
          <w:tcPr>
            <w:tcW w:w="3390" w:type="dxa"/>
            <w:shd w:val="clear" w:color="auto" w:fill="FDE9D9" w:themeFill="accent6" w:themeFillTint="33"/>
            <w:vAlign w:val="center"/>
            <w:hideMark/>
          </w:tcPr>
          <w:p w14:paraId="2E4B91FF" w14:textId="77777777" w:rsidR="008C22A9" w:rsidRPr="002A0E56" w:rsidRDefault="008C22A9" w:rsidP="006A1D89">
            <w:pPr>
              <w:spacing w:line="276" w:lineRule="auto"/>
              <w:jc w:val="left"/>
              <w:rPr>
                <w:color w:val="000000"/>
              </w:rPr>
            </w:pPr>
            <w:r w:rsidRPr="002A0E56">
              <w:rPr>
                <w:color w:val="000000"/>
              </w:rPr>
              <w:t>Date of Current Illness, Injury, or Pregnancy</w:t>
            </w:r>
          </w:p>
        </w:tc>
        <w:tc>
          <w:tcPr>
            <w:tcW w:w="3390" w:type="dxa"/>
            <w:shd w:val="clear" w:color="auto" w:fill="FDE9D9" w:themeFill="accent6" w:themeFillTint="33"/>
            <w:vAlign w:val="center"/>
            <w:hideMark/>
          </w:tcPr>
          <w:p w14:paraId="242CBE3A"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4CD79404" w14:textId="77777777" w:rsidTr="00297EC1">
        <w:trPr>
          <w:trHeight w:val="945"/>
        </w:trPr>
        <w:tc>
          <w:tcPr>
            <w:tcW w:w="3390" w:type="dxa"/>
            <w:shd w:val="clear" w:color="auto" w:fill="FBD4B4" w:themeFill="accent6" w:themeFillTint="66"/>
            <w:vAlign w:val="center"/>
            <w:hideMark/>
          </w:tcPr>
          <w:p w14:paraId="539E8692" w14:textId="77777777" w:rsidR="008C22A9" w:rsidRPr="002A0E56" w:rsidRDefault="008C22A9" w:rsidP="00166537">
            <w:pPr>
              <w:spacing w:line="276" w:lineRule="auto"/>
              <w:jc w:val="center"/>
              <w:rPr>
                <w:color w:val="000000"/>
              </w:rPr>
            </w:pPr>
            <w:r w:rsidRPr="002A0E56">
              <w:rPr>
                <w:color w:val="000000"/>
              </w:rPr>
              <w:t>15</w:t>
            </w:r>
          </w:p>
        </w:tc>
        <w:tc>
          <w:tcPr>
            <w:tcW w:w="3390" w:type="dxa"/>
            <w:shd w:val="clear" w:color="auto" w:fill="FBD4B4" w:themeFill="accent6" w:themeFillTint="66"/>
            <w:vAlign w:val="center"/>
            <w:hideMark/>
          </w:tcPr>
          <w:p w14:paraId="039D6104" w14:textId="77777777" w:rsidR="008C22A9" w:rsidRPr="002A0E56" w:rsidRDefault="008C22A9" w:rsidP="006A1D89">
            <w:pPr>
              <w:spacing w:line="276" w:lineRule="auto"/>
              <w:jc w:val="left"/>
              <w:rPr>
                <w:color w:val="000000"/>
              </w:rPr>
            </w:pPr>
            <w:r w:rsidRPr="002A0E56">
              <w:rPr>
                <w:color w:val="000000"/>
              </w:rPr>
              <w:t>Date Same/Similar Illness</w:t>
            </w:r>
          </w:p>
        </w:tc>
        <w:tc>
          <w:tcPr>
            <w:tcW w:w="3390" w:type="dxa"/>
            <w:shd w:val="clear" w:color="auto" w:fill="FBD4B4" w:themeFill="accent6" w:themeFillTint="66"/>
            <w:vAlign w:val="center"/>
            <w:hideMark/>
          </w:tcPr>
          <w:p w14:paraId="479F7EFD"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38CB4600" w14:textId="77777777" w:rsidTr="00297EC1">
        <w:trPr>
          <w:trHeight w:val="630"/>
        </w:trPr>
        <w:tc>
          <w:tcPr>
            <w:tcW w:w="3390" w:type="dxa"/>
            <w:shd w:val="clear" w:color="auto" w:fill="FDE9D9" w:themeFill="accent6" w:themeFillTint="33"/>
            <w:vAlign w:val="center"/>
            <w:hideMark/>
          </w:tcPr>
          <w:p w14:paraId="05562AB5" w14:textId="77777777" w:rsidR="008C22A9" w:rsidRPr="002A0E56" w:rsidRDefault="008C22A9" w:rsidP="00166537">
            <w:pPr>
              <w:spacing w:line="276" w:lineRule="auto"/>
              <w:jc w:val="center"/>
              <w:rPr>
                <w:color w:val="000000"/>
              </w:rPr>
            </w:pPr>
            <w:r w:rsidRPr="002A0E56">
              <w:rPr>
                <w:color w:val="000000"/>
              </w:rPr>
              <w:t>16</w:t>
            </w:r>
          </w:p>
        </w:tc>
        <w:tc>
          <w:tcPr>
            <w:tcW w:w="3390" w:type="dxa"/>
            <w:shd w:val="clear" w:color="auto" w:fill="FDE9D9" w:themeFill="accent6" w:themeFillTint="33"/>
            <w:vAlign w:val="center"/>
            <w:hideMark/>
          </w:tcPr>
          <w:p w14:paraId="55B11FA5" w14:textId="77777777" w:rsidR="008C22A9" w:rsidRPr="002A0E56" w:rsidRDefault="008C22A9" w:rsidP="006A1D89">
            <w:pPr>
              <w:spacing w:line="276" w:lineRule="auto"/>
              <w:jc w:val="left"/>
              <w:rPr>
                <w:color w:val="000000"/>
              </w:rPr>
            </w:pPr>
            <w:r w:rsidRPr="002A0E56">
              <w:rPr>
                <w:color w:val="000000"/>
              </w:rPr>
              <w:t>Dates Patient Unable to Work</w:t>
            </w:r>
          </w:p>
        </w:tc>
        <w:tc>
          <w:tcPr>
            <w:tcW w:w="3390" w:type="dxa"/>
            <w:shd w:val="clear" w:color="auto" w:fill="FDE9D9" w:themeFill="accent6" w:themeFillTint="33"/>
            <w:vAlign w:val="center"/>
            <w:hideMark/>
          </w:tcPr>
          <w:p w14:paraId="0717D822"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7D46AC6D" w14:textId="77777777" w:rsidTr="00AF51BA">
        <w:trPr>
          <w:cantSplit/>
          <w:trHeight w:val="332"/>
        </w:trPr>
        <w:tc>
          <w:tcPr>
            <w:tcW w:w="3390" w:type="dxa"/>
            <w:shd w:val="clear" w:color="auto" w:fill="FBD4B4" w:themeFill="accent6" w:themeFillTint="66"/>
            <w:vAlign w:val="center"/>
            <w:hideMark/>
          </w:tcPr>
          <w:p w14:paraId="694949EF" w14:textId="77777777" w:rsidR="008C22A9" w:rsidRPr="002A0E56" w:rsidRDefault="008C22A9" w:rsidP="00166537">
            <w:pPr>
              <w:spacing w:line="276" w:lineRule="auto"/>
              <w:jc w:val="center"/>
              <w:rPr>
                <w:color w:val="000000"/>
              </w:rPr>
            </w:pPr>
            <w:r w:rsidRPr="002A0E56">
              <w:rPr>
                <w:color w:val="000000"/>
              </w:rPr>
              <w:t>17</w:t>
            </w:r>
            <w:r w:rsidR="00DD3CBA" w:rsidRPr="002A0E56">
              <w:rPr>
                <w:color w:val="000000"/>
              </w:rPr>
              <w:t>**</w:t>
            </w:r>
          </w:p>
        </w:tc>
        <w:tc>
          <w:tcPr>
            <w:tcW w:w="3390" w:type="dxa"/>
            <w:shd w:val="clear" w:color="auto" w:fill="FBD4B4" w:themeFill="accent6" w:themeFillTint="66"/>
            <w:vAlign w:val="center"/>
            <w:hideMark/>
          </w:tcPr>
          <w:p w14:paraId="3BA65128" w14:textId="77777777" w:rsidR="008C22A9" w:rsidRPr="002A0E56" w:rsidRDefault="008C22A9" w:rsidP="006A1D89">
            <w:pPr>
              <w:spacing w:line="276" w:lineRule="auto"/>
              <w:jc w:val="left"/>
              <w:rPr>
                <w:color w:val="000000"/>
              </w:rPr>
            </w:pPr>
            <w:r w:rsidRPr="002A0E56">
              <w:rPr>
                <w:color w:val="000000"/>
              </w:rPr>
              <w:t>Name of Referring Provider or Other Source</w:t>
            </w:r>
          </w:p>
        </w:tc>
        <w:tc>
          <w:tcPr>
            <w:tcW w:w="3390" w:type="dxa"/>
            <w:shd w:val="clear" w:color="auto" w:fill="FBD4B4" w:themeFill="accent6" w:themeFillTint="66"/>
            <w:vAlign w:val="center"/>
            <w:hideMark/>
          </w:tcPr>
          <w:p w14:paraId="7684449E" w14:textId="77777777" w:rsidR="008C22A9" w:rsidRPr="002A0E56" w:rsidRDefault="008C22A9" w:rsidP="006A1D89">
            <w:pPr>
              <w:spacing w:line="276" w:lineRule="auto"/>
              <w:jc w:val="left"/>
              <w:rPr>
                <w:color w:val="000000"/>
              </w:rPr>
            </w:pPr>
            <w:r w:rsidRPr="002A0E56">
              <w:rPr>
                <w:color w:val="000000"/>
              </w:rPr>
              <w:t>Enter the name of the referring MO HealthNet-enrolled primary care provider or other source. If multiple providers are involved, enter one (1) provider using the following priority order:</w:t>
            </w:r>
          </w:p>
          <w:p w14:paraId="4B49607A" w14:textId="77777777" w:rsidR="00DD3CBA" w:rsidRPr="002A0E56" w:rsidRDefault="00DD3CBA" w:rsidP="008E5407">
            <w:pPr>
              <w:pStyle w:val="ListParagraph"/>
              <w:numPr>
                <w:ilvl w:val="0"/>
                <w:numId w:val="2"/>
              </w:numPr>
              <w:spacing w:line="276" w:lineRule="auto"/>
              <w:contextualSpacing w:val="0"/>
              <w:jc w:val="left"/>
              <w:rPr>
                <w:color w:val="000000"/>
              </w:rPr>
            </w:pPr>
            <w:r w:rsidRPr="002A0E56">
              <w:rPr>
                <w:color w:val="000000"/>
              </w:rPr>
              <w:t>Referring provider</w:t>
            </w:r>
          </w:p>
          <w:p w14:paraId="5907048E" w14:textId="77777777" w:rsidR="00DD3CBA" w:rsidRPr="002A0E56" w:rsidRDefault="00DD3CBA" w:rsidP="008E5407">
            <w:pPr>
              <w:pStyle w:val="ListParagraph"/>
              <w:numPr>
                <w:ilvl w:val="0"/>
                <w:numId w:val="2"/>
              </w:numPr>
              <w:spacing w:line="276" w:lineRule="auto"/>
              <w:contextualSpacing w:val="0"/>
              <w:jc w:val="left"/>
              <w:rPr>
                <w:color w:val="000000"/>
              </w:rPr>
            </w:pPr>
            <w:r w:rsidRPr="002A0E56">
              <w:rPr>
                <w:color w:val="000000"/>
              </w:rPr>
              <w:t>Ordering Provider</w:t>
            </w:r>
          </w:p>
        </w:tc>
      </w:tr>
      <w:tr w:rsidR="008C22A9" w:rsidRPr="002A0E56" w14:paraId="4A5BD7DC" w14:textId="77777777" w:rsidTr="00297EC1">
        <w:trPr>
          <w:cantSplit/>
          <w:trHeight w:val="1890"/>
        </w:trPr>
        <w:tc>
          <w:tcPr>
            <w:tcW w:w="3390" w:type="dxa"/>
            <w:shd w:val="clear" w:color="auto" w:fill="FDE9D9" w:themeFill="accent6" w:themeFillTint="33"/>
            <w:vAlign w:val="center"/>
            <w:hideMark/>
          </w:tcPr>
          <w:p w14:paraId="1B51C092" w14:textId="77777777" w:rsidR="008C22A9" w:rsidRPr="002A0E56" w:rsidRDefault="008C22A9" w:rsidP="00166537">
            <w:pPr>
              <w:spacing w:line="276" w:lineRule="auto"/>
              <w:jc w:val="center"/>
              <w:rPr>
                <w:color w:val="000000"/>
              </w:rPr>
            </w:pPr>
            <w:r w:rsidRPr="002A0E56">
              <w:rPr>
                <w:color w:val="000000"/>
              </w:rPr>
              <w:t>17a</w:t>
            </w:r>
            <w:r w:rsidR="00DD3CBA" w:rsidRPr="002A0E56">
              <w:rPr>
                <w:color w:val="000000"/>
              </w:rPr>
              <w:t>**</w:t>
            </w:r>
          </w:p>
        </w:tc>
        <w:tc>
          <w:tcPr>
            <w:tcW w:w="3390" w:type="dxa"/>
            <w:shd w:val="clear" w:color="auto" w:fill="FDE9D9" w:themeFill="accent6" w:themeFillTint="33"/>
            <w:vAlign w:val="center"/>
            <w:hideMark/>
          </w:tcPr>
          <w:p w14:paraId="2A5554F7" w14:textId="77777777" w:rsidR="008C22A9" w:rsidRPr="002A0E56" w:rsidRDefault="008C22A9" w:rsidP="006A1D89">
            <w:pPr>
              <w:spacing w:line="276" w:lineRule="auto"/>
              <w:jc w:val="left"/>
              <w:rPr>
                <w:color w:val="000000"/>
              </w:rPr>
            </w:pPr>
            <w:r w:rsidRPr="002A0E56">
              <w:rPr>
                <w:color w:val="000000"/>
              </w:rPr>
              <w:t>Other ID #</w:t>
            </w:r>
          </w:p>
        </w:tc>
        <w:tc>
          <w:tcPr>
            <w:tcW w:w="3390" w:type="dxa"/>
            <w:shd w:val="clear" w:color="auto" w:fill="FDE9D9" w:themeFill="accent6" w:themeFillTint="33"/>
            <w:vAlign w:val="center"/>
            <w:hideMark/>
          </w:tcPr>
          <w:p w14:paraId="26A95CDA" w14:textId="434E16F9" w:rsidR="008C22A9" w:rsidRPr="002A0E56" w:rsidRDefault="00D647DD" w:rsidP="006A1D89">
            <w:pPr>
              <w:spacing w:line="276" w:lineRule="auto"/>
              <w:jc w:val="left"/>
              <w:rPr>
                <w:color w:val="000000"/>
              </w:rPr>
            </w:pPr>
            <w:r w:rsidRPr="00F1187D">
              <w:rPr>
                <w:color w:val="000000"/>
              </w:rPr>
              <w:t xml:space="preserve">Enter the Provider Taxonomy qualifier </w:t>
            </w:r>
            <w:r w:rsidR="00A52137">
              <w:rPr>
                <w:color w:val="000000"/>
              </w:rPr>
              <w:t>“</w:t>
            </w:r>
            <w:r w:rsidRPr="00F1187D">
              <w:rPr>
                <w:color w:val="000000"/>
              </w:rPr>
              <w:t>ZZ</w:t>
            </w:r>
            <w:r w:rsidR="00A52137">
              <w:rPr>
                <w:color w:val="000000"/>
              </w:rPr>
              <w:t>”</w:t>
            </w:r>
            <w:r w:rsidRPr="00F1187D">
              <w:rPr>
                <w:color w:val="000000"/>
              </w:rPr>
              <w:t xml:space="preserve"> in the first area if the provider reported in Field 17b is required to report a Provider Taxonomy Code to MO HealthNet. Enter the corresponding 10-digit Provider Taxonomy Code in the second area for the provider reported in Field 17b.</w:t>
            </w:r>
          </w:p>
        </w:tc>
      </w:tr>
      <w:tr w:rsidR="008C22A9" w:rsidRPr="002A0E56" w14:paraId="1DE40A11" w14:textId="77777777" w:rsidTr="00297EC1">
        <w:trPr>
          <w:trHeight w:val="315"/>
        </w:trPr>
        <w:tc>
          <w:tcPr>
            <w:tcW w:w="3390" w:type="dxa"/>
            <w:shd w:val="clear" w:color="auto" w:fill="FBD4B4" w:themeFill="accent6" w:themeFillTint="66"/>
            <w:vAlign w:val="center"/>
            <w:hideMark/>
          </w:tcPr>
          <w:p w14:paraId="4074E365" w14:textId="77777777" w:rsidR="008C22A9" w:rsidRPr="002A0E56" w:rsidRDefault="008C22A9" w:rsidP="00166537">
            <w:pPr>
              <w:spacing w:line="276" w:lineRule="auto"/>
              <w:jc w:val="center"/>
              <w:rPr>
                <w:color w:val="000000"/>
              </w:rPr>
            </w:pPr>
            <w:r w:rsidRPr="002A0E56">
              <w:rPr>
                <w:color w:val="000000"/>
              </w:rPr>
              <w:t>17b</w:t>
            </w:r>
            <w:r w:rsidR="00DD3CBA" w:rsidRPr="002A0E56">
              <w:rPr>
                <w:color w:val="000000"/>
              </w:rPr>
              <w:t>**</w:t>
            </w:r>
          </w:p>
        </w:tc>
        <w:tc>
          <w:tcPr>
            <w:tcW w:w="3390" w:type="dxa"/>
            <w:shd w:val="clear" w:color="auto" w:fill="FBD4B4" w:themeFill="accent6" w:themeFillTint="66"/>
            <w:vAlign w:val="center"/>
            <w:hideMark/>
          </w:tcPr>
          <w:p w14:paraId="5F4476AD" w14:textId="77777777" w:rsidR="008C22A9" w:rsidRPr="002A0E56" w:rsidRDefault="008C22A9" w:rsidP="006A1D89">
            <w:pPr>
              <w:spacing w:line="276" w:lineRule="auto"/>
              <w:jc w:val="left"/>
              <w:rPr>
                <w:color w:val="000000"/>
              </w:rPr>
            </w:pPr>
            <w:r w:rsidRPr="002A0E56">
              <w:rPr>
                <w:color w:val="000000"/>
              </w:rPr>
              <w:t>NPI</w:t>
            </w:r>
          </w:p>
        </w:tc>
        <w:tc>
          <w:tcPr>
            <w:tcW w:w="3390" w:type="dxa"/>
            <w:shd w:val="clear" w:color="auto" w:fill="FBD4B4" w:themeFill="accent6" w:themeFillTint="66"/>
            <w:vAlign w:val="center"/>
            <w:hideMark/>
          </w:tcPr>
          <w:p w14:paraId="6089B4A5" w14:textId="77777777" w:rsidR="008C22A9" w:rsidRPr="002A0E56" w:rsidRDefault="008C22A9" w:rsidP="006A1D89">
            <w:pPr>
              <w:spacing w:line="276" w:lineRule="auto"/>
              <w:jc w:val="left"/>
              <w:rPr>
                <w:color w:val="000000"/>
              </w:rPr>
            </w:pPr>
            <w:r w:rsidRPr="002A0E56">
              <w:rPr>
                <w:color w:val="000000"/>
              </w:rPr>
              <w:t xml:space="preserve">Enter the </w:t>
            </w:r>
            <w:r w:rsidR="00DD3CBA" w:rsidRPr="002A0E56">
              <w:rPr>
                <w:color w:val="000000"/>
              </w:rPr>
              <w:t>National Provider Identifier (</w:t>
            </w:r>
            <w:r w:rsidRPr="002A0E56">
              <w:rPr>
                <w:color w:val="000000"/>
              </w:rPr>
              <w:t>NPI</w:t>
            </w:r>
            <w:r w:rsidR="00DD3CBA" w:rsidRPr="002A0E56">
              <w:rPr>
                <w:color w:val="000000"/>
              </w:rPr>
              <w:t>)</w:t>
            </w:r>
            <w:r w:rsidRPr="002A0E56">
              <w:rPr>
                <w:color w:val="000000"/>
              </w:rPr>
              <w:t xml:space="preserve"> number of referring or ordering provider</w:t>
            </w:r>
          </w:p>
        </w:tc>
      </w:tr>
      <w:tr w:rsidR="008C22A9" w:rsidRPr="002A0E56" w14:paraId="2E705704" w14:textId="77777777" w:rsidTr="00297EC1">
        <w:trPr>
          <w:trHeight w:val="630"/>
        </w:trPr>
        <w:tc>
          <w:tcPr>
            <w:tcW w:w="3390" w:type="dxa"/>
            <w:shd w:val="clear" w:color="auto" w:fill="FDE9D9" w:themeFill="accent6" w:themeFillTint="33"/>
            <w:vAlign w:val="center"/>
            <w:hideMark/>
          </w:tcPr>
          <w:p w14:paraId="5062E5C6" w14:textId="77777777" w:rsidR="008C22A9" w:rsidRPr="002A0E56" w:rsidRDefault="008C22A9" w:rsidP="00166537">
            <w:pPr>
              <w:spacing w:line="276" w:lineRule="auto"/>
              <w:jc w:val="center"/>
              <w:rPr>
                <w:color w:val="000000"/>
              </w:rPr>
            </w:pPr>
            <w:r w:rsidRPr="002A0E56">
              <w:rPr>
                <w:color w:val="000000"/>
              </w:rPr>
              <w:t>18</w:t>
            </w:r>
          </w:p>
        </w:tc>
        <w:tc>
          <w:tcPr>
            <w:tcW w:w="3390" w:type="dxa"/>
            <w:shd w:val="clear" w:color="auto" w:fill="FDE9D9" w:themeFill="accent6" w:themeFillTint="33"/>
            <w:vAlign w:val="center"/>
            <w:hideMark/>
          </w:tcPr>
          <w:p w14:paraId="7D15AE39" w14:textId="77777777" w:rsidR="008C22A9" w:rsidRPr="002A0E56" w:rsidRDefault="008C22A9" w:rsidP="006A1D89">
            <w:pPr>
              <w:spacing w:line="276" w:lineRule="auto"/>
              <w:jc w:val="left"/>
              <w:rPr>
                <w:color w:val="000000"/>
              </w:rPr>
            </w:pPr>
            <w:r w:rsidRPr="002A0E56">
              <w:rPr>
                <w:color w:val="000000"/>
              </w:rPr>
              <w:t>Hospitalization Dates</w:t>
            </w:r>
          </w:p>
        </w:tc>
        <w:tc>
          <w:tcPr>
            <w:tcW w:w="3390" w:type="dxa"/>
            <w:shd w:val="clear" w:color="auto" w:fill="FDE9D9" w:themeFill="accent6" w:themeFillTint="33"/>
            <w:vAlign w:val="center"/>
            <w:hideMark/>
          </w:tcPr>
          <w:p w14:paraId="43C9C3FB"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288D5FE1" w14:textId="77777777" w:rsidTr="00297EC1">
        <w:trPr>
          <w:trHeight w:val="630"/>
        </w:trPr>
        <w:tc>
          <w:tcPr>
            <w:tcW w:w="3390" w:type="dxa"/>
            <w:shd w:val="clear" w:color="auto" w:fill="FBD4B4" w:themeFill="accent6" w:themeFillTint="66"/>
            <w:vAlign w:val="center"/>
            <w:hideMark/>
          </w:tcPr>
          <w:p w14:paraId="26C6FE56" w14:textId="77777777" w:rsidR="008C22A9" w:rsidRPr="002A0E56" w:rsidRDefault="008C22A9" w:rsidP="00166537">
            <w:pPr>
              <w:spacing w:line="276" w:lineRule="auto"/>
              <w:jc w:val="center"/>
              <w:rPr>
                <w:color w:val="000000"/>
              </w:rPr>
            </w:pPr>
            <w:r w:rsidRPr="002A0E56">
              <w:rPr>
                <w:color w:val="000000"/>
              </w:rPr>
              <w:t>19</w:t>
            </w:r>
          </w:p>
        </w:tc>
        <w:tc>
          <w:tcPr>
            <w:tcW w:w="3390" w:type="dxa"/>
            <w:shd w:val="clear" w:color="auto" w:fill="FBD4B4" w:themeFill="accent6" w:themeFillTint="66"/>
            <w:vAlign w:val="center"/>
            <w:hideMark/>
          </w:tcPr>
          <w:p w14:paraId="3B17E077" w14:textId="77777777" w:rsidR="008C22A9" w:rsidRPr="002A0E56" w:rsidRDefault="008C22A9" w:rsidP="006A1D89">
            <w:pPr>
              <w:spacing w:line="276" w:lineRule="auto"/>
              <w:jc w:val="left"/>
              <w:rPr>
                <w:color w:val="000000"/>
              </w:rPr>
            </w:pPr>
            <w:r w:rsidRPr="002A0E56">
              <w:rPr>
                <w:color w:val="000000"/>
              </w:rPr>
              <w:t>Reserved for Local Use</w:t>
            </w:r>
          </w:p>
        </w:tc>
        <w:tc>
          <w:tcPr>
            <w:tcW w:w="3390" w:type="dxa"/>
            <w:shd w:val="clear" w:color="auto" w:fill="FBD4B4" w:themeFill="accent6" w:themeFillTint="66"/>
            <w:vAlign w:val="center"/>
            <w:hideMark/>
          </w:tcPr>
          <w:p w14:paraId="1E0B0A0D" w14:textId="77777777" w:rsidR="008C22A9" w:rsidRPr="002A0E56" w:rsidRDefault="008C22A9" w:rsidP="006A1D89">
            <w:pPr>
              <w:spacing w:line="276" w:lineRule="auto"/>
              <w:jc w:val="left"/>
              <w:rPr>
                <w:color w:val="000000"/>
              </w:rPr>
            </w:pPr>
            <w:r w:rsidRPr="002A0E56">
              <w:rPr>
                <w:color w:val="000000"/>
              </w:rPr>
              <w:t>Leave blank. Providers may use this field for additional remarks/descriptions.</w:t>
            </w:r>
          </w:p>
        </w:tc>
      </w:tr>
      <w:tr w:rsidR="008C22A9" w:rsidRPr="002A0E56" w14:paraId="2A229DF0" w14:textId="77777777" w:rsidTr="00297EC1">
        <w:trPr>
          <w:trHeight w:val="945"/>
        </w:trPr>
        <w:tc>
          <w:tcPr>
            <w:tcW w:w="3390" w:type="dxa"/>
            <w:shd w:val="clear" w:color="auto" w:fill="FDE9D9" w:themeFill="accent6" w:themeFillTint="33"/>
            <w:vAlign w:val="center"/>
            <w:hideMark/>
          </w:tcPr>
          <w:p w14:paraId="52A3F555" w14:textId="77777777" w:rsidR="008C22A9" w:rsidRPr="002A0E56" w:rsidRDefault="008C22A9" w:rsidP="00166537">
            <w:pPr>
              <w:spacing w:line="276" w:lineRule="auto"/>
              <w:jc w:val="center"/>
              <w:rPr>
                <w:color w:val="000000"/>
              </w:rPr>
            </w:pPr>
            <w:r w:rsidRPr="002A0E56">
              <w:rPr>
                <w:color w:val="000000"/>
              </w:rPr>
              <w:t>20</w:t>
            </w:r>
          </w:p>
        </w:tc>
        <w:tc>
          <w:tcPr>
            <w:tcW w:w="3390" w:type="dxa"/>
            <w:shd w:val="clear" w:color="auto" w:fill="FDE9D9" w:themeFill="accent6" w:themeFillTint="33"/>
            <w:vAlign w:val="center"/>
            <w:hideMark/>
          </w:tcPr>
          <w:p w14:paraId="7707995D" w14:textId="77777777" w:rsidR="008C22A9" w:rsidRPr="002A0E56" w:rsidRDefault="008C22A9" w:rsidP="006A1D89">
            <w:pPr>
              <w:spacing w:line="276" w:lineRule="auto"/>
              <w:jc w:val="left"/>
              <w:rPr>
                <w:color w:val="000000"/>
              </w:rPr>
            </w:pPr>
            <w:r w:rsidRPr="002A0E56">
              <w:rPr>
                <w:color w:val="000000"/>
              </w:rPr>
              <w:t>Lab Work Performed Outside Office</w:t>
            </w:r>
          </w:p>
        </w:tc>
        <w:tc>
          <w:tcPr>
            <w:tcW w:w="3390" w:type="dxa"/>
            <w:shd w:val="clear" w:color="auto" w:fill="FDE9D9" w:themeFill="accent6" w:themeFillTint="33"/>
            <w:vAlign w:val="center"/>
            <w:hideMark/>
          </w:tcPr>
          <w:p w14:paraId="79937CAB"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00832CD2" w14:textId="77777777" w:rsidTr="00AF51BA">
        <w:trPr>
          <w:cantSplit/>
          <w:trHeight w:val="1260"/>
        </w:trPr>
        <w:tc>
          <w:tcPr>
            <w:tcW w:w="3390" w:type="dxa"/>
            <w:shd w:val="clear" w:color="auto" w:fill="FBD4B4" w:themeFill="accent6" w:themeFillTint="66"/>
            <w:vAlign w:val="center"/>
            <w:hideMark/>
          </w:tcPr>
          <w:p w14:paraId="0D11D6BC" w14:textId="77777777" w:rsidR="008C22A9" w:rsidRPr="002A0E56" w:rsidRDefault="008C22A9" w:rsidP="00166537">
            <w:pPr>
              <w:spacing w:line="276" w:lineRule="auto"/>
              <w:jc w:val="center"/>
              <w:rPr>
                <w:color w:val="000000"/>
              </w:rPr>
            </w:pPr>
            <w:r w:rsidRPr="002A0E56">
              <w:rPr>
                <w:color w:val="000000"/>
              </w:rPr>
              <w:t>21</w:t>
            </w:r>
            <w:r w:rsidR="00DD3CBA" w:rsidRPr="002A0E56">
              <w:rPr>
                <w:color w:val="000000"/>
              </w:rPr>
              <w:t>*</w:t>
            </w:r>
          </w:p>
        </w:tc>
        <w:tc>
          <w:tcPr>
            <w:tcW w:w="3390" w:type="dxa"/>
            <w:shd w:val="clear" w:color="auto" w:fill="FBD4B4" w:themeFill="accent6" w:themeFillTint="66"/>
            <w:vAlign w:val="center"/>
            <w:hideMark/>
          </w:tcPr>
          <w:p w14:paraId="006795E9" w14:textId="77777777" w:rsidR="008C22A9" w:rsidRPr="002A0E56" w:rsidRDefault="008C22A9" w:rsidP="006A1D89">
            <w:pPr>
              <w:spacing w:line="276" w:lineRule="auto"/>
              <w:jc w:val="left"/>
              <w:rPr>
                <w:color w:val="000000"/>
              </w:rPr>
            </w:pPr>
            <w:r w:rsidRPr="002A0E56">
              <w:rPr>
                <w:color w:val="000000"/>
              </w:rPr>
              <w:t>Diagnosis</w:t>
            </w:r>
          </w:p>
        </w:tc>
        <w:tc>
          <w:tcPr>
            <w:tcW w:w="3390" w:type="dxa"/>
            <w:shd w:val="clear" w:color="auto" w:fill="FBD4B4" w:themeFill="accent6" w:themeFillTint="66"/>
            <w:vAlign w:val="center"/>
            <w:hideMark/>
          </w:tcPr>
          <w:p w14:paraId="20EEB42F" w14:textId="77777777" w:rsidR="008C22A9" w:rsidRPr="002A0E56" w:rsidRDefault="008C22A9" w:rsidP="006A1D89">
            <w:pPr>
              <w:spacing w:line="276" w:lineRule="auto"/>
              <w:jc w:val="left"/>
              <w:rPr>
                <w:color w:val="000000"/>
              </w:rPr>
            </w:pPr>
            <w:r w:rsidRPr="002A0E56">
              <w:rPr>
                <w:color w:val="000000"/>
              </w:rPr>
              <w:t>Enter the complete current International Classification of Diseases-Clinical Modification (ICD-CM) diagnosis code(s). Enter the primary diagnosis under No. 1, the secondary diagnosis under No. 2, etc.</w:t>
            </w:r>
          </w:p>
        </w:tc>
      </w:tr>
      <w:tr w:rsidR="008C22A9" w:rsidRPr="002A0E56" w14:paraId="25717382" w14:textId="77777777" w:rsidTr="00297EC1">
        <w:trPr>
          <w:trHeight w:val="1575"/>
        </w:trPr>
        <w:tc>
          <w:tcPr>
            <w:tcW w:w="3390" w:type="dxa"/>
            <w:shd w:val="clear" w:color="auto" w:fill="FDE9D9" w:themeFill="accent6" w:themeFillTint="33"/>
            <w:vAlign w:val="center"/>
            <w:hideMark/>
          </w:tcPr>
          <w:p w14:paraId="435B2990" w14:textId="77777777" w:rsidR="008C22A9" w:rsidRPr="002A0E56" w:rsidRDefault="008C22A9" w:rsidP="00166537">
            <w:pPr>
              <w:spacing w:line="276" w:lineRule="auto"/>
              <w:jc w:val="center"/>
              <w:rPr>
                <w:color w:val="000000"/>
              </w:rPr>
            </w:pPr>
            <w:r w:rsidRPr="002A0E56">
              <w:rPr>
                <w:color w:val="000000"/>
              </w:rPr>
              <w:t>22</w:t>
            </w:r>
            <w:r w:rsidR="00DD3CBA" w:rsidRPr="002A0E56">
              <w:rPr>
                <w:color w:val="000000"/>
              </w:rPr>
              <w:t>**</w:t>
            </w:r>
          </w:p>
        </w:tc>
        <w:tc>
          <w:tcPr>
            <w:tcW w:w="3390" w:type="dxa"/>
            <w:shd w:val="clear" w:color="auto" w:fill="FDE9D9" w:themeFill="accent6" w:themeFillTint="33"/>
            <w:vAlign w:val="center"/>
            <w:hideMark/>
          </w:tcPr>
          <w:p w14:paraId="1B5658C6" w14:textId="77777777" w:rsidR="008C22A9" w:rsidRPr="002A0E56" w:rsidRDefault="008C22A9" w:rsidP="006A1D89">
            <w:pPr>
              <w:spacing w:line="276" w:lineRule="auto"/>
              <w:jc w:val="left"/>
              <w:rPr>
                <w:color w:val="000000"/>
              </w:rPr>
            </w:pPr>
            <w:r w:rsidRPr="002A0E56">
              <w:rPr>
                <w:color w:val="000000"/>
              </w:rPr>
              <w:t>Medicaid Resubmission</w:t>
            </w:r>
          </w:p>
        </w:tc>
        <w:tc>
          <w:tcPr>
            <w:tcW w:w="3390" w:type="dxa"/>
            <w:shd w:val="clear" w:color="auto" w:fill="FDE9D9" w:themeFill="accent6" w:themeFillTint="33"/>
            <w:vAlign w:val="center"/>
            <w:hideMark/>
          </w:tcPr>
          <w:p w14:paraId="5A98729A" w14:textId="77777777" w:rsidR="008C22A9" w:rsidRPr="002A0E56" w:rsidRDefault="008C22A9" w:rsidP="006A1D89">
            <w:pPr>
              <w:spacing w:line="276" w:lineRule="auto"/>
              <w:jc w:val="left"/>
              <w:rPr>
                <w:color w:val="000000"/>
              </w:rPr>
            </w:pPr>
            <w:r w:rsidRPr="002A0E56">
              <w:rPr>
                <w:color w:val="000000"/>
              </w:rPr>
              <w:t>For timely filing purposes, if this is a resubmitted claim, enter the Internal Control Number (ICN) of the previous related claim or attach a copy of the original Remittance Advice indicating the claim was initially submitted timely</w:t>
            </w:r>
          </w:p>
        </w:tc>
      </w:tr>
      <w:tr w:rsidR="008C22A9" w:rsidRPr="002A0E56" w14:paraId="16461F54" w14:textId="77777777" w:rsidTr="00297EC1">
        <w:trPr>
          <w:trHeight w:val="945"/>
        </w:trPr>
        <w:tc>
          <w:tcPr>
            <w:tcW w:w="3390" w:type="dxa"/>
            <w:shd w:val="clear" w:color="auto" w:fill="FBD4B4" w:themeFill="accent6" w:themeFillTint="66"/>
            <w:vAlign w:val="center"/>
            <w:hideMark/>
          </w:tcPr>
          <w:p w14:paraId="0C691BD8" w14:textId="77777777" w:rsidR="008C22A9" w:rsidRPr="002A0E56" w:rsidRDefault="008C22A9" w:rsidP="00166537">
            <w:pPr>
              <w:spacing w:line="276" w:lineRule="auto"/>
              <w:jc w:val="center"/>
              <w:rPr>
                <w:color w:val="000000"/>
              </w:rPr>
            </w:pPr>
            <w:r w:rsidRPr="002A0E56">
              <w:rPr>
                <w:color w:val="000000"/>
              </w:rPr>
              <w:t>23</w:t>
            </w:r>
          </w:p>
        </w:tc>
        <w:tc>
          <w:tcPr>
            <w:tcW w:w="3390" w:type="dxa"/>
            <w:shd w:val="clear" w:color="auto" w:fill="FBD4B4" w:themeFill="accent6" w:themeFillTint="66"/>
            <w:vAlign w:val="center"/>
            <w:hideMark/>
          </w:tcPr>
          <w:p w14:paraId="375DEA3D" w14:textId="77777777" w:rsidR="008C22A9" w:rsidRPr="002A0E56" w:rsidRDefault="008C22A9" w:rsidP="006A1D89">
            <w:pPr>
              <w:spacing w:line="276" w:lineRule="auto"/>
              <w:jc w:val="left"/>
              <w:rPr>
                <w:color w:val="000000"/>
              </w:rPr>
            </w:pPr>
            <w:r w:rsidRPr="002A0E56">
              <w:rPr>
                <w:color w:val="000000"/>
              </w:rPr>
              <w:t>Prior Authorization Number</w:t>
            </w:r>
          </w:p>
        </w:tc>
        <w:tc>
          <w:tcPr>
            <w:tcW w:w="3390" w:type="dxa"/>
            <w:shd w:val="clear" w:color="auto" w:fill="FBD4B4" w:themeFill="accent6" w:themeFillTint="66"/>
            <w:vAlign w:val="center"/>
            <w:hideMark/>
          </w:tcPr>
          <w:p w14:paraId="28EFE58D" w14:textId="77777777" w:rsidR="008C22A9" w:rsidRPr="002A0E56" w:rsidRDefault="008C22A9" w:rsidP="006A1D89">
            <w:pPr>
              <w:spacing w:line="276" w:lineRule="auto"/>
              <w:jc w:val="left"/>
              <w:rPr>
                <w:color w:val="000000"/>
              </w:rPr>
            </w:pPr>
            <w:r w:rsidRPr="002A0E56">
              <w:rPr>
                <w:color w:val="000000"/>
              </w:rPr>
              <w:t>Leave blank</w:t>
            </w:r>
          </w:p>
        </w:tc>
      </w:tr>
      <w:tr w:rsidR="00D43B8C" w:rsidRPr="002A0E56" w14:paraId="2E89B308" w14:textId="77777777" w:rsidTr="00297EC1">
        <w:trPr>
          <w:cantSplit/>
          <w:trHeight w:val="4480"/>
        </w:trPr>
        <w:tc>
          <w:tcPr>
            <w:tcW w:w="3390" w:type="dxa"/>
            <w:shd w:val="clear" w:color="auto" w:fill="FDE9D9" w:themeFill="accent6" w:themeFillTint="33"/>
            <w:vAlign w:val="center"/>
            <w:hideMark/>
          </w:tcPr>
          <w:p w14:paraId="1B2C8979" w14:textId="77777777" w:rsidR="00D43B8C" w:rsidRPr="002A0E56" w:rsidRDefault="00D43B8C" w:rsidP="00297EC1">
            <w:pPr>
              <w:spacing w:line="276" w:lineRule="auto"/>
              <w:jc w:val="center"/>
              <w:rPr>
                <w:color w:val="000000"/>
              </w:rPr>
            </w:pPr>
            <w:r w:rsidRPr="002A0E56">
              <w:rPr>
                <w:color w:val="000000"/>
              </w:rPr>
              <w:t>24a*</w:t>
            </w:r>
          </w:p>
        </w:tc>
        <w:tc>
          <w:tcPr>
            <w:tcW w:w="3390" w:type="dxa"/>
            <w:shd w:val="clear" w:color="auto" w:fill="FDE9D9" w:themeFill="accent6" w:themeFillTint="33"/>
            <w:vAlign w:val="center"/>
            <w:hideMark/>
          </w:tcPr>
          <w:p w14:paraId="19B2935E" w14:textId="77777777" w:rsidR="00D43B8C" w:rsidRPr="002A0E56" w:rsidRDefault="00D43B8C" w:rsidP="00297EC1">
            <w:pPr>
              <w:spacing w:line="276" w:lineRule="auto"/>
              <w:jc w:val="left"/>
              <w:rPr>
                <w:color w:val="000000"/>
              </w:rPr>
            </w:pPr>
            <w:r w:rsidRPr="002A0E56">
              <w:rPr>
                <w:color w:val="000000"/>
              </w:rPr>
              <w:t>Date of Service</w:t>
            </w:r>
          </w:p>
          <w:p w14:paraId="16A2A407" w14:textId="72CC33EB" w:rsidR="00D43B8C" w:rsidRPr="002A0E56" w:rsidRDefault="00D43B8C" w:rsidP="00297EC1">
            <w:pPr>
              <w:spacing w:line="276" w:lineRule="auto"/>
              <w:jc w:val="left"/>
              <w:rPr>
                <w:color w:val="000000"/>
              </w:rPr>
            </w:pPr>
            <w:r w:rsidRPr="002A0E56">
              <w:rPr>
                <w:color w:val="000000"/>
              </w:rPr>
              <w:t> </w:t>
            </w:r>
          </w:p>
        </w:tc>
        <w:tc>
          <w:tcPr>
            <w:tcW w:w="3390" w:type="dxa"/>
            <w:shd w:val="clear" w:color="auto" w:fill="FDE9D9" w:themeFill="accent6" w:themeFillTint="33"/>
            <w:vAlign w:val="center"/>
            <w:hideMark/>
          </w:tcPr>
          <w:p w14:paraId="67779190" w14:textId="12602ED3" w:rsidR="00D43B8C" w:rsidRPr="002A0E56" w:rsidRDefault="00D43B8C" w:rsidP="006A1D89">
            <w:pPr>
              <w:spacing w:line="276" w:lineRule="auto"/>
              <w:jc w:val="left"/>
              <w:rPr>
                <w:color w:val="000000"/>
              </w:rPr>
            </w:pPr>
            <w:r w:rsidRPr="002A0E56">
              <w:rPr>
                <w:color w:val="000000"/>
              </w:rPr>
              <w:t xml:space="preserve">Enter the date(s) of service under </w:t>
            </w:r>
            <w:r>
              <w:rPr>
                <w:color w:val="000000"/>
              </w:rPr>
              <w:t>“</w:t>
            </w:r>
            <w:r w:rsidRPr="002A0E56">
              <w:rPr>
                <w:color w:val="000000"/>
              </w:rPr>
              <w:t>from</w:t>
            </w:r>
            <w:r>
              <w:rPr>
                <w:color w:val="000000"/>
              </w:rPr>
              <w:t>”</w:t>
            </w:r>
            <w:r w:rsidRPr="002A0E56">
              <w:rPr>
                <w:color w:val="000000"/>
              </w:rPr>
              <w:t xml:space="preserve"> in month/day/year format, using six (6)-digit format in the unshaded area of the field. All line items </w:t>
            </w:r>
            <w:r w:rsidRPr="002A0E56">
              <w:rPr>
                <w:iCs/>
              </w:rPr>
              <w:t>must</w:t>
            </w:r>
            <w:r w:rsidRPr="002A0E56">
              <w:t xml:space="preserve"> </w:t>
            </w:r>
            <w:r w:rsidRPr="002A0E56">
              <w:rPr>
                <w:color w:val="000000"/>
              </w:rPr>
              <w:t>have a from date.</w:t>
            </w:r>
          </w:p>
          <w:p w14:paraId="787B5570" w14:textId="71183453" w:rsidR="00D43B8C" w:rsidRPr="002A0E56" w:rsidRDefault="00D43B8C" w:rsidP="006A1D89">
            <w:pPr>
              <w:spacing w:line="276" w:lineRule="auto"/>
              <w:jc w:val="left"/>
              <w:rPr>
                <w:color w:val="000000"/>
              </w:rPr>
            </w:pPr>
            <w:r w:rsidRPr="002A0E56">
              <w:rPr>
                <w:color w:val="000000"/>
              </w:rPr>
              <w:t xml:space="preserve">The six (6) service lines have been divided to accommodate submission of both the NPI and another/proprietary identifier during the NPI transition and to accommodate the submission of supplemental information to support the billed service.  The top area of the service lines </w:t>
            </w:r>
            <w:proofErr w:type="gramStart"/>
            <w:r w:rsidRPr="002A0E56">
              <w:rPr>
                <w:color w:val="000000"/>
              </w:rPr>
              <w:t>are</w:t>
            </w:r>
            <w:proofErr w:type="gramEnd"/>
            <w:r w:rsidRPr="002A0E56">
              <w:rPr>
                <w:color w:val="000000"/>
              </w:rPr>
              <w:t xml:space="preserve"> shaded and is the location for reporting supplemental information.  It is not intended to allow the billing of 12 lines of service.</w:t>
            </w:r>
          </w:p>
        </w:tc>
      </w:tr>
      <w:tr w:rsidR="008C22A9" w:rsidRPr="002A0E56" w14:paraId="2C040974" w14:textId="77777777" w:rsidTr="00297EC1">
        <w:trPr>
          <w:trHeight w:val="630"/>
        </w:trPr>
        <w:tc>
          <w:tcPr>
            <w:tcW w:w="3390" w:type="dxa"/>
            <w:shd w:val="clear" w:color="auto" w:fill="FBD4B4" w:themeFill="accent6" w:themeFillTint="66"/>
            <w:vAlign w:val="center"/>
            <w:hideMark/>
          </w:tcPr>
          <w:p w14:paraId="6FE6670A" w14:textId="77777777" w:rsidR="008C22A9" w:rsidRPr="002A0E56" w:rsidRDefault="008C22A9" w:rsidP="00166537">
            <w:pPr>
              <w:spacing w:line="276" w:lineRule="auto"/>
              <w:jc w:val="center"/>
              <w:rPr>
                <w:color w:val="000000"/>
              </w:rPr>
            </w:pPr>
            <w:r w:rsidRPr="002A0E56">
              <w:rPr>
                <w:color w:val="000000"/>
              </w:rPr>
              <w:t>24b</w:t>
            </w:r>
            <w:r w:rsidR="00DD3CBA" w:rsidRPr="002A0E56">
              <w:rPr>
                <w:color w:val="000000"/>
              </w:rPr>
              <w:t>*</w:t>
            </w:r>
          </w:p>
        </w:tc>
        <w:tc>
          <w:tcPr>
            <w:tcW w:w="3390" w:type="dxa"/>
            <w:shd w:val="clear" w:color="auto" w:fill="FBD4B4" w:themeFill="accent6" w:themeFillTint="66"/>
            <w:vAlign w:val="center"/>
            <w:hideMark/>
          </w:tcPr>
          <w:p w14:paraId="750BCC43" w14:textId="77777777" w:rsidR="008C22A9" w:rsidRPr="002A0E56" w:rsidRDefault="008C22A9" w:rsidP="006A1D89">
            <w:pPr>
              <w:spacing w:line="276" w:lineRule="auto"/>
              <w:jc w:val="left"/>
              <w:rPr>
                <w:color w:val="000000"/>
              </w:rPr>
            </w:pPr>
            <w:r w:rsidRPr="002A0E56">
              <w:rPr>
                <w:color w:val="000000"/>
              </w:rPr>
              <w:t>Place of Service</w:t>
            </w:r>
          </w:p>
        </w:tc>
        <w:tc>
          <w:tcPr>
            <w:tcW w:w="3390" w:type="dxa"/>
            <w:shd w:val="clear" w:color="auto" w:fill="FBD4B4" w:themeFill="accent6" w:themeFillTint="66"/>
            <w:vAlign w:val="center"/>
            <w:hideMark/>
          </w:tcPr>
          <w:p w14:paraId="19BB721B" w14:textId="77777777" w:rsidR="008C22A9" w:rsidRDefault="008C22A9" w:rsidP="006A1D89">
            <w:pPr>
              <w:spacing w:line="276" w:lineRule="auto"/>
              <w:jc w:val="left"/>
              <w:rPr>
                <w:color w:val="000000"/>
              </w:rPr>
            </w:pPr>
            <w:r w:rsidRPr="002A0E56">
              <w:rPr>
                <w:color w:val="000000"/>
              </w:rPr>
              <w:t xml:space="preserve"> </w:t>
            </w:r>
            <w:r w:rsidR="0096513B" w:rsidRPr="002A0E56">
              <w:rPr>
                <w:color w:val="000000"/>
              </w:rPr>
              <w:t>Home</w:t>
            </w:r>
            <w:r w:rsidR="00205254">
              <w:rPr>
                <w:color w:val="000000"/>
              </w:rPr>
              <w:t xml:space="preserve"> (12)</w:t>
            </w:r>
          </w:p>
          <w:p w14:paraId="60A81A41" w14:textId="36F56C49" w:rsidR="00354574" w:rsidRPr="002A0E56" w:rsidRDefault="00354574" w:rsidP="006A1D89">
            <w:pPr>
              <w:spacing w:line="276" w:lineRule="auto"/>
              <w:jc w:val="left"/>
              <w:rPr>
                <w:color w:val="000000"/>
              </w:rPr>
            </w:pPr>
            <w:r>
              <w:rPr>
                <w:color w:val="000000"/>
              </w:rPr>
              <w:t xml:space="preserve">Refer to the </w:t>
            </w:r>
            <w:hyperlink r:id="rId65" w:history="1">
              <w:r w:rsidRPr="00406F43">
                <w:rPr>
                  <w:rStyle w:val="Hyperlink"/>
                </w:rPr>
                <w:t>General Sections Manual</w:t>
              </w:r>
            </w:hyperlink>
            <w:r>
              <w:rPr>
                <w:color w:val="000000"/>
              </w:rPr>
              <w:t xml:space="preserve"> for more information on place of service POS codes.</w:t>
            </w:r>
          </w:p>
        </w:tc>
      </w:tr>
      <w:tr w:rsidR="008C22A9" w:rsidRPr="002A0E56" w14:paraId="77EDB266" w14:textId="77777777" w:rsidTr="00297EC1">
        <w:trPr>
          <w:trHeight w:val="630"/>
        </w:trPr>
        <w:tc>
          <w:tcPr>
            <w:tcW w:w="3390" w:type="dxa"/>
            <w:shd w:val="clear" w:color="auto" w:fill="FDE9D9" w:themeFill="accent6" w:themeFillTint="33"/>
            <w:vAlign w:val="center"/>
            <w:hideMark/>
          </w:tcPr>
          <w:p w14:paraId="31EB78D0" w14:textId="77777777" w:rsidR="008C22A9" w:rsidRPr="002A0E56" w:rsidRDefault="008C22A9" w:rsidP="00166537">
            <w:pPr>
              <w:spacing w:line="276" w:lineRule="auto"/>
              <w:jc w:val="center"/>
              <w:rPr>
                <w:color w:val="000000"/>
              </w:rPr>
            </w:pPr>
            <w:r w:rsidRPr="002A0E56">
              <w:rPr>
                <w:color w:val="000000"/>
              </w:rPr>
              <w:t>24c</w:t>
            </w:r>
          </w:p>
        </w:tc>
        <w:tc>
          <w:tcPr>
            <w:tcW w:w="3390" w:type="dxa"/>
            <w:shd w:val="clear" w:color="auto" w:fill="FDE9D9" w:themeFill="accent6" w:themeFillTint="33"/>
            <w:vAlign w:val="center"/>
            <w:hideMark/>
          </w:tcPr>
          <w:p w14:paraId="31869CF4" w14:textId="77777777" w:rsidR="008C22A9" w:rsidRPr="002A0E56" w:rsidRDefault="008C22A9" w:rsidP="006A1D89">
            <w:pPr>
              <w:spacing w:line="276" w:lineRule="auto"/>
              <w:jc w:val="left"/>
              <w:rPr>
                <w:color w:val="000000"/>
              </w:rPr>
            </w:pPr>
            <w:r w:rsidRPr="002A0E56">
              <w:rPr>
                <w:color w:val="000000"/>
              </w:rPr>
              <w:t>EMG-Emergency</w:t>
            </w:r>
          </w:p>
        </w:tc>
        <w:tc>
          <w:tcPr>
            <w:tcW w:w="3390" w:type="dxa"/>
            <w:shd w:val="clear" w:color="auto" w:fill="FDE9D9" w:themeFill="accent6" w:themeFillTint="33"/>
            <w:vAlign w:val="center"/>
            <w:hideMark/>
          </w:tcPr>
          <w:p w14:paraId="14400ADE"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36724A08" w14:textId="77777777" w:rsidTr="00297EC1">
        <w:trPr>
          <w:cantSplit/>
          <w:trHeight w:val="1890"/>
        </w:trPr>
        <w:tc>
          <w:tcPr>
            <w:tcW w:w="3390" w:type="dxa"/>
            <w:shd w:val="clear" w:color="auto" w:fill="FBD4B4" w:themeFill="accent6" w:themeFillTint="66"/>
            <w:vAlign w:val="center"/>
            <w:hideMark/>
          </w:tcPr>
          <w:p w14:paraId="74E1E564" w14:textId="77777777" w:rsidR="008C22A9" w:rsidRPr="002A0E56" w:rsidRDefault="008C22A9" w:rsidP="00166537">
            <w:pPr>
              <w:spacing w:line="276" w:lineRule="auto"/>
              <w:jc w:val="center"/>
              <w:rPr>
                <w:color w:val="000000"/>
              </w:rPr>
            </w:pPr>
            <w:r w:rsidRPr="002A0E56">
              <w:rPr>
                <w:color w:val="000000"/>
              </w:rPr>
              <w:t>24d</w:t>
            </w:r>
            <w:r w:rsidR="00DD3CBA" w:rsidRPr="002A0E56">
              <w:rPr>
                <w:color w:val="000000"/>
              </w:rPr>
              <w:t>*</w:t>
            </w:r>
          </w:p>
        </w:tc>
        <w:tc>
          <w:tcPr>
            <w:tcW w:w="3390" w:type="dxa"/>
            <w:shd w:val="clear" w:color="auto" w:fill="FBD4B4" w:themeFill="accent6" w:themeFillTint="66"/>
            <w:vAlign w:val="center"/>
            <w:hideMark/>
          </w:tcPr>
          <w:p w14:paraId="192A34BA" w14:textId="77777777" w:rsidR="008C22A9" w:rsidRPr="002A0E56" w:rsidRDefault="008C22A9" w:rsidP="006A1D89">
            <w:pPr>
              <w:spacing w:line="276" w:lineRule="auto"/>
              <w:jc w:val="left"/>
              <w:rPr>
                <w:color w:val="000000"/>
              </w:rPr>
            </w:pPr>
            <w:r w:rsidRPr="002A0E56">
              <w:rPr>
                <w:color w:val="000000"/>
              </w:rPr>
              <w:t>Procedure Code</w:t>
            </w:r>
          </w:p>
        </w:tc>
        <w:tc>
          <w:tcPr>
            <w:tcW w:w="3390" w:type="dxa"/>
            <w:shd w:val="clear" w:color="auto" w:fill="FBD4B4" w:themeFill="accent6" w:themeFillTint="66"/>
            <w:vAlign w:val="center"/>
            <w:hideMark/>
          </w:tcPr>
          <w:p w14:paraId="03357FBE" w14:textId="02F2DF28" w:rsidR="008C22A9" w:rsidRPr="002A0E56" w:rsidRDefault="008C22A9" w:rsidP="006A1D89">
            <w:pPr>
              <w:spacing w:line="276" w:lineRule="auto"/>
              <w:jc w:val="left"/>
              <w:rPr>
                <w:color w:val="000000"/>
              </w:rPr>
            </w:pPr>
            <w:r w:rsidRPr="002A0E56">
              <w:rPr>
                <w:color w:val="000000"/>
              </w:rPr>
              <w:t xml:space="preserve">Enter the appropriate </w:t>
            </w:r>
            <w:r w:rsidR="00DD3CBA" w:rsidRPr="002A0E56">
              <w:rPr>
                <w:color w:val="000000"/>
              </w:rPr>
              <w:t>Current Procedural Terminology (</w:t>
            </w:r>
            <w:r w:rsidRPr="002A0E56">
              <w:rPr>
                <w:color w:val="000000"/>
              </w:rPr>
              <w:t>CPT</w:t>
            </w:r>
            <w:r w:rsidR="00DD3CBA" w:rsidRPr="002A0E56">
              <w:rPr>
                <w:color w:val="000000"/>
              </w:rPr>
              <w:t>)</w:t>
            </w:r>
            <w:r w:rsidRPr="002A0E56">
              <w:rPr>
                <w:color w:val="000000"/>
              </w:rPr>
              <w:t xml:space="preserve"> or </w:t>
            </w:r>
            <w:r w:rsidR="00DD3CBA" w:rsidRPr="002A0E56">
              <w:rPr>
                <w:color w:val="000000"/>
              </w:rPr>
              <w:t>Healthcare Common Procedure Coding System (</w:t>
            </w:r>
            <w:r w:rsidRPr="002A0E56">
              <w:rPr>
                <w:color w:val="000000"/>
              </w:rPr>
              <w:t>HCPCS</w:t>
            </w:r>
            <w:r w:rsidR="00DD3CBA" w:rsidRPr="002A0E56">
              <w:rPr>
                <w:color w:val="000000"/>
              </w:rPr>
              <w:t>)</w:t>
            </w:r>
            <w:r w:rsidRPr="002A0E56">
              <w:rPr>
                <w:color w:val="000000"/>
              </w:rPr>
              <w:t xml:space="preserve"> code and applicable modifiers, if any, corresponding to the service rendered in the unshaded area of the field.  </w:t>
            </w:r>
            <w:r w:rsidRPr="002A0E56">
              <w:t xml:space="preserve">Description of the service is required for </w:t>
            </w:r>
            <w:r w:rsidR="00354574">
              <w:t>DME</w:t>
            </w:r>
            <w:r w:rsidRPr="002A0E56">
              <w:t xml:space="preserve"> providers.</w:t>
            </w:r>
            <w:r w:rsidRPr="002A0E56">
              <w:rPr>
                <w:color w:val="000000"/>
              </w:rPr>
              <w:t xml:space="preserve"> (Field 19 may be used for remarks or descriptions.)</w:t>
            </w:r>
          </w:p>
        </w:tc>
      </w:tr>
      <w:tr w:rsidR="008C22A9" w:rsidRPr="002A0E56" w14:paraId="1C3748B2" w14:textId="77777777" w:rsidTr="00297EC1">
        <w:trPr>
          <w:trHeight w:val="630"/>
        </w:trPr>
        <w:tc>
          <w:tcPr>
            <w:tcW w:w="3390" w:type="dxa"/>
            <w:shd w:val="clear" w:color="auto" w:fill="FDE9D9" w:themeFill="accent6" w:themeFillTint="33"/>
            <w:vAlign w:val="center"/>
            <w:hideMark/>
          </w:tcPr>
          <w:p w14:paraId="598EDC9D" w14:textId="77777777" w:rsidR="008C22A9" w:rsidRPr="002A0E56" w:rsidRDefault="008C22A9" w:rsidP="00166537">
            <w:pPr>
              <w:spacing w:line="276" w:lineRule="auto"/>
              <w:jc w:val="center"/>
              <w:rPr>
                <w:color w:val="000000"/>
              </w:rPr>
            </w:pPr>
            <w:r w:rsidRPr="002A0E56">
              <w:rPr>
                <w:color w:val="000000"/>
              </w:rPr>
              <w:t>24e</w:t>
            </w:r>
            <w:r w:rsidR="00DD3CBA" w:rsidRPr="002A0E56">
              <w:rPr>
                <w:color w:val="000000"/>
              </w:rPr>
              <w:t>*</w:t>
            </w:r>
          </w:p>
        </w:tc>
        <w:tc>
          <w:tcPr>
            <w:tcW w:w="3390" w:type="dxa"/>
            <w:shd w:val="clear" w:color="auto" w:fill="FDE9D9" w:themeFill="accent6" w:themeFillTint="33"/>
            <w:vAlign w:val="center"/>
            <w:hideMark/>
          </w:tcPr>
          <w:p w14:paraId="58B25D5B" w14:textId="77777777" w:rsidR="008C22A9" w:rsidRPr="002A0E56" w:rsidRDefault="008C22A9" w:rsidP="006A1D89">
            <w:pPr>
              <w:spacing w:line="276" w:lineRule="auto"/>
              <w:jc w:val="left"/>
              <w:rPr>
                <w:color w:val="000000"/>
              </w:rPr>
            </w:pPr>
            <w:r w:rsidRPr="002A0E56">
              <w:rPr>
                <w:color w:val="000000"/>
              </w:rPr>
              <w:t>Diagnosis Pointer</w:t>
            </w:r>
          </w:p>
        </w:tc>
        <w:tc>
          <w:tcPr>
            <w:tcW w:w="3390" w:type="dxa"/>
            <w:shd w:val="clear" w:color="auto" w:fill="FDE9D9" w:themeFill="accent6" w:themeFillTint="33"/>
            <w:vAlign w:val="center"/>
            <w:hideMark/>
          </w:tcPr>
          <w:p w14:paraId="4DB46298" w14:textId="1177361C" w:rsidR="008C22A9" w:rsidRPr="002A0E56" w:rsidRDefault="008C22A9" w:rsidP="006A1D89">
            <w:pPr>
              <w:spacing w:line="276" w:lineRule="auto"/>
              <w:jc w:val="left"/>
              <w:rPr>
                <w:color w:val="000000"/>
              </w:rPr>
            </w:pPr>
            <w:r w:rsidRPr="002A0E56">
              <w:rPr>
                <w:color w:val="000000"/>
              </w:rPr>
              <w:t>Enter 1, 2, 3, 4 or the actual diagnosis code(s) from Field 21 in the unshaded are</w:t>
            </w:r>
            <w:r w:rsidR="00354574">
              <w:rPr>
                <w:color w:val="000000"/>
              </w:rPr>
              <w:t>a</w:t>
            </w:r>
            <w:r w:rsidRPr="002A0E56">
              <w:rPr>
                <w:color w:val="000000"/>
              </w:rPr>
              <w:t xml:space="preserve"> of the field</w:t>
            </w:r>
          </w:p>
        </w:tc>
      </w:tr>
      <w:tr w:rsidR="008C22A9" w:rsidRPr="002A0E56" w14:paraId="69E7AC19" w14:textId="77777777" w:rsidTr="00297EC1">
        <w:trPr>
          <w:trHeight w:val="1260"/>
        </w:trPr>
        <w:tc>
          <w:tcPr>
            <w:tcW w:w="3390" w:type="dxa"/>
            <w:shd w:val="clear" w:color="auto" w:fill="FBD4B4" w:themeFill="accent6" w:themeFillTint="66"/>
            <w:vAlign w:val="center"/>
            <w:hideMark/>
          </w:tcPr>
          <w:p w14:paraId="0FECA896" w14:textId="77777777" w:rsidR="008C22A9" w:rsidRPr="002A0E56" w:rsidRDefault="008C22A9" w:rsidP="00166537">
            <w:pPr>
              <w:spacing w:line="276" w:lineRule="auto"/>
              <w:jc w:val="center"/>
              <w:rPr>
                <w:color w:val="000000"/>
              </w:rPr>
            </w:pPr>
            <w:r w:rsidRPr="002A0E56">
              <w:rPr>
                <w:color w:val="000000"/>
              </w:rPr>
              <w:t>*24f</w:t>
            </w:r>
          </w:p>
        </w:tc>
        <w:tc>
          <w:tcPr>
            <w:tcW w:w="3390" w:type="dxa"/>
            <w:shd w:val="clear" w:color="auto" w:fill="FBD4B4" w:themeFill="accent6" w:themeFillTint="66"/>
            <w:vAlign w:val="center"/>
            <w:hideMark/>
          </w:tcPr>
          <w:p w14:paraId="050C46C1" w14:textId="77777777" w:rsidR="008C22A9" w:rsidRPr="002A0E56" w:rsidRDefault="008C22A9" w:rsidP="006A1D89">
            <w:pPr>
              <w:spacing w:line="276" w:lineRule="auto"/>
              <w:jc w:val="left"/>
              <w:rPr>
                <w:color w:val="000000"/>
              </w:rPr>
            </w:pPr>
            <w:r w:rsidRPr="002A0E56">
              <w:rPr>
                <w:color w:val="000000"/>
              </w:rPr>
              <w:t>Charges</w:t>
            </w:r>
          </w:p>
        </w:tc>
        <w:tc>
          <w:tcPr>
            <w:tcW w:w="3390" w:type="dxa"/>
            <w:shd w:val="clear" w:color="auto" w:fill="FBD4B4" w:themeFill="accent6" w:themeFillTint="66"/>
            <w:vAlign w:val="center"/>
            <w:hideMark/>
          </w:tcPr>
          <w:p w14:paraId="43031FCC" w14:textId="5F92C534" w:rsidR="008C22A9" w:rsidRPr="002A0E56" w:rsidRDefault="008C22A9" w:rsidP="006A1D89">
            <w:pPr>
              <w:spacing w:line="276" w:lineRule="auto"/>
              <w:jc w:val="left"/>
              <w:rPr>
                <w:color w:val="000000"/>
              </w:rPr>
            </w:pPr>
            <w:r w:rsidRPr="002A0E56">
              <w:rPr>
                <w:color w:val="000000"/>
              </w:rPr>
              <w:t>Enter the provider’s charge for each line item in the unshaded area of the field. This should be the total charge if multiple days or units are shown.</w:t>
            </w:r>
          </w:p>
        </w:tc>
      </w:tr>
      <w:tr w:rsidR="008C22A9" w:rsidRPr="002A0E56" w14:paraId="71E0D001" w14:textId="77777777" w:rsidTr="00297EC1">
        <w:trPr>
          <w:trHeight w:val="945"/>
        </w:trPr>
        <w:tc>
          <w:tcPr>
            <w:tcW w:w="3390" w:type="dxa"/>
            <w:shd w:val="clear" w:color="auto" w:fill="FDE9D9" w:themeFill="accent6" w:themeFillTint="33"/>
            <w:vAlign w:val="center"/>
            <w:hideMark/>
          </w:tcPr>
          <w:p w14:paraId="77C236DC" w14:textId="77777777" w:rsidR="008C22A9" w:rsidRPr="002A0E56" w:rsidRDefault="008C22A9" w:rsidP="00166537">
            <w:pPr>
              <w:spacing w:line="276" w:lineRule="auto"/>
              <w:jc w:val="center"/>
              <w:rPr>
                <w:color w:val="000000"/>
              </w:rPr>
            </w:pPr>
            <w:r w:rsidRPr="002A0E56">
              <w:rPr>
                <w:color w:val="000000"/>
              </w:rPr>
              <w:t>24g</w:t>
            </w:r>
            <w:r w:rsidR="00DD3CBA" w:rsidRPr="002A0E56">
              <w:rPr>
                <w:color w:val="000000"/>
              </w:rPr>
              <w:t>*</w:t>
            </w:r>
          </w:p>
        </w:tc>
        <w:tc>
          <w:tcPr>
            <w:tcW w:w="3390" w:type="dxa"/>
            <w:shd w:val="clear" w:color="auto" w:fill="FDE9D9" w:themeFill="accent6" w:themeFillTint="33"/>
            <w:vAlign w:val="center"/>
            <w:hideMark/>
          </w:tcPr>
          <w:p w14:paraId="70BF98D2" w14:textId="77777777" w:rsidR="008C22A9" w:rsidRPr="002A0E56" w:rsidRDefault="008C22A9" w:rsidP="006A1D89">
            <w:pPr>
              <w:spacing w:line="276" w:lineRule="auto"/>
              <w:jc w:val="left"/>
              <w:rPr>
                <w:color w:val="000000"/>
              </w:rPr>
            </w:pPr>
            <w:r w:rsidRPr="002A0E56">
              <w:rPr>
                <w:color w:val="000000"/>
              </w:rPr>
              <w:t>Days or Units</w:t>
            </w:r>
          </w:p>
        </w:tc>
        <w:tc>
          <w:tcPr>
            <w:tcW w:w="3390" w:type="dxa"/>
            <w:shd w:val="clear" w:color="auto" w:fill="FDE9D9" w:themeFill="accent6" w:themeFillTint="33"/>
            <w:vAlign w:val="center"/>
            <w:hideMark/>
          </w:tcPr>
          <w:p w14:paraId="015696B8" w14:textId="1DD254EE" w:rsidR="008C22A9" w:rsidRPr="002A0E56" w:rsidRDefault="008C22A9" w:rsidP="006A1D89">
            <w:pPr>
              <w:spacing w:line="276" w:lineRule="auto"/>
              <w:jc w:val="left"/>
              <w:rPr>
                <w:color w:val="000000"/>
              </w:rPr>
            </w:pPr>
            <w:r w:rsidRPr="002A0E56">
              <w:rPr>
                <w:color w:val="000000"/>
              </w:rPr>
              <w:t xml:space="preserve">Enter the number of days or units of service provided for each detail line in the unshaded area of the field. The system automatically plugs a </w:t>
            </w:r>
            <w:r w:rsidR="00A52137">
              <w:rPr>
                <w:color w:val="000000"/>
              </w:rPr>
              <w:t>“1”</w:t>
            </w:r>
            <w:r w:rsidRPr="002A0E56">
              <w:rPr>
                <w:color w:val="000000"/>
              </w:rPr>
              <w:t xml:space="preserve"> if the field is left blank.</w:t>
            </w:r>
          </w:p>
        </w:tc>
      </w:tr>
      <w:tr w:rsidR="008C22A9" w:rsidRPr="002A0E56" w14:paraId="4B708485" w14:textId="77777777" w:rsidTr="00297EC1">
        <w:trPr>
          <w:cantSplit/>
          <w:trHeight w:val="1260"/>
        </w:trPr>
        <w:tc>
          <w:tcPr>
            <w:tcW w:w="3390" w:type="dxa"/>
            <w:shd w:val="clear" w:color="auto" w:fill="FBD4B4" w:themeFill="accent6" w:themeFillTint="66"/>
            <w:vAlign w:val="center"/>
            <w:hideMark/>
          </w:tcPr>
          <w:p w14:paraId="5898BB49" w14:textId="77777777" w:rsidR="008C22A9" w:rsidRPr="002A0E56" w:rsidRDefault="008C22A9" w:rsidP="00166537">
            <w:pPr>
              <w:spacing w:line="276" w:lineRule="auto"/>
              <w:jc w:val="center"/>
              <w:rPr>
                <w:color w:val="000000"/>
              </w:rPr>
            </w:pPr>
            <w:r w:rsidRPr="002A0E56">
              <w:rPr>
                <w:color w:val="000000"/>
              </w:rPr>
              <w:t>24h</w:t>
            </w:r>
            <w:r w:rsidR="00DD3CBA" w:rsidRPr="002A0E56">
              <w:rPr>
                <w:color w:val="000000"/>
              </w:rPr>
              <w:t>**</w:t>
            </w:r>
          </w:p>
        </w:tc>
        <w:tc>
          <w:tcPr>
            <w:tcW w:w="3390" w:type="dxa"/>
            <w:shd w:val="clear" w:color="auto" w:fill="FBD4B4" w:themeFill="accent6" w:themeFillTint="66"/>
            <w:vAlign w:val="center"/>
            <w:hideMark/>
          </w:tcPr>
          <w:p w14:paraId="7655CDBC" w14:textId="77777777" w:rsidR="008C22A9" w:rsidRPr="002A0E56" w:rsidRDefault="008C22A9" w:rsidP="006A1D89">
            <w:pPr>
              <w:spacing w:line="276" w:lineRule="auto"/>
              <w:jc w:val="left"/>
              <w:rPr>
                <w:color w:val="000000"/>
              </w:rPr>
            </w:pPr>
            <w:r w:rsidRPr="002A0E56">
              <w:rPr>
                <w:color w:val="000000"/>
              </w:rPr>
              <w:t>EPSDT/Family Planning</w:t>
            </w:r>
          </w:p>
        </w:tc>
        <w:tc>
          <w:tcPr>
            <w:tcW w:w="3390" w:type="dxa"/>
            <w:shd w:val="clear" w:color="auto" w:fill="FBD4B4" w:themeFill="accent6" w:themeFillTint="66"/>
            <w:vAlign w:val="center"/>
            <w:hideMark/>
          </w:tcPr>
          <w:p w14:paraId="4D8E3530" w14:textId="2DFFDD66" w:rsidR="008C22A9" w:rsidRDefault="008C22A9" w:rsidP="006A1D89">
            <w:pPr>
              <w:spacing w:line="276" w:lineRule="auto"/>
              <w:jc w:val="left"/>
              <w:rPr>
                <w:color w:val="000000"/>
              </w:rPr>
            </w:pPr>
            <w:r w:rsidRPr="002A0E56">
              <w:t xml:space="preserve">If the service is an </w:t>
            </w:r>
            <w:r w:rsidR="00DD3CBA" w:rsidRPr="002A0E56">
              <w:t>Early and Periodic Screening, Diagnostic and Treatment (</w:t>
            </w:r>
            <w:r w:rsidRPr="002A0E56">
              <w:t>EPSDT</w:t>
            </w:r>
            <w:r w:rsidR="00DD3CBA" w:rsidRPr="002A0E56">
              <w:t>)</w:t>
            </w:r>
            <w:r w:rsidRPr="002A0E56">
              <w:t>/</w:t>
            </w:r>
            <w:r w:rsidR="00DD3CBA" w:rsidRPr="002A0E56">
              <w:t>Healthy Children and Youth (</w:t>
            </w:r>
            <w:r w:rsidRPr="002A0E56">
              <w:t>HCY</w:t>
            </w:r>
            <w:r w:rsidR="00DD3CBA" w:rsidRPr="002A0E56">
              <w:t>)</w:t>
            </w:r>
            <w:r w:rsidRPr="002A0E56">
              <w:rPr>
                <w:color w:val="000000"/>
              </w:rPr>
              <w:t xml:space="preserve"> screening service or referral, enter </w:t>
            </w:r>
            <w:r w:rsidR="00A52137">
              <w:rPr>
                <w:color w:val="000000"/>
              </w:rPr>
              <w:t>“</w:t>
            </w:r>
            <w:r w:rsidRPr="002A0E56">
              <w:rPr>
                <w:color w:val="000000"/>
              </w:rPr>
              <w:t>E</w:t>
            </w:r>
            <w:r w:rsidR="00A52137">
              <w:rPr>
                <w:color w:val="000000"/>
              </w:rPr>
              <w:t>”.</w:t>
            </w:r>
            <w:r w:rsidRPr="002A0E56">
              <w:rPr>
                <w:color w:val="000000"/>
              </w:rPr>
              <w:t xml:space="preserve">  If the service is family planning related, enter </w:t>
            </w:r>
            <w:r w:rsidR="00A52137">
              <w:rPr>
                <w:color w:val="000000"/>
              </w:rPr>
              <w:t>“F”.</w:t>
            </w:r>
            <w:r w:rsidRPr="002A0E56">
              <w:rPr>
                <w:color w:val="000000"/>
              </w:rPr>
              <w:t xml:space="preserve">  If the service is both a</w:t>
            </w:r>
            <w:r w:rsidR="00354574">
              <w:rPr>
                <w:color w:val="000000"/>
              </w:rPr>
              <w:t xml:space="preserve"> </w:t>
            </w:r>
            <w:r w:rsidRPr="002A0E56">
              <w:rPr>
                <w:color w:val="000000"/>
              </w:rPr>
              <w:t xml:space="preserve">HCY and Family Planning enter </w:t>
            </w:r>
            <w:r w:rsidR="00A52137">
              <w:rPr>
                <w:color w:val="000000"/>
              </w:rPr>
              <w:t>“B”.</w:t>
            </w:r>
          </w:p>
          <w:p w14:paraId="54C2ACEB" w14:textId="0FA900C2" w:rsidR="00354574" w:rsidRPr="002A0E56" w:rsidRDefault="00354574" w:rsidP="006A1D89">
            <w:pPr>
              <w:spacing w:line="276" w:lineRule="auto"/>
              <w:jc w:val="left"/>
              <w:rPr>
                <w:color w:val="800000"/>
              </w:rPr>
            </w:pPr>
            <w:r w:rsidRPr="00D8111A">
              <w:t xml:space="preserve">Refer to </w:t>
            </w:r>
            <w:r w:rsidRPr="00406F43">
              <w:rPr>
                <w:rStyle w:val="Hyperlink"/>
              </w:rPr>
              <w:t xml:space="preserve">the </w:t>
            </w:r>
            <w:hyperlink r:id="rId66" w:history="1">
              <w:r w:rsidRPr="00406F43">
                <w:rPr>
                  <w:rStyle w:val="Hyperlink"/>
                </w:rPr>
                <w:t>H</w:t>
              </w:r>
              <w:r w:rsidR="003A66CF" w:rsidRPr="00406F43">
                <w:rPr>
                  <w:rStyle w:val="Hyperlink"/>
                </w:rPr>
                <w:t xml:space="preserve">ealthy </w:t>
              </w:r>
              <w:r w:rsidRPr="00406F43">
                <w:rPr>
                  <w:rStyle w:val="Hyperlink"/>
                </w:rPr>
                <w:t>C</w:t>
              </w:r>
              <w:r w:rsidR="003A66CF" w:rsidRPr="00406F43">
                <w:rPr>
                  <w:rStyle w:val="Hyperlink"/>
                </w:rPr>
                <w:t xml:space="preserve">hildren and </w:t>
              </w:r>
              <w:r w:rsidRPr="00406F43">
                <w:rPr>
                  <w:rStyle w:val="Hyperlink"/>
                </w:rPr>
                <w:t>Y</w:t>
              </w:r>
              <w:r w:rsidR="003A66CF" w:rsidRPr="00406F43">
                <w:rPr>
                  <w:rStyle w:val="Hyperlink"/>
                </w:rPr>
                <w:t>outh</w:t>
              </w:r>
              <w:r w:rsidRPr="00406F43">
                <w:rPr>
                  <w:rStyle w:val="Hyperlink"/>
                </w:rPr>
                <w:t xml:space="preserve"> Provider Manual</w:t>
              </w:r>
            </w:hyperlink>
            <w:r w:rsidRPr="00D8111A">
              <w:t xml:space="preserve"> for more information. </w:t>
            </w:r>
          </w:p>
        </w:tc>
      </w:tr>
      <w:tr w:rsidR="008C22A9" w:rsidRPr="002A0E56" w14:paraId="3EA006DA" w14:textId="77777777" w:rsidTr="00297EC1">
        <w:trPr>
          <w:trHeight w:val="945"/>
        </w:trPr>
        <w:tc>
          <w:tcPr>
            <w:tcW w:w="3390" w:type="dxa"/>
            <w:shd w:val="clear" w:color="auto" w:fill="FDE9D9" w:themeFill="accent6" w:themeFillTint="33"/>
            <w:vAlign w:val="center"/>
            <w:hideMark/>
          </w:tcPr>
          <w:p w14:paraId="3698B14B" w14:textId="77777777" w:rsidR="008C22A9" w:rsidRPr="002A0E56" w:rsidRDefault="008C22A9" w:rsidP="00166537">
            <w:pPr>
              <w:spacing w:line="276" w:lineRule="auto"/>
              <w:jc w:val="center"/>
              <w:rPr>
                <w:color w:val="000000"/>
              </w:rPr>
            </w:pPr>
            <w:r w:rsidRPr="002A0E56">
              <w:rPr>
                <w:color w:val="000000"/>
              </w:rPr>
              <w:t>24i</w:t>
            </w:r>
            <w:r w:rsidR="004C46F4" w:rsidRPr="002A0E56">
              <w:rPr>
                <w:color w:val="000000"/>
              </w:rPr>
              <w:t>**</w:t>
            </w:r>
          </w:p>
        </w:tc>
        <w:tc>
          <w:tcPr>
            <w:tcW w:w="3390" w:type="dxa"/>
            <w:shd w:val="clear" w:color="auto" w:fill="FDE9D9" w:themeFill="accent6" w:themeFillTint="33"/>
            <w:vAlign w:val="center"/>
            <w:hideMark/>
          </w:tcPr>
          <w:p w14:paraId="1AD64EF5" w14:textId="77777777" w:rsidR="008C22A9" w:rsidRPr="002A0E56" w:rsidRDefault="008C22A9" w:rsidP="006A1D89">
            <w:pPr>
              <w:spacing w:line="276" w:lineRule="auto"/>
              <w:jc w:val="left"/>
              <w:rPr>
                <w:color w:val="000000"/>
              </w:rPr>
            </w:pPr>
            <w:r w:rsidRPr="002A0E56">
              <w:rPr>
                <w:color w:val="000000"/>
              </w:rPr>
              <w:t>ID Qualifier</w:t>
            </w:r>
          </w:p>
        </w:tc>
        <w:tc>
          <w:tcPr>
            <w:tcW w:w="3390" w:type="dxa"/>
            <w:shd w:val="clear" w:color="auto" w:fill="FDE9D9" w:themeFill="accent6" w:themeFillTint="33"/>
            <w:vAlign w:val="center"/>
            <w:hideMark/>
          </w:tcPr>
          <w:p w14:paraId="2A9FD623" w14:textId="39879BD9" w:rsidR="008C22A9" w:rsidRPr="002A0E56" w:rsidRDefault="008C22A9" w:rsidP="006A1D89">
            <w:pPr>
              <w:spacing w:line="276" w:lineRule="auto"/>
              <w:jc w:val="left"/>
              <w:rPr>
                <w:color w:val="000000"/>
              </w:rPr>
            </w:pPr>
            <w:r w:rsidRPr="002A0E56">
              <w:rPr>
                <w:color w:val="000000"/>
              </w:rPr>
              <w:t xml:space="preserve">Enter the Provider Taxonomy qualifier </w:t>
            </w:r>
            <w:r w:rsidR="00A52137">
              <w:rPr>
                <w:color w:val="000000"/>
              </w:rPr>
              <w:t>“</w:t>
            </w:r>
            <w:r w:rsidRPr="002A0E56">
              <w:rPr>
                <w:color w:val="000000"/>
              </w:rPr>
              <w:t>ZZ</w:t>
            </w:r>
            <w:r w:rsidR="00A52137">
              <w:rPr>
                <w:color w:val="000000"/>
              </w:rPr>
              <w:t>”</w:t>
            </w:r>
            <w:r w:rsidRPr="002A0E56">
              <w:rPr>
                <w:color w:val="000000"/>
              </w:rPr>
              <w:t xml:space="preserve"> in the shaded area if the rendering provider is required to report a Provider Taxonomy Code to </w:t>
            </w:r>
            <w:r w:rsidR="00DA08F4">
              <w:rPr>
                <w:color w:val="000000"/>
              </w:rPr>
              <w:t>M</w:t>
            </w:r>
            <w:r w:rsidR="00354574">
              <w:rPr>
                <w:color w:val="000000"/>
              </w:rPr>
              <w:t>HD</w:t>
            </w:r>
            <w:r w:rsidRPr="002A0E56">
              <w:rPr>
                <w:color w:val="000000"/>
              </w:rPr>
              <w:t>.</w:t>
            </w:r>
          </w:p>
          <w:p w14:paraId="50E6BAFB" w14:textId="77777777" w:rsidR="004C46F4" w:rsidRPr="002A0E56" w:rsidRDefault="004C46F4" w:rsidP="006A1D89">
            <w:pPr>
              <w:spacing w:line="276" w:lineRule="auto"/>
              <w:jc w:val="left"/>
              <w:rPr>
                <w:color w:val="000000"/>
              </w:rPr>
            </w:pPr>
            <w:r w:rsidRPr="002A0E56">
              <w:rPr>
                <w:color w:val="000000"/>
              </w:rPr>
              <w:t>A provider taxonomy code must be reported if providers have one (1) NPI for multiple legacy MO HealthNet provider numbers.</w:t>
            </w:r>
          </w:p>
        </w:tc>
      </w:tr>
      <w:tr w:rsidR="00D43B8C" w:rsidRPr="002A0E56" w14:paraId="1824B0E6" w14:textId="77777777" w:rsidTr="00297EC1">
        <w:trPr>
          <w:trHeight w:val="1916"/>
        </w:trPr>
        <w:tc>
          <w:tcPr>
            <w:tcW w:w="3390" w:type="dxa"/>
            <w:shd w:val="clear" w:color="auto" w:fill="FBD4B4" w:themeFill="accent6" w:themeFillTint="66"/>
            <w:vAlign w:val="center"/>
            <w:hideMark/>
          </w:tcPr>
          <w:p w14:paraId="1C33A09B" w14:textId="77777777" w:rsidR="00D43B8C" w:rsidRPr="002A0E56" w:rsidRDefault="00D43B8C" w:rsidP="00166537">
            <w:pPr>
              <w:spacing w:line="276" w:lineRule="auto"/>
              <w:jc w:val="center"/>
              <w:rPr>
                <w:color w:val="000000"/>
              </w:rPr>
            </w:pPr>
            <w:r w:rsidRPr="002A0E56">
              <w:rPr>
                <w:color w:val="000000"/>
              </w:rPr>
              <w:t>24j**</w:t>
            </w:r>
          </w:p>
        </w:tc>
        <w:tc>
          <w:tcPr>
            <w:tcW w:w="3390" w:type="dxa"/>
            <w:shd w:val="clear" w:color="auto" w:fill="FBD4B4" w:themeFill="accent6" w:themeFillTint="66"/>
            <w:vAlign w:val="center"/>
            <w:hideMark/>
          </w:tcPr>
          <w:p w14:paraId="03A511C2" w14:textId="77777777" w:rsidR="00D43B8C" w:rsidRPr="002A0E56" w:rsidRDefault="00D43B8C" w:rsidP="006A1D89">
            <w:pPr>
              <w:spacing w:line="276" w:lineRule="auto"/>
              <w:jc w:val="left"/>
              <w:rPr>
                <w:color w:val="000000"/>
              </w:rPr>
            </w:pPr>
            <w:r w:rsidRPr="002A0E56">
              <w:rPr>
                <w:color w:val="000000"/>
              </w:rPr>
              <w:t>Rendering Provider ID</w:t>
            </w:r>
          </w:p>
        </w:tc>
        <w:tc>
          <w:tcPr>
            <w:tcW w:w="3390" w:type="dxa"/>
            <w:shd w:val="clear" w:color="auto" w:fill="FBD4B4" w:themeFill="accent6" w:themeFillTint="66"/>
            <w:vAlign w:val="center"/>
            <w:hideMark/>
          </w:tcPr>
          <w:p w14:paraId="3BD9D651" w14:textId="2272A701" w:rsidR="00D43B8C" w:rsidRPr="002A0E56" w:rsidRDefault="00D43B8C" w:rsidP="006A1D89">
            <w:pPr>
              <w:spacing w:line="276" w:lineRule="auto"/>
              <w:jc w:val="left"/>
              <w:rPr>
                <w:color w:val="000000"/>
              </w:rPr>
            </w:pPr>
            <w:r w:rsidRPr="002A0E56">
              <w:rPr>
                <w:color w:val="000000"/>
              </w:rPr>
              <w:t xml:space="preserve">If the Provider Taxonomy qualifier was reported in </w:t>
            </w:r>
            <w:r>
              <w:rPr>
                <w:color w:val="000000"/>
              </w:rPr>
              <w:t xml:space="preserve">Field </w:t>
            </w:r>
            <w:r w:rsidRPr="002A0E56">
              <w:rPr>
                <w:color w:val="000000"/>
              </w:rPr>
              <w:t>24i</w:t>
            </w:r>
            <w:r>
              <w:rPr>
                <w:color w:val="000000"/>
              </w:rPr>
              <w:t>,</w:t>
            </w:r>
            <w:r w:rsidRPr="002A0E56">
              <w:rPr>
                <w:color w:val="000000"/>
              </w:rPr>
              <w:t xml:space="preserve"> enter the 10-digit Provider Taxonomy Code in the shaded area. </w:t>
            </w:r>
          </w:p>
          <w:p w14:paraId="6EA702D6" w14:textId="24F014A7" w:rsidR="00D43B8C" w:rsidRPr="002A0E56" w:rsidRDefault="00D43B8C" w:rsidP="006A1D89">
            <w:pPr>
              <w:spacing w:line="276" w:lineRule="auto"/>
              <w:jc w:val="left"/>
              <w:rPr>
                <w:color w:val="000000"/>
              </w:rPr>
            </w:pPr>
            <w:r w:rsidRPr="002A0E56">
              <w:rPr>
                <w:color w:val="000000"/>
              </w:rPr>
              <w:t>Enter the 10-digit NPI of the individual rendering the service in the unshaded area</w:t>
            </w:r>
          </w:p>
        </w:tc>
      </w:tr>
      <w:tr w:rsidR="008C22A9" w:rsidRPr="002A0E56" w14:paraId="07CAEE58" w14:textId="77777777" w:rsidTr="00AF51BA">
        <w:trPr>
          <w:cantSplit/>
          <w:trHeight w:val="945"/>
        </w:trPr>
        <w:tc>
          <w:tcPr>
            <w:tcW w:w="3390" w:type="dxa"/>
            <w:shd w:val="clear" w:color="auto" w:fill="FDE9D9" w:themeFill="accent6" w:themeFillTint="33"/>
            <w:vAlign w:val="center"/>
            <w:hideMark/>
          </w:tcPr>
          <w:p w14:paraId="42BBD18F" w14:textId="77777777" w:rsidR="008C22A9" w:rsidRPr="002A0E56" w:rsidRDefault="008C22A9" w:rsidP="00166537">
            <w:pPr>
              <w:spacing w:line="276" w:lineRule="auto"/>
              <w:jc w:val="center"/>
              <w:rPr>
                <w:color w:val="000000"/>
              </w:rPr>
            </w:pPr>
            <w:r w:rsidRPr="002A0E56">
              <w:rPr>
                <w:color w:val="000000"/>
              </w:rPr>
              <w:t>25</w:t>
            </w:r>
          </w:p>
        </w:tc>
        <w:tc>
          <w:tcPr>
            <w:tcW w:w="3390" w:type="dxa"/>
            <w:shd w:val="clear" w:color="auto" w:fill="FDE9D9" w:themeFill="accent6" w:themeFillTint="33"/>
            <w:vAlign w:val="center"/>
            <w:hideMark/>
          </w:tcPr>
          <w:p w14:paraId="3A632102" w14:textId="77777777" w:rsidR="008C22A9" w:rsidRPr="002A0E56" w:rsidRDefault="008C22A9" w:rsidP="006A1D89">
            <w:pPr>
              <w:spacing w:line="276" w:lineRule="auto"/>
              <w:jc w:val="left"/>
              <w:rPr>
                <w:color w:val="000000"/>
              </w:rPr>
            </w:pPr>
            <w:r w:rsidRPr="002A0E56">
              <w:rPr>
                <w:color w:val="000000"/>
              </w:rPr>
              <w:t>Federal Tax ID Number (SSN #/EIN#)</w:t>
            </w:r>
          </w:p>
        </w:tc>
        <w:tc>
          <w:tcPr>
            <w:tcW w:w="3390" w:type="dxa"/>
            <w:shd w:val="clear" w:color="auto" w:fill="FDE9D9" w:themeFill="accent6" w:themeFillTint="33"/>
            <w:vAlign w:val="center"/>
            <w:hideMark/>
          </w:tcPr>
          <w:p w14:paraId="07F61D33"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71F32731" w14:textId="77777777" w:rsidTr="00297EC1">
        <w:trPr>
          <w:trHeight w:val="630"/>
        </w:trPr>
        <w:tc>
          <w:tcPr>
            <w:tcW w:w="3390" w:type="dxa"/>
            <w:shd w:val="clear" w:color="auto" w:fill="FBD4B4" w:themeFill="accent6" w:themeFillTint="66"/>
            <w:vAlign w:val="center"/>
            <w:hideMark/>
          </w:tcPr>
          <w:p w14:paraId="0F265E05" w14:textId="77777777" w:rsidR="008C22A9" w:rsidRPr="002A0E56" w:rsidRDefault="008C22A9" w:rsidP="00166537">
            <w:pPr>
              <w:spacing w:line="276" w:lineRule="auto"/>
              <w:jc w:val="center"/>
              <w:rPr>
                <w:color w:val="000000"/>
              </w:rPr>
            </w:pPr>
            <w:r w:rsidRPr="002A0E56">
              <w:rPr>
                <w:color w:val="000000"/>
              </w:rPr>
              <w:t>26</w:t>
            </w:r>
          </w:p>
        </w:tc>
        <w:tc>
          <w:tcPr>
            <w:tcW w:w="3390" w:type="dxa"/>
            <w:shd w:val="clear" w:color="auto" w:fill="FBD4B4" w:themeFill="accent6" w:themeFillTint="66"/>
            <w:vAlign w:val="center"/>
            <w:hideMark/>
          </w:tcPr>
          <w:p w14:paraId="4DF19432" w14:textId="77777777" w:rsidR="008C22A9" w:rsidRPr="002A0E56" w:rsidRDefault="008C22A9" w:rsidP="006A1D89">
            <w:pPr>
              <w:spacing w:line="276" w:lineRule="auto"/>
              <w:jc w:val="left"/>
              <w:rPr>
                <w:color w:val="000000"/>
              </w:rPr>
            </w:pPr>
            <w:r w:rsidRPr="002A0E56">
              <w:rPr>
                <w:color w:val="000000"/>
              </w:rPr>
              <w:t>Patient Account Number</w:t>
            </w:r>
          </w:p>
        </w:tc>
        <w:tc>
          <w:tcPr>
            <w:tcW w:w="3390" w:type="dxa"/>
            <w:shd w:val="clear" w:color="auto" w:fill="FBD4B4" w:themeFill="accent6" w:themeFillTint="66"/>
            <w:vAlign w:val="center"/>
            <w:hideMark/>
          </w:tcPr>
          <w:p w14:paraId="47CF2CB6" w14:textId="77777777" w:rsidR="008C22A9" w:rsidRPr="002A0E56" w:rsidRDefault="008C22A9" w:rsidP="006A1D89">
            <w:pPr>
              <w:spacing w:line="276" w:lineRule="auto"/>
              <w:jc w:val="left"/>
              <w:rPr>
                <w:color w:val="000000"/>
              </w:rPr>
            </w:pPr>
            <w:r w:rsidRPr="002A0E56">
              <w:rPr>
                <w:color w:val="000000"/>
              </w:rPr>
              <w:t>For the provider’s own information, a maximum of 12 alpha and/or numeric characters may be entered here</w:t>
            </w:r>
          </w:p>
        </w:tc>
      </w:tr>
      <w:tr w:rsidR="008C22A9" w:rsidRPr="002A0E56" w14:paraId="4B6BE611" w14:textId="77777777" w:rsidTr="00297EC1">
        <w:trPr>
          <w:trHeight w:val="630"/>
        </w:trPr>
        <w:tc>
          <w:tcPr>
            <w:tcW w:w="3390" w:type="dxa"/>
            <w:shd w:val="clear" w:color="auto" w:fill="FDE9D9" w:themeFill="accent6" w:themeFillTint="33"/>
            <w:vAlign w:val="center"/>
            <w:hideMark/>
          </w:tcPr>
          <w:p w14:paraId="18338448" w14:textId="77777777" w:rsidR="008C22A9" w:rsidRPr="002A0E56" w:rsidRDefault="008C22A9" w:rsidP="00166537">
            <w:pPr>
              <w:spacing w:line="276" w:lineRule="auto"/>
              <w:jc w:val="center"/>
              <w:rPr>
                <w:color w:val="000000"/>
              </w:rPr>
            </w:pPr>
            <w:r w:rsidRPr="002A0E56">
              <w:rPr>
                <w:color w:val="000000"/>
              </w:rPr>
              <w:t>27</w:t>
            </w:r>
          </w:p>
        </w:tc>
        <w:tc>
          <w:tcPr>
            <w:tcW w:w="3390" w:type="dxa"/>
            <w:shd w:val="clear" w:color="auto" w:fill="FDE9D9" w:themeFill="accent6" w:themeFillTint="33"/>
            <w:vAlign w:val="center"/>
            <w:hideMark/>
          </w:tcPr>
          <w:p w14:paraId="0B666CD7" w14:textId="77777777" w:rsidR="008C22A9" w:rsidRPr="002A0E56" w:rsidRDefault="008C22A9" w:rsidP="006A1D89">
            <w:pPr>
              <w:spacing w:line="276" w:lineRule="auto"/>
              <w:jc w:val="left"/>
              <w:rPr>
                <w:color w:val="000000"/>
              </w:rPr>
            </w:pPr>
            <w:r w:rsidRPr="002A0E56">
              <w:rPr>
                <w:color w:val="000000"/>
              </w:rPr>
              <w:t>Accept Assignment</w:t>
            </w:r>
          </w:p>
        </w:tc>
        <w:tc>
          <w:tcPr>
            <w:tcW w:w="3390" w:type="dxa"/>
            <w:shd w:val="clear" w:color="auto" w:fill="FDE9D9" w:themeFill="accent6" w:themeFillTint="33"/>
            <w:vAlign w:val="center"/>
            <w:hideMark/>
          </w:tcPr>
          <w:p w14:paraId="736A2DCC" w14:textId="29551DEA" w:rsidR="008C22A9" w:rsidRPr="002A0E56" w:rsidRDefault="008C22A9" w:rsidP="006A1D89">
            <w:pPr>
              <w:spacing w:line="276" w:lineRule="auto"/>
              <w:jc w:val="left"/>
              <w:rPr>
                <w:color w:val="000000"/>
              </w:rPr>
            </w:pPr>
            <w:r w:rsidRPr="002A0E56">
              <w:rPr>
                <w:color w:val="000000"/>
              </w:rPr>
              <w:t>Not required on M</w:t>
            </w:r>
            <w:r w:rsidR="00354574">
              <w:rPr>
                <w:color w:val="000000"/>
              </w:rPr>
              <w:t>HD</w:t>
            </w:r>
            <w:r w:rsidRPr="002A0E56">
              <w:rPr>
                <w:color w:val="000000"/>
              </w:rPr>
              <w:t xml:space="preserve"> claims</w:t>
            </w:r>
          </w:p>
        </w:tc>
      </w:tr>
      <w:tr w:rsidR="008C22A9" w:rsidRPr="002A0E56" w14:paraId="646E0762" w14:textId="77777777" w:rsidTr="00297EC1">
        <w:trPr>
          <w:trHeight w:val="315"/>
        </w:trPr>
        <w:tc>
          <w:tcPr>
            <w:tcW w:w="3390" w:type="dxa"/>
            <w:shd w:val="clear" w:color="auto" w:fill="FBD4B4" w:themeFill="accent6" w:themeFillTint="66"/>
            <w:vAlign w:val="center"/>
            <w:hideMark/>
          </w:tcPr>
          <w:p w14:paraId="0565F6DE" w14:textId="77777777" w:rsidR="008C22A9" w:rsidRPr="002A0E56" w:rsidRDefault="008C22A9" w:rsidP="00166537">
            <w:pPr>
              <w:spacing w:line="276" w:lineRule="auto"/>
              <w:jc w:val="center"/>
              <w:rPr>
                <w:color w:val="000000"/>
              </w:rPr>
            </w:pPr>
            <w:r w:rsidRPr="002A0E56">
              <w:rPr>
                <w:color w:val="000000"/>
              </w:rPr>
              <w:t>28</w:t>
            </w:r>
            <w:r w:rsidR="00DB7FF3" w:rsidRPr="002A0E56">
              <w:rPr>
                <w:color w:val="000000"/>
              </w:rPr>
              <w:t>*</w:t>
            </w:r>
          </w:p>
        </w:tc>
        <w:tc>
          <w:tcPr>
            <w:tcW w:w="3390" w:type="dxa"/>
            <w:shd w:val="clear" w:color="auto" w:fill="FBD4B4" w:themeFill="accent6" w:themeFillTint="66"/>
            <w:vAlign w:val="center"/>
            <w:hideMark/>
          </w:tcPr>
          <w:p w14:paraId="33BC4A36" w14:textId="77777777" w:rsidR="008C22A9" w:rsidRPr="002A0E56" w:rsidRDefault="008C22A9" w:rsidP="006A1D89">
            <w:pPr>
              <w:spacing w:line="276" w:lineRule="auto"/>
              <w:jc w:val="left"/>
              <w:rPr>
                <w:color w:val="000000"/>
              </w:rPr>
            </w:pPr>
            <w:r w:rsidRPr="002A0E56">
              <w:rPr>
                <w:color w:val="000000"/>
              </w:rPr>
              <w:t>Total Charge</w:t>
            </w:r>
          </w:p>
        </w:tc>
        <w:tc>
          <w:tcPr>
            <w:tcW w:w="3390" w:type="dxa"/>
            <w:shd w:val="clear" w:color="auto" w:fill="FBD4B4" w:themeFill="accent6" w:themeFillTint="66"/>
            <w:vAlign w:val="center"/>
            <w:hideMark/>
          </w:tcPr>
          <w:p w14:paraId="5977CFDC" w14:textId="77777777" w:rsidR="008C22A9" w:rsidRPr="002A0E56" w:rsidRDefault="008C22A9" w:rsidP="006A1D89">
            <w:pPr>
              <w:spacing w:line="276" w:lineRule="auto"/>
              <w:jc w:val="left"/>
              <w:rPr>
                <w:color w:val="000000"/>
              </w:rPr>
            </w:pPr>
            <w:r w:rsidRPr="002A0E56">
              <w:rPr>
                <w:color w:val="000000"/>
              </w:rPr>
              <w:t>Enter the sum of the line item charges</w:t>
            </w:r>
          </w:p>
        </w:tc>
      </w:tr>
      <w:tr w:rsidR="008C22A9" w:rsidRPr="002A0E56" w14:paraId="0BEE18D1" w14:textId="77777777" w:rsidTr="00297EC1">
        <w:trPr>
          <w:trHeight w:val="1260"/>
        </w:trPr>
        <w:tc>
          <w:tcPr>
            <w:tcW w:w="3390" w:type="dxa"/>
            <w:shd w:val="clear" w:color="auto" w:fill="FDE9D9" w:themeFill="accent6" w:themeFillTint="33"/>
            <w:vAlign w:val="center"/>
            <w:hideMark/>
          </w:tcPr>
          <w:p w14:paraId="6C1E19FC" w14:textId="77777777" w:rsidR="008C22A9" w:rsidRPr="002A0E56" w:rsidRDefault="008C22A9" w:rsidP="00166537">
            <w:pPr>
              <w:spacing w:line="276" w:lineRule="auto"/>
              <w:jc w:val="center"/>
              <w:rPr>
                <w:color w:val="000000"/>
              </w:rPr>
            </w:pPr>
            <w:r w:rsidRPr="002A0E56">
              <w:rPr>
                <w:color w:val="000000"/>
              </w:rPr>
              <w:t>29</w:t>
            </w:r>
          </w:p>
        </w:tc>
        <w:tc>
          <w:tcPr>
            <w:tcW w:w="3390" w:type="dxa"/>
            <w:shd w:val="clear" w:color="auto" w:fill="FDE9D9" w:themeFill="accent6" w:themeFillTint="33"/>
            <w:vAlign w:val="center"/>
            <w:hideMark/>
          </w:tcPr>
          <w:p w14:paraId="59D7BB27" w14:textId="77777777" w:rsidR="008C22A9" w:rsidRPr="002A0E56" w:rsidRDefault="008C22A9" w:rsidP="006A1D89">
            <w:pPr>
              <w:spacing w:line="276" w:lineRule="auto"/>
              <w:jc w:val="left"/>
              <w:rPr>
                <w:color w:val="000000"/>
              </w:rPr>
            </w:pPr>
            <w:r w:rsidRPr="002A0E56">
              <w:rPr>
                <w:color w:val="000000"/>
              </w:rPr>
              <w:t>Amount Paid</w:t>
            </w:r>
          </w:p>
        </w:tc>
        <w:tc>
          <w:tcPr>
            <w:tcW w:w="3390" w:type="dxa"/>
            <w:shd w:val="clear" w:color="auto" w:fill="FDE9D9" w:themeFill="accent6" w:themeFillTint="33"/>
            <w:vAlign w:val="center"/>
            <w:hideMark/>
          </w:tcPr>
          <w:p w14:paraId="4433A281" w14:textId="41696C48" w:rsidR="008C22A9" w:rsidRPr="002A0E56" w:rsidRDefault="008C22A9" w:rsidP="006A1D89">
            <w:pPr>
              <w:spacing w:line="276" w:lineRule="auto"/>
              <w:jc w:val="left"/>
              <w:rPr>
                <w:color w:val="000000"/>
              </w:rPr>
            </w:pPr>
            <w:r w:rsidRPr="002A0E56">
              <w:rPr>
                <w:color w:val="000000"/>
              </w:rPr>
              <w:t>Enter the total amount received by all other insurance resources.</w:t>
            </w:r>
            <w:r w:rsidRPr="002A0E56">
              <w:t xml:space="preserve"> Previous M</w:t>
            </w:r>
            <w:r w:rsidR="00354574">
              <w:t>HD</w:t>
            </w:r>
            <w:r w:rsidRPr="002A0E56">
              <w:t xml:space="preserve"> payments, Medicare payments, cost sharing</w:t>
            </w:r>
            <w:r w:rsidR="00354574">
              <w:t>,</w:t>
            </w:r>
            <w:r w:rsidRPr="002A0E56">
              <w:t xml:space="preserve"> and copay</w:t>
            </w:r>
            <w:r w:rsidRPr="002A0E56">
              <w:rPr>
                <w:i/>
                <w:iCs/>
              </w:rPr>
              <w:t xml:space="preserve"> </w:t>
            </w:r>
            <w:r w:rsidRPr="002A0E56">
              <w:t xml:space="preserve">amounts are </w:t>
            </w:r>
            <w:r w:rsidRPr="002A0E56">
              <w:rPr>
                <w:iCs/>
              </w:rPr>
              <w:t>not</w:t>
            </w:r>
            <w:r w:rsidRPr="002A0E56">
              <w:t xml:space="preserve"> to be entered in this field.</w:t>
            </w:r>
          </w:p>
        </w:tc>
      </w:tr>
      <w:tr w:rsidR="008C22A9" w:rsidRPr="002A0E56" w14:paraId="04BEB5FD" w14:textId="77777777" w:rsidTr="00297EC1">
        <w:trPr>
          <w:trHeight w:val="630"/>
        </w:trPr>
        <w:tc>
          <w:tcPr>
            <w:tcW w:w="3390" w:type="dxa"/>
            <w:shd w:val="clear" w:color="auto" w:fill="FBD4B4" w:themeFill="accent6" w:themeFillTint="66"/>
            <w:vAlign w:val="center"/>
            <w:hideMark/>
          </w:tcPr>
          <w:p w14:paraId="483AB742" w14:textId="77777777" w:rsidR="008C22A9" w:rsidRPr="002A0E56" w:rsidRDefault="008C22A9" w:rsidP="00166537">
            <w:pPr>
              <w:spacing w:line="276" w:lineRule="auto"/>
              <w:jc w:val="center"/>
              <w:rPr>
                <w:color w:val="000000"/>
              </w:rPr>
            </w:pPr>
            <w:r w:rsidRPr="002A0E56">
              <w:rPr>
                <w:color w:val="000000"/>
              </w:rPr>
              <w:t>30</w:t>
            </w:r>
          </w:p>
        </w:tc>
        <w:tc>
          <w:tcPr>
            <w:tcW w:w="3390" w:type="dxa"/>
            <w:shd w:val="clear" w:color="auto" w:fill="FBD4B4" w:themeFill="accent6" w:themeFillTint="66"/>
            <w:vAlign w:val="center"/>
            <w:hideMark/>
          </w:tcPr>
          <w:p w14:paraId="0F9534B3" w14:textId="77777777" w:rsidR="008C22A9" w:rsidRPr="002A0E56" w:rsidRDefault="008C22A9" w:rsidP="006A1D89">
            <w:pPr>
              <w:spacing w:line="276" w:lineRule="auto"/>
              <w:jc w:val="left"/>
              <w:rPr>
                <w:color w:val="000000"/>
              </w:rPr>
            </w:pPr>
            <w:r w:rsidRPr="002A0E56">
              <w:rPr>
                <w:color w:val="000000"/>
              </w:rPr>
              <w:t>Balance Due</w:t>
            </w:r>
          </w:p>
        </w:tc>
        <w:tc>
          <w:tcPr>
            <w:tcW w:w="3390" w:type="dxa"/>
            <w:shd w:val="clear" w:color="auto" w:fill="FBD4B4" w:themeFill="accent6" w:themeFillTint="66"/>
            <w:vAlign w:val="center"/>
            <w:hideMark/>
          </w:tcPr>
          <w:p w14:paraId="6A1362B5" w14:textId="77777777" w:rsidR="008C22A9" w:rsidRPr="002A0E56" w:rsidRDefault="008C22A9" w:rsidP="006A1D89">
            <w:pPr>
              <w:spacing w:line="276" w:lineRule="auto"/>
              <w:jc w:val="left"/>
              <w:rPr>
                <w:color w:val="000000"/>
              </w:rPr>
            </w:pPr>
            <w:r w:rsidRPr="002A0E56">
              <w:rPr>
                <w:color w:val="000000"/>
              </w:rPr>
              <w:t>Enter the difference between the total charge (Field 28) and the insurance amount paid (Field 29)</w:t>
            </w:r>
          </w:p>
        </w:tc>
      </w:tr>
      <w:tr w:rsidR="008C22A9" w:rsidRPr="002A0E56" w14:paraId="0EAF1C2A" w14:textId="77777777" w:rsidTr="00297EC1">
        <w:trPr>
          <w:cantSplit/>
          <w:trHeight w:val="945"/>
        </w:trPr>
        <w:tc>
          <w:tcPr>
            <w:tcW w:w="3390" w:type="dxa"/>
            <w:shd w:val="clear" w:color="auto" w:fill="FDE9D9" w:themeFill="accent6" w:themeFillTint="33"/>
            <w:vAlign w:val="center"/>
            <w:hideMark/>
          </w:tcPr>
          <w:p w14:paraId="23586488" w14:textId="77777777" w:rsidR="008C22A9" w:rsidRPr="002A0E56" w:rsidRDefault="008C22A9" w:rsidP="00166537">
            <w:pPr>
              <w:spacing w:line="276" w:lineRule="auto"/>
              <w:jc w:val="center"/>
              <w:rPr>
                <w:color w:val="000000"/>
              </w:rPr>
            </w:pPr>
            <w:r w:rsidRPr="002A0E56">
              <w:rPr>
                <w:color w:val="000000"/>
              </w:rPr>
              <w:t>31</w:t>
            </w:r>
          </w:p>
        </w:tc>
        <w:tc>
          <w:tcPr>
            <w:tcW w:w="3390" w:type="dxa"/>
            <w:shd w:val="clear" w:color="auto" w:fill="FDE9D9" w:themeFill="accent6" w:themeFillTint="33"/>
            <w:vAlign w:val="center"/>
            <w:hideMark/>
          </w:tcPr>
          <w:p w14:paraId="11158309" w14:textId="77777777" w:rsidR="008C22A9" w:rsidRPr="002A0E56" w:rsidRDefault="008C22A9" w:rsidP="006A1D89">
            <w:pPr>
              <w:spacing w:line="276" w:lineRule="auto"/>
              <w:jc w:val="left"/>
              <w:rPr>
                <w:color w:val="000000"/>
              </w:rPr>
            </w:pPr>
            <w:r w:rsidRPr="002A0E56">
              <w:rPr>
                <w:color w:val="000000"/>
              </w:rPr>
              <w:t>Signature of Physician or Supplier</w:t>
            </w:r>
          </w:p>
        </w:tc>
        <w:tc>
          <w:tcPr>
            <w:tcW w:w="3390" w:type="dxa"/>
            <w:shd w:val="clear" w:color="auto" w:fill="FDE9D9" w:themeFill="accent6" w:themeFillTint="33"/>
            <w:vAlign w:val="center"/>
            <w:hideMark/>
          </w:tcPr>
          <w:p w14:paraId="0150AAA5" w14:textId="77777777" w:rsidR="008C22A9" w:rsidRPr="002A0E56" w:rsidRDefault="008C22A9" w:rsidP="006A1D89">
            <w:pPr>
              <w:spacing w:line="276" w:lineRule="auto"/>
              <w:jc w:val="left"/>
              <w:rPr>
                <w:color w:val="000000"/>
              </w:rPr>
            </w:pPr>
            <w:r w:rsidRPr="002A0E56">
              <w:rPr>
                <w:color w:val="000000"/>
              </w:rPr>
              <w:t>Leave blank</w:t>
            </w:r>
          </w:p>
        </w:tc>
      </w:tr>
      <w:tr w:rsidR="008C22A9" w:rsidRPr="002A0E56" w14:paraId="3C0FCA73" w14:textId="77777777" w:rsidTr="00297EC1">
        <w:trPr>
          <w:trHeight w:val="945"/>
        </w:trPr>
        <w:tc>
          <w:tcPr>
            <w:tcW w:w="3390" w:type="dxa"/>
            <w:shd w:val="clear" w:color="auto" w:fill="FBD4B4" w:themeFill="accent6" w:themeFillTint="66"/>
            <w:vAlign w:val="center"/>
            <w:hideMark/>
          </w:tcPr>
          <w:p w14:paraId="6ED82EC7" w14:textId="77777777" w:rsidR="008C22A9" w:rsidRPr="002A0E56" w:rsidRDefault="008C22A9" w:rsidP="00166537">
            <w:pPr>
              <w:spacing w:line="276" w:lineRule="auto"/>
              <w:jc w:val="center"/>
              <w:rPr>
                <w:color w:val="000000"/>
              </w:rPr>
            </w:pPr>
            <w:r w:rsidRPr="002A0E56">
              <w:rPr>
                <w:color w:val="000000"/>
              </w:rPr>
              <w:t>32</w:t>
            </w:r>
            <w:r w:rsidR="00DB7FF3" w:rsidRPr="002A0E56">
              <w:rPr>
                <w:color w:val="000000"/>
              </w:rPr>
              <w:t>**</w:t>
            </w:r>
          </w:p>
        </w:tc>
        <w:tc>
          <w:tcPr>
            <w:tcW w:w="3390" w:type="dxa"/>
            <w:shd w:val="clear" w:color="auto" w:fill="FBD4B4" w:themeFill="accent6" w:themeFillTint="66"/>
            <w:vAlign w:val="center"/>
            <w:hideMark/>
          </w:tcPr>
          <w:p w14:paraId="7687847C" w14:textId="77777777" w:rsidR="008C22A9" w:rsidRPr="002A0E56" w:rsidRDefault="008C22A9" w:rsidP="006A1D89">
            <w:pPr>
              <w:spacing w:line="276" w:lineRule="auto"/>
              <w:jc w:val="left"/>
              <w:rPr>
                <w:color w:val="000000"/>
              </w:rPr>
            </w:pPr>
            <w:r w:rsidRPr="002A0E56">
              <w:rPr>
                <w:color w:val="000000"/>
              </w:rPr>
              <w:t>Service Facility Location Information</w:t>
            </w:r>
          </w:p>
        </w:tc>
        <w:tc>
          <w:tcPr>
            <w:tcW w:w="3390" w:type="dxa"/>
            <w:shd w:val="clear" w:color="auto" w:fill="FBD4B4" w:themeFill="accent6" w:themeFillTint="66"/>
            <w:vAlign w:val="center"/>
            <w:hideMark/>
          </w:tcPr>
          <w:p w14:paraId="47F278C4" w14:textId="77777777" w:rsidR="008C22A9" w:rsidRPr="002A0E56" w:rsidRDefault="008C22A9" w:rsidP="006A1D89">
            <w:pPr>
              <w:spacing w:line="276" w:lineRule="auto"/>
              <w:jc w:val="left"/>
              <w:rPr>
                <w:color w:val="000000"/>
              </w:rPr>
            </w:pPr>
            <w:r w:rsidRPr="002A0E56">
              <w:rPr>
                <w:color w:val="000000"/>
              </w:rPr>
              <w:t>If services were rendered in a facility other than the home or office, enter the name and location of the facility.</w:t>
            </w:r>
          </w:p>
        </w:tc>
      </w:tr>
      <w:tr w:rsidR="008C22A9" w:rsidRPr="002A0E56" w14:paraId="0ACF5A11" w14:textId="77777777" w:rsidTr="00297EC1">
        <w:trPr>
          <w:trHeight w:val="630"/>
        </w:trPr>
        <w:tc>
          <w:tcPr>
            <w:tcW w:w="3390" w:type="dxa"/>
            <w:shd w:val="clear" w:color="auto" w:fill="FDE9D9" w:themeFill="accent6" w:themeFillTint="33"/>
            <w:vAlign w:val="center"/>
            <w:hideMark/>
          </w:tcPr>
          <w:p w14:paraId="12D7906D" w14:textId="77777777" w:rsidR="008C22A9" w:rsidRPr="002A0E56" w:rsidRDefault="008C22A9" w:rsidP="00166537">
            <w:pPr>
              <w:spacing w:line="276" w:lineRule="auto"/>
              <w:jc w:val="center"/>
              <w:rPr>
                <w:color w:val="000000"/>
              </w:rPr>
            </w:pPr>
            <w:r w:rsidRPr="002A0E56">
              <w:rPr>
                <w:color w:val="000000"/>
              </w:rPr>
              <w:t>32a</w:t>
            </w:r>
            <w:r w:rsidR="00DB7FF3" w:rsidRPr="002A0E56">
              <w:rPr>
                <w:color w:val="000000"/>
              </w:rPr>
              <w:t>**</w:t>
            </w:r>
          </w:p>
        </w:tc>
        <w:tc>
          <w:tcPr>
            <w:tcW w:w="3390" w:type="dxa"/>
            <w:shd w:val="clear" w:color="auto" w:fill="FDE9D9" w:themeFill="accent6" w:themeFillTint="33"/>
            <w:vAlign w:val="center"/>
            <w:hideMark/>
          </w:tcPr>
          <w:p w14:paraId="72CC54E0" w14:textId="77777777" w:rsidR="008C22A9" w:rsidRPr="002A0E56" w:rsidRDefault="008C22A9" w:rsidP="006A1D89">
            <w:pPr>
              <w:spacing w:line="276" w:lineRule="auto"/>
              <w:jc w:val="left"/>
              <w:rPr>
                <w:color w:val="000000"/>
              </w:rPr>
            </w:pPr>
            <w:r w:rsidRPr="002A0E56">
              <w:rPr>
                <w:color w:val="000000"/>
              </w:rPr>
              <w:t>NPI #</w:t>
            </w:r>
          </w:p>
        </w:tc>
        <w:tc>
          <w:tcPr>
            <w:tcW w:w="3390" w:type="dxa"/>
            <w:shd w:val="clear" w:color="auto" w:fill="FDE9D9" w:themeFill="accent6" w:themeFillTint="33"/>
            <w:vAlign w:val="center"/>
            <w:hideMark/>
          </w:tcPr>
          <w:p w14:paraId="23E106D2" w14:textId="4E196D12" w:rsidR="008C22A9" w:rsidRPr="002A0E56" w:rsidRDefault="008C22A9" w:rsidP="006A1D89">
            <w:pPr>
              <w:spacing w:line="276" w:lineRule="auto"/>
              <w:jc w:val="left"/>
              <w:rPr>
                <w:color w:val="000000"/>
              </w:rPr>
            </w:pPr>
            <w:r w:rsidRPr="002A0E56">
              <w:rPr>
                <w:color w:val="000000"/>
              </w:rPr>
              <w:t>Enter the 10-digit NPI of the service facility location reported in Field 32</w:t>
            </w:r>
          </w:p>
        </w:tc>
      </w:tr>
      <w:tr w:rsidR="008C22A9" w:rsidRPr="002A0E56" w14:paraId="0E0F0B16" w14:textId="77777777" w:rsidTr="00297EC1">
        <w:trPr>
          <w:cantSplit/>
          <w:trHeight w:val="1890"/>
        </w:trPr>
        <w:tc>
          <w:tcPr>
            <w:tcW w:w="3390" w:type="dxa"/>
            <w:shd w:val="clear" w:color="auto" w:fill="FBD4B4" w:themeFill="accent6" w:themeFillTint="66"/>
            <w:vAlign w:val="center"/>
            <w:hideMark/>
          </w:tcPr>
          <w:p w14:paraId="4FBF055B" w14:textId="77777777" w:rsidR="008C22A9" w:rsidRPr="002A0E56" w:rsidRDefault="008C22A9" w:rsidP="00166537">
            <w:pPr>
              <w:spacing w:line="276" w:lineRule="auto"/>
              <w:jc w:val="center"/>
              <w:rPr>
                <w:color w:val="000000"/>
              </w:rPr>
            </w:pPr>
            <w:r w:rsidRPr="002A0E56">
              <w:rPr>
                <w:color w:val="000000"/>
              </w:rPr>
              <w:t>32b</w:t>
            </w:r>
            <w:r w:rsidR="00DB7FF3" w:rsidRPr="002A0E56">
              <w:rPr>
                <w:color w:val="000000"/>
              </w:rPr>
              <w:t>**</w:t>
            </w:r>
          </w:p>
        </w:tc>
        <w:tc>
          <w:tcPr>
            <w:tcW w:w="3390" w:type="dxa"/>
            <w:shd w:val="clear" w:color="auto" w:fill="FBD4B4" w:themeFill="accent6" w:themeFillTint="66"/>
            <w:vAlign w:val="center"/>
            <w:hideMark/>
          </w:tcPr>
          <w:p w14:paraId="6E3D6353" w14:textId="77777777" w:rsidR="008C22A9" w:rsidRPr="002A0E56" w:rsidRDefault="008C22A9" w:rsidP="006A1D89">
            <w:pPr>
              <w:spacing w:line="276" w:lineRule="auto"/>
              <w:jc w:val="left"/>
              <w:rPr>
                <w:color w:val="000000"/>
              </w:rPr>
            </w:pPr>
            <w:r w:rsidRPr="002A0E56">
              <w:rPr>
                <w:color w:val="000000"/>
              </w:rPr>
              <w:t>Other ID #</w:t>
            </w:r>
          </w:p>
        </w:tc>
        <w:tc>
          <w:tcPr>
            <w:tcW w:w="3390" w:type="dxa"/>
            <w:shd w:val="clear" w:color="auto" w:fill="FBD4B4" w:themeFill="accent6" w:themeFillTint="66"/>
            <w:vAlign w:val="center"/>
            <w:hideMark/>
          </w:tcPr>
          <w:p w14:paraId="44185D3D" w14:textId="49CCD8D6" w:rsidR="008C22A9" w:rsidRPr="002A0E56" w:rsidRDefault="008C22A9" w:rsidP="006A1D89">
            <w:pPr>
              <w:spacing w:line="276" w:lineRule="auto"/>
              <w:jc w:val="left"/>
              <w:rPr>
                <w:color w:val="000000"/>
              </w:rPr>
            </w:pPr>
            <w:r w:rsidRPr="002A0E56">
              <w:rPr>
                <w:color w:val="000000"/>
              </w:rPr>
              <w:t xml:space="preserve">Enter the Provider Taxonomy qualifier </w:t>
            </w:r>
            <w:r w:rsidR="00A52137">
              <w:rPr>
                <w:color w:val="000000"/>
              </w:rPr>
              <w:t>“</w:t>
            </w:r>
            <w:r w:rsidRPr="002A0E56">
              <w:rPr>
                <w:color w:val="000000"/>
              </w:rPr>
              <w:t>ZZ</w:t>
            </w:r>
            <w:r w:rsidR="00A52137">
              <w:rPr>
                <w:color w:val="000000"/>
              </w:rPr>
              <w:t>”</w:t>
            </w:r>
            <w:r w:rsidRPr="002A0E56">
              <w:rPr>
                <w:color w:val="000000"/>
              </w:rPr>
              <w:t xml:space="preserve"> and corresponding 10-digit Provider Taxonomy Code for the NPI reported in Field 32a if the provider is required to report a Provider Taxonomy Code to </w:t>
            </w:r>
            <w:r w:rsidR="00DA08F4">
              <w:rPr>
                <w:color w:val="000000"/>
              </w:rPr>
              <w:t>M</w:t>
            </w:r>
            <w:r w:rsidR="00354574">
              <w:rPr>
                <w:color w:val="000000"/>
              </w:rPr>
              <w:t>HD</w:t>
            </w:r>
            <w:r w:rsidRPr="002A0E56">
              <w:rPr>
                <w:color w:val="000000"/>
              </w:rPr>
              <w:t>. Do not enter a space, hyphen</w:t>
            </w:r>
            <w:r w:rsidR="00354574">
              <w:rPr>
                <w:color w:val="000000"/>
              </w:rPr>
              <w:t>,</w:t>
            </w:r>
            <w:r w:rsidRPr="002A0E56">
              <w:rPr>
                <w:color w:val="000000"/>
              </w:rPr>
              <w:t xml:space="preserve"> or other separator between the qualifier and code.</w:t>
            </w:r>
          </w:p>
          <w:p w14:paraId="75BDD130" w14:textId="77777777" w:rsidR="00DB7FF3" w:rsidRPr="002A0E56" w:rsidRDefault="00DB7FF3" w:rsidP="006A1D89">
            <w:pPr>
              <w:spacing w:line="276" w:lineRule="auto"/>
              <w:jc w:val="left"/>
              <w:rPr>
                <w:color w:val="000000"/>
              </w:rPr>
            </w:pPr>
            <w:r w:rsidRPr="002A0E56">
              <w:rPr>
                <w:color w:val="000000"/>
              </w:rPr>
              <w:t xml:space="preserve">A Provider Taxonomy Code must be reported if providers have one (1) NPI for multiple legacy </w:t>
            </w:r>
            <w:r w:rsidR="00DA08F4">
              <w:rPr>
                <w:color w:val="000000"/>
              </w:rPr>
              <w:t>MO HealthNet</w:t>
            </w:r>
            <w:r w:rsidR="00DA08F4" w:rsidRPr="002A0E56">
              <w:rPr>
                <w:color w:val="000000"/>
              </w:rPr>
              <w:t xml:space="preserve"> </w:t>
            </w:r>
            <w:r w:rsidRPr="002A0E56">
              <w:rPr>
                <w:color w:val="000000"/>
              </w:rPr>
              <w:t>provider numbers.</w:t>
            </w:r>
          </w:p>
        </w:tc>
      </w:tr>
      <w:tr w:rsidR="008C22A9" w:rsidRPr="002A0E56" w14:paraId="7B231B6D" w14:textId="77777777" w:rsidTr="00297EC1">
        <w:trPr>
          <w:trHeight w:val="945"/>
        </w:trPr>
        <w:tc>
          <w:tcPr>
            <w:tcW w:w="3390" w:type="dxa"/>
            <w:shd w:val="clear" w:color="auto" w:fill="FDE9D9" w:themeFill="accent6" w:themeFillTint="33"/>
            <w:vAlign w:val="center"/>
            <w:hideMark/>
          </w:tcPr>
          <w:p w14:paraId="72290D27" w14:textId="77777777" w:rsidR="008C22A9" w:rsidRPr="002A0E56" w:rsidRDefault="008C22A9" w:rsidP="00166537">
            <w:pPr>
              <w:spacing w:line="276" w:lineRule="auto"/>
              <w:jc w:val="center"/>
              <w:rPr>
                <w:color w:val="000000"/>
              </w:rPr>
            </w:pPr>
            <w:r w:rsidRPr="002A0E56">
              <w:rPr>
                <w:color w:val="000000"/>
              </w:rPr>
              <w:t>33</w:t>
            </w:r>
            <w:r w:rsidR="00DB7FF3" w:rsidRPr="002A0E56">
              <w:rPr>
                <w:color w:val="000000"/>
              </w:rPr>
              <w:t>*</w:t>
            </w:r>
          </w:p>
        </w:tc>
        <w:tc>
          <w:tcPr>
            <w:tcW w:w="3390" w:type="dxa"/>
            <w:shd w:val="clear" w:color="auto" w:fill="FDE9D9" w:themeFill="accent6" w:themeFillTint="33"/>
            <w:vAlign w:val="center"/>
            <w:hideMark/>
          </w:tcPr>
          <w:p w14:paraId="2BEA79EB" w14:textId="77777777" w:rsidR="008C22A9" w:rsidRPr="002A0E56" w:rsidRDefault="008C22A9" w:rsidP="006A1D89">
            <w:pPr>
              <w:spacing w:line="276" w:lineRule="auto"/>
              <w:jc w:val="left"/>
              <w:rPr>
                <w:color w:val="000000"/>
              </w:rPr>
            </w:pPr>
            <w:r w:rsidRPr="002A0E56">
              <w:rPr>
                <w:color w:val="000000"/>
              </w:rPr>
              <w:t>Provider Name/Number/Address</w:t>
            </w:r>
          </w:p>
        </w:tc>
        <w:tc>
          <w:tcPr>
            <w:tcW w:w="3390" w:type="dxa"/>
            <w:shd w:val="clear" w:color="auto" w:fill="FDE9D9" w:themeFill="accent6" w:themeFillTint="33"/>
            <w:vAlign w:val="center"/>
            <w:hideMark/>
          </w:tcPr>
          <w:p w14:paraId="5D5403D0" w14:textId="52A76BF9" w:rsidR="008C22A9" w:rsidRPr="002A0E56" w:rsidRDefault="008C22A9" w:rsidP="006A1D89">
            <w:pPr>
              <w:spacing w:line="276" w:lineRule="auto"/>
              <w:jc w:val="left"/>
              <w:rPr>
                <w:color w:val="000000"/>
              </w:rPr>
            </w:pPr>
            <w:r w:rsidRPr="002A0E56">
              <w:rPr>
                <w:color w:val="000000"/>
              </w:rPr>
              <w:t>Enter the Provider Name, NPI</w:t>
            </w:r>
            <w:r w:rsidR="00354574">
              <w:rPr>
                <w:color w:val="000000"/>
              </w:rPr>
              <w:t>,</w:t>
            </w:r>
            <w:r w:rsidRPr="002A0E56">
              <w:rPr>
                <w:color w:val="000000"/>
              </w:rPr>
              <w:t xml:space="preserve"> and Address</w:t>
            </w:r>
          </w:p>
        </w:tc>
      </w:tr>
      <w:tr w:rsidR="008C22A9" w:rsidRPr="002A0E56" w14:paraId="48E769E2" w14:textId="77777777" w:rsidTr="00297EC1">
        <w:trPr>
          <w:trHeight w:val="630"/>
        </w:trPr>
        <w:tc>
          <w:tcPr>
            <w:tcW w:w="3390" w:type="dxa"/>
            <w:shd w:val="clear" w:color="auto" w:fill="FBD4B4" w:themeFill="accent6" w:themeFillTint="66"/>
            <w:vAlign w:val="center"/>
            <w:hideMark/>
          </w:tcPr>
          <w:p w14:paraId="0CE00EC6" w14:textId="77777777" w:rsidR="008C22A9" w:rsidRPr="002A0E56" w:rsidRDefault="008C22A9" w:rsidP="00166537">
            <w:pPr>
              <w:spacing w:line="276" w:lineRule="auto"/>
              <w:jc w:val="center"/>
              <w:rPr>
                <w:color w:val="000000"/>
              </w:rPr>
            </w:pPr>
            <w:r w:rsidRPr="002A0E56">
              <w:rPr>
                <w:color w:val="000000"/>
              </w:rPr>
              <w:t>33a</w:t>
            </w:r>
            <w:r w:rsidR="00DB7FF3" w:rsidRPr="002A0E56">
              <w:rPr>
                <w:color w:val="000000"/>
              </w:rPr>
              <w:t>**</w:t>
            </w:r>
          </w:p>
        </w:tc>
        <w:tc>
          <w:tcPr>
            <w:tcW w:w="3390" w:type="dxa"/>
            <w:shd w:val="clear" w:color="auto" w:fill="FBD4B4" w:themeFill="accent6" w:themeFillTint="66"/>
            <w:vAlign w:val="center"/>
            <w:hideMark/>
          </w:tcPr>
          <w:p w14:paraId="0AA3843F" w14:textId="77777777" w:rsidR="008C22A9" w:rsidRPr="002A0E56" w:rsidRDefault="008C22A9" w:rsidP="006A1D89">
            <w:pPr>
              <w:spacing w:line="276" w:lineRule="auto"/>
              <w:jc w:val="left"/>
              <w:rPr>
                <w:color w:val="000000"/>
              </w:rPr>
            </w:pPr>
            <w:r w:rsidRPr="002A0E56">
              <w:rPr>
                <w:color w:val="000000"/>
              </w:rPr>
              <w:t>NPI#</w:t>
            </w:r>
          </w:p>
        </w:tc>
        <w:tc>
          <w:tcPr>
            <w:tcW w:w="3390" w:type="dxa"/>
            <w:shd w:val="clear" w:color="auto" w:fill="FBD4B4" w:themeFill="accent6" w:themeFillTint="66"/>
            <w:vAlign w:val="center"/>
            <w:hideMark/>
          </w:tcPr>
          <w:p w14:paraId="3E150ED9" w14:textId="7BE60E50" w:rsidR="008C22A9" w:rsidRPr="002A0E56" w:rsidRDefault="008C22A9" w:rsidP="006A1D89">
            <w:pPr>
              <w:spacing w:line="276" w:lineRule="auto"/>
              <w:jc w:val="left"/>
              <w:rPr>
                <w:color w:val="000000"/>
              </w:rPr>
            </w:pPr>
            <w:r w:rsidRPr="002A0E56">
              <w:rPr>
                <w:color w:val="000000"/>
              </w:rPr>
              <w:t>Enter the NPI of the billing provider in Field 33</w:t>
            </w:r>
          </w:p>
        </w:tc>
      </w:tr>
      <w:tr w:rsidR="008C22A9" w:rsidRPr="002A0E56" w14:paraId="16457DDC" w14:textId="77777777" w:rsidTr="00297EC1">
        <w:trPr>
          <w:trHeight w:val="1890"/>
        </w:trPr>
        <w:tc>
          <w:tcPr>
            <w:tcW w:w="3390" w:type="dxa"/>
            <w:shd w:val="clear" w:color="auto" w:fill="FDE9D9" w:themeFill="accent6" w:themeFillTint="33"/>
            <w:vAlign w:val="center"/>
            <w:hideMark/>
          </w:tcPr>
          <w:p w14:paraId="70D5CEC7" w14:textId="77777777" w:rsidR="008C22A9" w:rsidRPr="002A0E56" w:rsidRDefault="008C22A9" w:rsidP="00166537">
            <w:pPr>
              <w:spacing w:line="276" w:lineRule="auto"/>
              <w:jc w:val="center"/>
              <w:rPr>
                <w:color w:val="000000"/>
              </w:rPr>
            </w:pPr>
            <w:r w:rsidRPr="002A0E56">
              <w:rPr>
                <w:color w:val="000000"/>
              </w:rPr>
              <w:t>33b</w:t>
            </w:r>
            <w:r w:rsidR="00DB7FF3" w:rsidRPr="002A0E56">
              <w:rPr>
                <w:color w:val="000000"/>
              </w:rPr>
              <w:t>**</w:t>
            </w:r>
          </w:p>
        </w:tc>
        <w:tc>
          <w:tcPr>
            <w:tcW w:w="3390" w:type="dxa"/>
            <w:shd w:val="clear" w:color="auto" w:fill="FDE9D9" w:themeFill="accent6" w:themeFillTint="33"/>
            <w:vAlign w:val="center"/>
            <w:hideMark/>
          </w:tcPr>
          <w:p w14:paraId="556A93AA" w14:textId="77777777" w:rsidR="008C22A9" w:rsidRPr="002A0E56" w:rsidRDefault="008C22A9" w:rsidP="006A1D89">
            <w:pPr>
              <w:spacing w:line="276" w:lineRule="auto"/>
              <w:jc w:val="left"/>
              <w:rPr>
                <w:color w:val="000000"/>
              </w:rPr>
            </w:pPr>
            <w:r w:rsidRPr="002A0E56">
              <w:rPr>
                <w:color w:val="000000"/>
              </w:rPr>
              <w:t>Other ID #</w:t>
            </w:r>
          </w:p>
        </w:tc>
        <w:tc>
          <w:tcPr>
            <w:tcW w:w="3390" w:type="dxa"/>
            <w:shd w:val="clear" w:color="auto" w:fill="FDE9D9" w:themeFill="accent6" w:themeFillTint="33"/>
            <w:vAlign w:val="center"/>
            <w:hideMark/>
          </w:tcPr>
          <w:p w14:paraId="74AFC5D5" w14:textId="4E62D289" w:rsidR="008C22A9" w:rsidRPr="002A0E56" w:rsidRDefault="008C22A9" w:rsidP="006A1D89">
            <w:pPr>
              <w:spacing w:line="276" w:lineRule="auto"/>
              <w:jc w:val="left"/>
              <w:rPr>
                <w:color w:val="000000"/>
              </w:rPr>
            </w:pPr>
            <w:r w:rsidRPr="002A0E56">
              <w:rPr>
                <w:color w:val="000000"/>
              </w:rPr>
              <w:t xml:space="preserve">Enter the Provider Taxonomy qualifier </w:t>
            </w:r>
            <w:r w:rsidR="00A52137">
              <w:rPr>
                <w:color w:val="000000"/>
              </w:rPr>
              <w:t>“</w:t>
            </w:r>
            <w:r w:rsidRPr="002A0E56">
              <w:rPr>
                <w:color w:val="000000"/>
              </w:rPr>
              <w:t>ZZ</w:t>
            </w:r>
            <w:r w:rsidR="00A52137">
              <w:rPr>
                <w:color w:val="000000"/>
              </w:rPr>
              <w:t>”</w:t>
            </w:r>
            <w:r w:rsidRPr="002A0E56">
              <w:rPr>
                <w:color w:val="000000"/>
              </w:rPr>
              <w:t xml:space="preserve"> and corresponding 10-digit Provider Taxonomy Code for the NPI reported in Field 33a if the provider is required to report a Provider Taxonomy Code to </w:t>
            </w:r>
            <w:r w:rsidR="00DA08F4">
              <w:rPr>
                <w:color w:val="000000"/>
              </w:rPr>
              <w:t>M</w:t>
            </w:r>
            <w:r w:rsidR="00354574">
              <w:rPr>
                <w:color w:val="000000"/>
              </w:rPr>
              <w:t>HD</w:t>
            </w:r>
            <w:r w:rsidRPr="002A0E56">
              <w:rPr>
                <w:color w:val="000000"/>
              </w:rPr>
              <w:t>. Do not enter a space, hyphen</w:t>
            </w:r>
            <w:r w:rsidR="00354574">
              <w:rPr>
                <w:color w:val="000000"/>
              </w:rPr>
              <w:t>,</w:t>
            </w:r>
            <w:r w:rsidRPr="002A0E56">
              <w:rPr>
                <w:color w:val="000000"/>
              </w:rPr>
              <w:t xml:space="preserve"> or other separator between the qualifier and code.</w:t>
            </w:r>
          </w:p>
        </w:tc>
      </w:tr>
    </w:tbl>
    <w:p w14:paraId="02FA0F9B" w14:textId="77777777" w:rsidR="008C22A9" w:rsidRPr="002A0E56" w:rsidRDefault="008C22A9" w:rsidP="00166537">
      <w:pPr>
        <w:pStyle w:val="Text1"/>
        <w:spacing w:line="276" w:lineRule="auto"/>
        <w:rPr>
          <w:rFonts w:eastAsiaTheme="minorHAnsi"/>
        </w:rPr>
      </w:pPr>
      <w:r w:rsidRPr="002A0E56">
        <w:rPr>
          <w:rFonts w:eastAsiaTheme="minorHAnsi"/>
        </w:rPr>
        <w:t>* These fields are mandatory on all CMS-1500 claim forms.</w:t>
      </w:r>
    </w:p>
    <w:p w14:paraId="4E356701" w14:textId="77777777" w:rsidR="008C22A9" w:rsidRPr="002A0E56" w:rsidRDefault="008C22A9" w:rsidP="00166537">
      <w:pPr>
        <w:pStyle w:val="Text1"/>
        <w:spacing w:line="276" w:lineRule="auto"/>
        <w:rPr>
          <w:rFonts w:eastAsiaTheme="minorHAnsi"/>
        </w:rPr>
      </w:pPr>
      <w:r w:rsidRPr="002A0E56">
        <w:rPr>
          <w:rFonts w:eastAsiaTheme="minorHAnsi"/>
        </w:rPr>
        <w:t xml:space="preserve">** These fields are mandatory only in specific situations, as described. </w:t>
      </w:r>
    </w:p>
    <w:p w14:paraId="083B69CB" w14:textId="712CBA92" w:rsidR="00D14326" w:rsidRPr="002608F9" w:rsidRDefault="00085876" w:rsidP="001F3B10">
      <w:pPr>
        <w:pStyle w:val="Heading3"/>
      </w:pPr>
      <w:bookmarkStart w:id="95" w:name="AIDUB-04"/>
      <w:bookmarkStart w:id="96" w:name="_Toc372026689"/>
      <w:bookmarkStart w:id="97" w:name="_Toc225253672"/>
      <w:bookmarkStart w:id="98" w:name="_Toc229051543"/>
      <w:bookmarkEnd w:id="95"/>
      <w:r w:rsidRPr="002608F9">
        <w:t>4</w:t>
      </w:r>
      <w:r w:rsidR="0096513B" w:rsidRPr="002608F9">
        <w:t>.</w:t>
      </w:r>
      <w:r w:rsidR="00400770" w:rsidRPr="002608F9">
        <w:t>5</w:t>
      </w:r>
      <w:r w:rsidR="002608F9" w:rsidRPr="002608F9">
        <w:t xml:space="preserve"> </w:t>
      </w:r>
      <w:r w:rsidR="00D14326" w:rsidRPr="002608F9">
        <w:t>Insurance Coverage</w:t>
      </w:r>
      <w:bookmarkEnd w:id="96"/>
      <w:bookmarkEnd w:id="97"/>
      <w:bookmarkEnd w:id="98"/>
      <w:r w:rsidR="00D14326" w:rsidRPr="002608F9">
        <w:t xml:space="preserve"> </w:t>
      </w:r>
    </w:p>
    <w:p w14:paraId="07EEEE21" w14:textId="068F784B" w:rsidR="00D14326" w:rsidRPr="002A0E56" w:rsidRDefault="00D14326" w:rsidP="006A1D89">
      <w:r w:rsidRPr="00D162D9">
        <w:t xml:space="preserve">While providers are verifying the patient’s eligibility, they can obtain the TPL information contained on the </w:t>
      </w:r>
      <w:r w:rsidR="00400770" w:rsidRPr="00D162D9">
        <w:t>MHD</w:t>
      </w:r>
      <w:r w:rsidRPr="00D162D9">
        <w:t xml:space="preserve"> participant file. Eligibility may be verified by calling </w:t>
      </w:r>
      <w:r w:rsidR="00400770" w:rsidRPr="00D162D9">
        <w:t>Provider Communications</w:t>
      </w:r>
      <w:r w:rsidRPr="00D162D9">
        <w:t xml:space="preserve"> </w:t>
      </w:r>
      <w:r w:rsidR="00400770" w:rsidRPr="00D162D9">
        <w:t>at (833)</w:t>
      </w:r>
      <w:r w:rsidR="00400770">
        <w:t xml:space="preserve"> 222-7916</w:t>
      </w:r>
      <w:r w:rsidRPr="002A0E56">
        <w:t xml:space="preserve"> or </w:t>
      </w:r>
      <w:r w:rsidR="00400770">
        <w:t>via</w:t>
      </w:r>
      <w:r w:rsidR="00994CF3">
        <w:t xml:space="preserve"> </w:t>
      </w:r>
      <w:hyperlink r:id="rId67" w:history="1">
        <w:proofErr w:type="spellStart"/>
        <w:r w:rsidR="00994CF3" w:rsidRPr="00510E93">
          <w:rPr>
            <w:rStyle w:val="Hyperlink"/>
          </w:rPr>
          <w:t>eMOMED</w:t>
        </w:r>
        <w:proofErr w:type="spellEnd"/>
      </w:hyperlink>
      <w:r w:rsidR="00994CF3">
        <w:t>.</w:t>
      </w:r>
      <w:r w:rsidRPr="00864D2E">
        <w:rPr>
          <w:b/>
        </w:rPr>
        <w:t xml:space="preserve"> </w:t>
      </w:r>
      <w:r w:rsidRPr="002A0E56">
        <w:t>Both allow the provider to verify eligibility and inquire on third party resources. Refer</w:t>
      </w:r>
      <w:r w:rsidR="00FB0EFC">
        <w:t xml:space="preserve"> to</w:t>
      </w:r>
      <w:r w:rsidRPr="002A0E56">
        <w:t xml:space="preserve"> the </w:t>
      </w:r>
      <w:hyperlink r:id="rId68" w:history="1">
        <w:r w:rsidRPr="00510E93">
          <w:rPr>
            <w:rStyle w:val="Hyperlink"/>
          </w:rPr>
          <w:t xml:space="preserve">General </w:t>
        </w:r>
        <w:r w:rsidR="005B2D58" w:rsidRPr="00510E93">
          <w:rPr>
            <w:rStyle w:val="Hyperlink"/>
          </w:rPr>
          <w:t xml:space="preserve">Sections </w:t>
        </w:r>
        <w:r w:rsidRPr="00510E93">
          <w:rPr>
            <w:rStyle w:val="Hyperlink"/>
          </w:rPr>
          <w:t>Manual</w:t>
        </w:r>
      </w:hyperlink>
      <w:r w:rsidRPr="002A0E56">
        <w:t xml:space="preserve"> for more information.</w:t>
      </w:r>
    </w:p>
    <w:p w14:paraId="74320FC6" w14:textId="49069310" w:rsidR="00D14326" w:rsidRPr="002A0E56" w:rsidRDefault="00242EDA" w:rsidP="006A1D89">
      <w:r>
        <w:t>Participants</w:t>
      </w:r>
      <w:r w:rsidRPr="002A0E56">
        <w:t xml:space="preserve"> </w:t>
      </w:r>
      <w:r w:rsidR="00D14326" w:rsidRPr="002A0E56">
        <w:rPr>
          <w:rStyle w:val="Itlc"/>
          <w:i w:val="0"/>
          <w:iCs/>
          <w:color w:val="auto"/>
        </w:rPr>
        <w:t>must</w:t>
      </w:r>
      <w:r w:rsidR="00D14326" w:rsidRPr="002A0E56">
        <w:rPr>
          <w:i/>
        </w:rPr>
        <w:t xml:space="preserve"> </w:t>
      </w:r>
      <w:r w:rsidR="00D14326" w:rsidRPr="002A0E56">
        <w:t xml:space="preserve">always be asked if they have third party insurance regardless of the TPL information given by </w:t>
      </w:r>
      <w:r w:rsidR="00400770">
        <w:t xml:space="preserve">Provider Communications or </w:t>
      </w:r>
      <w:hyperlink r:id="rId69" w:history="1">
        <w:proofErr w:type="spellStart"/>
        <w:r w:rsidR="00400770" w:rsidRPr="00510E93">
          <w:rPr>
            <w:rStyle w:val="Hyperlink"/>
          </w:rPr>
          <w:t>eMOMED</w:t>
        </w:r>
        <w:proofErr w:type="spellEnd"/>
      </w:hyperlink>
      <w:r w:rsidR="00D14326" w:rsidRPr="002A0E56">
        <w:t>. It is the provider's responsibility to obtain from the patient the name and address of the insurance company, the policy number, and the type of coverage. Refer</w:t>
      </w:r>
      <w:r w:rsidR="00FB0EFC">
        <w:t xml:space="preserve"> to</w:t>
      </w:r>
      <w:r w:rsidR="00D14326" w:rsidRPr="002A0E56">
        <w:t xml:space="preserve"> the</w:t>
      </w:r>
      <w:r w:rsidR="00D14326" w:rsidRPr="00A77B30">
        <w:t xml:space="preserve"> </w:t>
      </w:r>
      <w:hyperlink r:id="rId70" w:history="1">
        <w:r w:rsidR="00D14326" w:rsidRPr="00510E93">
          <w:rPr>
            <w:rStyle w:val="Hyperlink"/>
          </w:rPr>
          <w:t xml:space="preserve">General </w:t>
        </w:r>
        <w:r w:rsidR="005B2D58" w:rsidRPr="00510E93">
          <w:rPr>
            <w:rStyle w:val="Hyperlink"/>
          </w:rPr>
          <w:t xml:space="preserve">Sections </w:t>
        </w:r>
        <w:r w:rsidR="00D14326" w:rsidRPr="00510E93">
          <w:rPr>
            <w:rStyle w:val="Hyperlink"/>
          </w:rPr>
          <w:t>Manual</w:t>
        </w:r>
      </w:hyperlink>
      <w:r w:rsidR="00D14326" w:rsidRPr="00864D2E">
        <w:rPr>
          <w:color w:val="F79646" w:themeColor="accent6"/>
        </w:rPr>
        <w:t xml:space="preserve"> </w:t>
      </w:r>
      <w:r w:rsidR="00D14326" w:rsidRPr="002A0E56">
        <w:t>for more information.</w:t>
      </w:r>
    </w:p>
    <w:p w14:paraId="3F940A14" w14:textId="0305045D" w:rsidR="00D14326" w:rsidRPr="002A0E56" w:rsidRDefault="00D11410" w:rsidP="001F3B10">
      <w:pPr>
        <w:pStyle w:val="Heading3"/>
      </w:pPr>
      <w:bookmarkStart w:id="99" w:name="_SECTION_18_-"/>
      <w:bookmarkStart w:id="100" w:name="_Toc225253673"/>
      <w:bookmarkStart w:id="101" w:name="_Toc229051544"/>
      <w:bookmarkEnd w:id="99"/>
      <w:r>
        <w:t>4.</w:t>
      </w:r>
      <w:r w:rsidR="00400770">
        <w:t>6</w:t>
      </w:r>
      <w:r w:rsidR="002608F9">
        <w:t xml:space="preserve"> </w:t>
      </w:r>
      <w:r w:rsidR="006671E2" w:rsidRPr="002A0E56">
        <w:t>Diagnosis Code</w:t>
      </w:r>
      <w:bookmarkEnd w:id="100"/>
      <w:bookmarkEnd w:id="101"/>
    </w:p>
    <w:p w14:paraId="2D537184" w14:textId="77777777" w:rsidR="00D14326" w:rsidRPr="002A0E56" w:rsidRDefault="00D14326" w:rsidP="006A1D89">
      <w:r w:rsidRPr="002A0E56">
        <w:t xml:space="preserve">The diagnosis code </w:t>
      </w:r>
      <w:r w:rsidRPr="002A0E56">
        <w:rPr>
          <w:rStyle w:val="Itlc"/>
          <w:i w:val="0"/>
          <w:iCs/>
          <w:color w:val="auto"/>
        </w:rPr>
        <w:t>must</w:t>
      </w:r>
      <w:r w:rsidRPr="002A0E56">
        <w:t xml:space="preserve"> be entered on the claim form exactly as it appears in the current </w:t>
      </w:r>
      <w:hyperlink r:id="rId71" w:history="1">
        <w:r w:rsidRPr="00510E93">
          <w:rPr>
            <w:rStyle w:val="Hyperlink"/>
          </w:rPr>
          <w:t>International Classification of Diseases-Clinical Modification (ICD-CM)</w:t>
        </w:r>
      </w:hyperlink>
      <w:r w:rsidRPr="002A0E56">
        <w:t xml:space="preserve">. </w:t>
      </w:r>
      <w:r w:rsidR="007728B6" w:rsidRPr="002A0E56">
        <w:t>T</w:t>
      </w:r>
      <w:r w:rsidRPr="002A0E56">
        <w:t xml:space="preserve">he appropriate code(s) may be </w:t>
      </w:r>
      <w:r w:rsidR="007728B6" w:rsidRPr="002A0E56">
        <w:t>up</w:t>
      </w:r>
      <w:r w:rsidRPr="002A0E56">
        <w:t xml:space="preserve"> to seven (7) digits, depending upon the patient's diagnosis</w:t>
      </w:r>
      <w:r w:rsidR="007728B6" w:rsidRPr="002A0E56">
        <w:t xml:space="preserve"> and applicable ICD code version</w:t>
      </w:r>
      <w:r w:rsidRPr="002A0E56">
        <w:t xml:space="preserve">. </w:t>
      </w:r>
    </w:p>
    <w:p w14:paraId="75369D08" w14:textId="17A738AA" w:rsidR="006671E2" w:rsidRPr="00F67153" w:rsidRDefault="006671E2" w:rsidP="002669A6">
      <w:pPr>
        <w:pStyle w:val="Heading2"/>
      </w:pPr>
      <w:bookmarkStart w:id="102" w:name="_SECTION_19_-"/>
      <w:bookmarkStart w:id="103" w:name="_Toc225253674"/>
      <w:bookmarkStart w:id="104" w:name="_Toc229051545"/>
      <w:bookmarkEnd w:id="102"/>
      <w:r w:rsidRPr="00F67153">
        <w:t>Section 5</w:t>
      </w:r>
      <w:r w:rsidR="000752E3" w:rsidRPr="00F67153">
        <w:t>:</w:t>
      </w:r>
      <w:r w:rsidR="00F67153" w:rsidRPr="00F67153">
        <w:t xml:space="preserve">  </w:t>
      </w:r>
      <w:r w:rsidRPr="00F67153">
        <w:t>Procedure Codes</w:t>
      </w:r>
      <w:bookmarkEnd w:id="103"/>
      <w:bookmarkEnd w:id="104"/>
      <w:r w:rsidRPr="00F67153">
        <w:t xml:space="preserve"> </w:t>
      </w:r>
    </w:p>
    <w:p w14:paraId="607ADD61" w14:textId="66BAC5DD" w:rsidR="007728B6" w:rsidRPr="002A0E56" w:rsidRDefault="006671E2" w:rsidP="006A1D89">
      <w:r w:rsidRPr="002A0E56">
        <w:t xml:space="preserve">Procedure codes used by </w:t>
      </w:r>
      <w:r w:rsidR="009F0921">
        <w:t xml:space="preserve">the </w:t>
      </w:r>
      <w:r w:rsidRPr="002A0E56">
        <w:t>MO HealthNet</w:t>
      </w:r>
      <w:r w:rsidR="007728B6" w:rsidRPr="002A0E56">
        <w:t xml:space="preserve"> Division (MHD)</w:t>
      </w:r>
      <w:r w:rsidRPr="002A0E56">
        <w:t xml:space="preserve"> are identified as Health Care Procedure Coding System (HCPCS) codes. The HCPCS is divided into t</w:t>
      </w:r>
      <w:r w:rsidR="008A5D20">
        <w:t>wo (2)</w:t>
      </w:r>
      <w:r w:rsidRPr="002A0E56">
        <w:t xml:space="preserve"> subsystems, referred to as </w:t>
      </w:r>
      <w:r w:rsidR="007728B6" w:rsidRPr="002A0E56">
        <w:t>L</w:t>
      </w:r>
      <w:r w:rsidRPr="002A0E56">
        <w:t>evel I</w:t>
      </w:r>
      <w:r w:rsidR="008A5D20">
        <w:t xml:space="preserve"> and</w:t>
      </w:r>
      <w:r w:rsidRPr="002A0E56">
        <w:t xml:space="preserve"> </w:t>
      </w:r>
      <w:r w:rsidR="007728B6" w:rsidRPr="002A0E56">
        <w:t>L</w:t>
      </w:r>
      <w:r w:rsidRPr="002A0E56">
        <w:t>evel II. Level I is comprised of Current Procedural Terminology (CPT) codes that are used to identify medical services and procedures furnished by physicians and other health care professionals.</w:t>
      </w:r>
      <w:r w:rsidR="008A5D20">
        <w:t xml:space="preserve"> </w:t>
      </w:r>
      <w:r w:rsidRPr="002A0E56">
        <w:t xml:space="preserve">Level II is comprised of the HCPCS National Level II codes that are used primarily to identify products, supplies and services </w:t>
      </w:r>
      <w:r w:rsidRPr="002A0E56">
        <w:rPr>
          <w:rStyle w:val="Itlc"/>
          <w:i w:val="0"/>
          <w:iCs/>
          <w:color w:val="auto"/>
        </w:rPr>
        <w:t>not</w:t>
      </w:r>
      <w:r w:rsidRPr="002A0E56">
        <w:t xml:space="preserve"> included in the CPT codes. </w:t>
      </w:r>
    </w:p>
    <w:p w14:paraId="3410FCD5" w14:textId="77777777" w:rsidR="006671E2" w:rsidRPr="00406F43" w:rsidRDefault="006671E2" w:rsidP="006A1D89">
      <w:pPr>
        <w:rPr>
          <w:rStyle w:val="Hyperlink"/>
        </w:rPr>
      </w:pPr>
      <w:r w:rsidRPr="002A0E56">
        <w:t xml:space="preserve">Reference materials regarding the HCPCS, CPT may be obtained through the </w:t>
      </w:r>
      <w:hyperlink r:id="rId72" w:history="1">
        <w:r w:rsidRPr="00406F43">
          <w:rPr>
            <w:rStyle w:val="Hyperlink"/>
          </w:rPr>
          <w:t>American Medical Association</w:t>
        </w:r>
        <w:r w:rsidR="00D23668" w:rsidRPr="00406F43">
          <w:rPr>
            <w:rStyle w:val="Hyperlink"/>
          </w:rPr>
          <w:t xml:space="preserve"> website</w:t>
        </w:r>
      </w:hyperlink>
      <w:r w:rsidR="00D23668" w:rsidRPr="00406F43">
        <w:rPr>
          <w:rStyle w:val="Hyperlink"/>
        </w:rPr>
        <w:t>.</w:t>
      </w:r>
      <w:r w:rsidRPr="00406F43">
        <w:rPr>
          <w:rStyle w:val="Hyperlink"/>
        </w:rPr>
        <w:t xml:space="preserve"> </w:t>
      </w:r>
    </w:p>
    <w:p w14:paraId="0F90FC2A" w14:textId="3CCA5ED6" w:rsidR="009A5553" w:rsidRDefault="009A5553" w:rsidP="006A1D89">
      <w:r w:rsidRPr="00D8111A">
        <w:t>All AIDS</w:t>
      </w:r>
      <w:r w:rsidRPr="00D30FE1">
        <w:t xml:space="preserve"> Waiver Services </w:t>
      </w:r>
      <w:r w:rsidR="00795423">
        <w:t>must be prior</w:t>
      </w:r>
      <w:r w:rsidRPr="00AA7956">
        <w:t xml:space="preserve"> authorized by </w:t>
      </w:r>
      <w:r w:rsidR="00795423">
        <w:t>the Department of Health and Senior Services (</w:t>
      </w:r>
      <w:r w:rsidRPr="00D8111A">
        <w:t>DHSS</w:t>
      </w:r>
      <w:r w:rsidR="00795423">
        <w:t>)</w:t>
      </w:r>
      <w:r w:rsidRPr="00D8111A">
        <w:t>.</w:t>
      </w:r>
      <w:r w:rsidR="008A5D20">
        <w:t xml:space="preserve"> </w:t>
      </w:r>
      <w:r w:rsidR="00795423">
        <w:t xml:space="preserve">Refer to </w:t>
      </w:r>
      <w:hyperlink w:anchor="_2.8_Prior_Authorization" w:history="1">
        <w:r w:rsidR="00795423" w:rsidRPr="00406F43">
          <w:rPr>
            <w:rStyle w:val="Hyperlink"/>
          </w:rPr>
          <w:t>Section 2.8</w:t>
        </w:r>
      </w:hyperlink>
      <w:r w:rsidR="00795423">
        <w:t xml:space="preserve"> </w:t>
      </w:r>
      <w:r w:rsidR="00D30FE1">
        <w:t xml:space="preserve">of </w:t>
      </w:r>
      <w:r w:rsidR="00795423">
        <w:t xml:space="preserve">this manual for prior authorization information. </w:t>
      </w:r>
      <w:r w:rsidRPr="00AA7956">
        <w:t xml:space="preserve">Participants must meet AIDS Waiver eligibility criteria to be authorized </w:t>
      </w:r>
      <w:r w:rsidR="008A5D20">
        <w:t xml:space="preserve">for </w:t>
      </w:r>
      <w:r w:rsidRPr="00D8111A">
        <w:t>these services.</w:t>
      </w:r>
      <w:r w:rsidR="008A5D20">
        <w:t xml:space="preserve"> </w:t>
      </w:r>
    </w:p>
    <w:p w14:paraId="02E0F7A4" w14:textId="10F19E72" w:rsidR="0018702E" w:rsidRPr="00B32DE6" w:rsidRDefault="0018702E" w:rsidP="006A1D89">
      <w:pPr>
        <w:rPr>
          <w:rFonts w:eastAsiaTheme="minorHAnsi"/>
          <w:kern w:val="24"/>
        </w:rPr>
      </w:pPr>
      <w:r w:rsidRPr="00B32DE6">
        <w:rPr>
          <w:rFonts w:eastAsiaTheme="minorHAnsi"/>
          <w:kern w:val="24"/>
        </w:rPr>
        <w:t xml:space="preserve">The tables below detail </w:t>
      </w:r>
      <w:r>
        <w:rPr>
          <w:rFonts w:eastAsiaTheme="minorHAnsi"/>
          <w:kern w:val="24"/>
        </w:rPr>
        <w:t xml:space="preserve">procedure codes and </w:t>
      </w:r>
      <w:r w:rsidRPr="00B32DE6">
        <w:rPr>
          <w:rFonts w:eastAsiaTheme="minorHAnsi"/>
          <w:kern w:val="24"/>
        </w:rPr>
        <w:t xml:space="preserve">the units of service for each </w:t>
      </w:r>
      <w:r>
        <w:rPr>
          <w:rFonts w:eastAsiaTheme="minorHAnsi"/>
          <w:kern w:val="24"/>
        </w:rPr>
        <w:t>AIDS Waiver service</w:t>
      </w:r>
      <w:r w:rsidRPr="00B32DE6">
        <w:rPr>
          <w:rFonts w:eastAsiaTheme="minorHAnsi"/>
          <w:kern w:val="24"/>
        </w:rPr>
        <w:t xml:space="preserve">. </w:t>
      </w:r>
      <w:r>
        <w:rPr>
          <w:rFonts w:eastAsiaTheme="minorHAnsi"/>
          <w:kern w:val="24"/>
        </w:rPr>
        <w:t xml:space="preserve">Refer to </w:t>
      </w:r>
      <w:hyperlink w:anchor="_2.1_General_Information" w:history="1">
        <w:r w:rsidRPr="0018702E">
          <w:rPr>
            <w:rStyle w:val="Hyperlink"/>
            <w:rFonts w:eastAsiaTheme="minorHAnsi"/>
            <w:kern w:val="24"/>
          </w:rPr>
          <w:t>Section 2.1</w:t>
        </w:r>
      </w:hyperlink>
      <w:r>
        <w:rPr>
          <w:rFonts w:eastAsiaTheme="minorHAnsi"/>
          <w:kern w:val="24"/>
        </w:rPr>
        <w:t xml:space="preserve"> </w:t>
      </w:r>
      <w:r w:rsidR="00D30FE1">
        <w:rPr>
          <w:rFonts w:eastAsiaTheme="minorHAnsi"/>
          <w:kern w:val="24"/>
        </w:rPr>
        <w:t xml:space="preserve">of </w:t>
      </w:r>
      <w:r>
        <w:rPr>
          <w:rFonts w:eastAsiaTheme="minorHAnsi"/>
          <w:kern w:val="24"/>
        </w:rPr>
        <w:t>this manual for information on each service.</w:t>
      </w:r>
    </w:p>
    <w:p w14:paraId="0B8904E8" w14:textId="5E4AD3D3" w:rsidR="0018702E" w:rsidRPr="00BA3271" w:rsidRDefault="00A52137" w:rsidP="001F3B10">
      <w:pPr>
        <w:pStyle w:val="Heading3"/>
      </w:pPr>
      <w:bookmarkStart w:id="105" w:name="_Toc225253675"/>
      <w:bookmarkStart w:id="106" w:name="_Toc229051546"/>
      <w:r>
        <w:t>5.1</w:t>
      </w:r>
      <w:r w:rsidR="002608F9">
        <w:t xml:space="preserve"> </w:t>
      </w:r>
      <w:r w:rsidR="0018702E" w:rsidRPr="00BA3271">
        <w:t>Waiver Personal Care</w:t>
      </w:r>
      <w:bookmarkEnd w:id="105"/>
      <w:bookmarkEnd w:id="106"/>
    </w:p>
    <w:p w14:paraId="0E6724E7" w14:textId="335C0A9F" w:rsidR="0018702E" w:rsidRDefault="0018702E" w:rsidP="006A1D89">
      <w:r>
        <w:t xml:space="preserve">The following service may be billed by personal care providers. </w:t>
      </w:r>
    </w:p>
    <w:p w14:paraId="5B4B8098" w14:textId="77777777" w:rsidR="00642028" w:rsidRDefault="00642028" w:rsidP="006A1D89"/>
    <w:p w14:paraId="3A095E91" w14:textId="77777777" w:rsidR="00642028" w:rsidRDefault="00642028" w:rsidP="006A1D89"/>
    <w:p w14:paraId="69B5EFD0" w14:textId="77777777" w:rsidR="006A087F" w:rsidRPr="00DA3C01" w:rsidRDefault="006A087F" w:rsidP="00BA3271">
      <w:pPr>
        <w:pStyle w:val="NormalWeb"/>
        <w:spacing w:after="0" w:line="276" w:lineRule="auto"/>
        <w:rPr>
          <w:rFonts w:cs="Tahoma"/>
          <w:szCs w:val="23"/>
        </w:rPr>
      </w:pPr>
    </w:p>
    <w:tbl>
      <w:tblPr>
        <w:tblW w:w="100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7"/>
        <w:gridCol w:w="1352"/>
        <w:gridCol w:w="2431"/>
        <w:gridCol w:w="2493"/>
        <w:gridCol w:w="1917"/>
      </w:tblGrid>
      <w:tr w:rsidR="0018702E" w:rsidRPr="002A0E56" w14:paraId="23138A3D" w14:textId="77777777" w:rsidTr="00DA3C01">
        <w:trPr>
          <w:trHeight w:val="300"/>
          <w:jc w:val="center"/>
        </w:trPr>
        <w:tc>
          <w:tcPr>
            <w:tcW w:w="1887" w:type="dxa"/>
            <w:shd w:val="clear" w:color="auto" w:fill="04427D"/>
            <w:noWrap/>
            <w:vAlign w:val="center"/>
            <w:hideMark/>
          </w:tcPr>
          <w:p w14:paraId="228DEB58" w14:textId="77777777" w:rsidR="0018702E" w:rsidRPr="0084148A" w:rsidRDefault="0018702E" w:rsidP="00BA3271">
            <w:pPr>
              <w:spacing w:line="276" w:lineRule="auto"/>
              <w:jc w:val="center"/>
              <w:rPr>
                <w:b/>
                <w:bCs/>
                <w:color w:val="FFFFFF"/>
                <w:sz w:val="26"/>
                <w:szCs w:val="26"/>
              </w:rPr>
            </w:pPr>
            <w:r w:rsidRPr="0084148A">
              <w:rPr>
                <w:b/>
                <w:bCs/>
                <w:color w:val="FFFFFF"/>
                <w:sz w:val="26"/>
                <w:szCs w:val="26"/>
              </w:rPr>
              <w:t>Procedure Code</w:t>
            </w:r>
          </w:p>
        </w:tc>
        <w:tc>
          <w:tcPr>
            <w:tcW w:w="1352" w:type="dxa"/>
            <w:shd w:val="clear" w:color="auto" w:fill="04427D"/>
            <w:noWrap/>
            <w:vAlign w:val="center"/>
            <w:hideMark/>
          </w:tcPr>
          <w:p w14:paraId="398A5CDE"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Modifier</w:t>
            </w:r>
          </w:p>
        </w:tc>
        <w:tc>
          <w:tcPr>
            <w:tcW w:w="2431" w:type="dxa"/>
            <w:shd w:val="clear" w:color="auto" w:fill="04427D"/>
            <w:noWrap/>
            <w:vAlign w:val="center"/>
            <w:hideMark/>
          </w:tcPr>
          <w:p w14:paraId="0C197F7A"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Description</w:t>
            </w:r>
          </w:p>
        </w:tc>
        <w:tc>
          <w:tcPr>
            <w:tcW w:w="2493" w:type="dxa"/>
            <w:shd w:val="clear" w:color="auto" w:fill="04427D"/>
            <w:noWrap/>
            <w:vAlign w:val="center"/>
            <w:hideMark/>
          </w:tcPr>
          <w:p w14:paraId="493C2218"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P</w:t>
            </w:r>
            <w:r>
              <w:rPr>
                <w:b/>
                <w:bCs/>
                <w:color w:val="FFFFFF"/>
                <w:sz w:val="26"/>
                <w:szCs w:val="26"/>
              </w:rPr>
              <w:t xml:space="preserve">lace </w:t>
            </w:r>
            <w:r w:rsidRPr="002A0E56">
              <w:rPr>
                <w:b/>
                <w:bCs/>
                <w:color w:val="FFFFFF"/>
                <w:sz w:val="26"/>
                <w:szCs w:val="26"/>
              </w:rPr>
              <w:t>O</w:t>
            </w:r>
            <w:r>
              <w:rPr>
                <w:b/>
                <w:bCs/>
                <w:color w:val="FFFFFF"/>
                <w:sz w:val="26"/>
                <w:szCs w:val="26"/>
              </w:rPr>
              <w:t xml:space="preserve">f </w:t>
            </w:r>
            <w:r w:rsidRPr="002A0E56">
              <w:rPr>
                <w:b/>
                <w:bCs/>
                <w:color w:val="FFFFFF"/>
                <w:sz w:val="26"/>
                <w:szCs w:val="26"/>
              </w:rPr>
              <w:t>S</w:t>
            </w:r>
            <w:r>
              <w:rPr>
                <w:b/>
                <w:bCs/>
                <w:color w:val="FFFFFF"/>
                <w:sz w:val="26"/>
                <w:szCs w:val="26"/>
              </w:rPr>
              <w:t>ervice (POS)</w:t>
            </w:r>
          </w:p>
        </w:tc>
        <w:tc>
          <w:tcPr>
            <w:tcW w:w="1917" w:type="dxa"/>
            <w:shd w:val="clear" w:color="auto" w:fill="04427D"/>
            <w:noWrap/>
            <w:vAlign w:val="center"/>
            <w:hideMark/>
          </w:tcPr>
          <w:p w14:paraId="22F4C418"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Unit</w:t>
            </w:r>
          </w:p>
        </w:tc>
      </w:tr>
      <w:tr w:rsidR="0018702E" w:rsidRPr="002A0E56" w14:paraId="4FBCA1B2" w14:textId="77777777" w:rsidTr="00DA3C01">
        <w:trPr>
          <w:trHeight w:val="300"/>
          <w:jc w:val="center"/>
        </w:trPr>
        <w:tc>
          <w:tcPr>
            <w:tcW w:w="1887" w:type="dxa"/>
            <w:shd w:val="clear" w:color="F8CBAD" w:fill="F8CBAD"/>
            <w:noWrap/>
            <w:vAlign w:val="bottom"/>
            <w:hideMark/>
          </w:tcPr>
          <w:p w14:paraId="3FAAFE82" w14:textId="77777777" w:rsidR="0018702E" w:rsidRPr="002A0E56" w:rsidRDefault="0018702E" w:rsidP="00BA3271">
            <w:pPr>
              <w:spacing w:line="276" w:lineRule="auto"/>
              <w:jc w:val="center"/>
              <w:rPr>
                <w:color w:val="000000"/>
              </w:rPr>
            </w:pPr>
            <w:r w:rsidRPr="002A0E56">
              <w:rPr>
                <w:color w:val="000000"/>
              </w:rPr>
              <w:t>T1019</w:t>
            </w:r>
          </w:p>
        </w:tc>
        <w:tc>
          <w:tcPr>
            <w:tcW w:w="1352" w:type="dxa"/>
            <w:shd w:val="clear" w:color="F8CBAD" w:fill="F8CBAD"/>
            <w:noWrap/>
            <w:vAlign w:val="bottom"/>
            <w:hideMark/>
          </w:tcPr>
          <w:p w14:paraId="1DF28B7C" w14:textId="77777777" w:rsidR="0018702E" w:rsidRPr="002A0E56" w:rsidRDefault="0018702E" w:rsidP="00BA3271">
            <w:pPr>
              <w:spacing w:line="276" w:lineRule="auto"/>
              <w:jc w:val="center"/>
              <w:rPr>
                <w:color w:val="000000"/>
              </w:rPr>
            </w:pPr>
            <w:r w:rsidRPr="002A0E56">
              <w:rPr>
                <w:color w:val="000000"/>
              </w:rPr>
              <w:t>U4</w:t>
            </w:r>
          </w:p>
        </w:tc>
        <w:tc>
          <w:tcPr>
            <w:tcW w:w="2431" w:type="dxa"/>
            <w:shd w:val="clear" w:color="F8CBAD" w:fill="F8CBAD"/>
            <w:noWrap/>
            <w:vAlign w:val="bottom"/>
            <w:hideMark/>
          </w:tcPr>
          <w:p w14:paraId="7CDDC7BE" w14:textId="77777777" w:rsidR="0018702E" w:rsidRPr="002A0E56" w:rsidRDefault="0018702E" w:rsidP="00BA3271">
            <w:pPr>
              <w:spacing w:line="276" w:lineRule="auto"/>
              <w:jc w:val="center"/>
              <w:rPr>
                <w:color w:val="000000"/>
              </w:rPr>
            </w:pPr>
            <w:r w:rsidRPr="002A0E56">
              <w:rPr>
                <w:color w:val="000000"/>
              </w:rPr>
              <w:t>Waiver Personal Care</w:t>
            </w:r>
          </w:p>
        </w:tc>
        <w:tc>
          <w:tcPr>
            <w:tcW w:w="2493" w:type="dxa"/>
            <w:shd w:val="clear" w:color="F8CBAD" w:fill="F8CBAD"/>
            <w:noWrap/>
            <w:vAlign w:val="bottom"/>
            <w:hideMark/>
          </w:tcPr>
          <w:p w14:paraId="6344D0F6" w14:textId="77777777" w:rsidR="0018702E" w:rsidRPr="002A0E56" w:rsidRDefault="0018702E" w:rsidP="00BA3271">
            <w:pPr>
              <w:spacing w:line="276" w:lineRule="auto"/>
              <w:jc w:val="center"/>
              <w:rPr>
                <w:color w:val="000000"/>
              </w:rPr>
            </w:pPr>
            <w:r w:rsidRPr="002A0E56">
              <w:rPr>
                <w:color w:val="000000"/>
              </w:rPr>
              <w:t>12</w:t>
            </w:r>
          </w:p>
        </w:tc>
        <w:tc>
          <w:tcPr>
            <w:tcW w:w="1917" w:type="dxa"/>
            <w:shd w:val="clear" w:color="F8CBAD" w:fill="F8CBAD"/>
            <w:noWrap/>
            <w:vAlign w:val="bottom"/>
            <w:hideMark/>
          </w:tcPr>
          <w:p w14:paraId="621160D4" w14:textId="77777777" w:rsidR="0018702E" w:rsidRPr="002A0E56" w:rsidRDefault="0018702E" w:rsidP="00BA3271">
            <w:pPr>
              <w:spacing w:line="276" w:lineRule="auto"/>
              <w:jc w:val="center"/>
              <w:rPr>
                <w:color w:val="000000"/>
              </w:rPr>
            </w:pPr>
            <w:r w:rsidRPr="002A0E56">
              <w:rPr>
                <w:color w:val="000000"/>
              </w:rPr>
              <w:t>15 Min</w:t>
            </w:r>
          </w:p>
        </w:tc>
      </w:tr>
    </w:tbl>
    <w:p w14:paraId="12940D19" w14:textId="551204BB" w:rsidR="0018702E" w:rsidRPr="00BA3271" w:rsidRDefault="00A52137" w:rsidP="001F3B10">
      <w:pPr>
        <w:pStyle w:val="Heading3"/>
        <w:rPr>
          <w:i/>
        </w:rPr>
      </w:pPr>
      <w:bookmarkStart w:id="107" w:name="_Toc225253676"/>
      <w:bookmarkStart w:id="108" w:name="_Toc229051547"/>
      <w:r>
        <w:t>5.2</w:t>
      </w:r>
      <w:r w:rsidR="002608F9">
        <w:t xml:space="preserve"> </w:t>
      </w:r>
      <w:r w:rsidR="0018702E" w:rsidRPr="00BA3271">
        <w:t>Waiver Attendant Care</w:t>
      </w:r>
      <w:bookmarkEnd w:id="107"/>
      <w:bookmarkEnd w:id="108"/>
    </w:p>
    <w:p w14:paraId="54C72CFB" w14:textId="16D3B57D" w:rsidR="0018702E" w:rsidRDefault="0018702E" w:rsidP="00887137">
      <w:pPr>
        <w:pStyle w:val="NormalWeb"/>
        <w:spacing w:after="0" w:line="276" w:lineRule="auto"/>
        <w:rPr>
          <w:rFonts w:cs="Tahoma"/>
          <w:szCs w:val="23"/>
        </w:rPr>
      </w:pPr>
      <w:r w:rsidRPr="006A1D89">
        <w:t>A unit of waiver attendant care is defined as a calendar day and includes services as specified in an individual plan of care. The following services may be billed by personal care providers</w:t>
      </w:r>
      <w:r>
        <w:rPr>
          <w:rFonts w:cs="Tahoma"/>
          <w:szCs w:val="23"/>
        </w:rPr>
        <w:t xml:space="preserve">. </w:t>
      </w:r>
    </w:p>
    <w:p w14:paraId="208B7D8D" w14:textId="77777777" w:rsidR="006A087F" w:rsidRPr="002A0E56" w:rsidRDefault="006A087F" w:rsidP="00BA3271">
      <w:pPr>
        <w:pStyle w:val="NormalWeb"/>
        <w:spacing w:after="0" w:line="276" w:lineRule="auto"/>
        <w:rPr>
          <w:rFonts w:cs="Tahoma"/>
          <w:szCs w:val="23"/>
        </w:rPr>
      </w:pPr>
    </w:p>
    <w:tbl>
      <w:tblPr>
        <w:tblW w:w="99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1350"/>
        <w:gridCol w:w="2700"/>
        <w:gridCol w:w="2250"/>
        <w:gridCol w:w="1800"/>
      </w:tblGrid>
      <w:tr w:rsidR="0018702E" w:rsidRPr="002A0E56" w14:paraId="6CC905E7" w14:textId="77777777" w:rsidTr="00DA3C01">
        <w:trPr>
          <w:trHeight w:val="300"/>
        </w:trPr>
        <w:tc>
          <w:tcPr>
            <w:tcW w:w="1890" w:type="dxa"/>
            <w:shd w:val="clear" w:color="auto" w:fill="04427D"/>
            <w:noWrap/>
            <w:vAlign w:val="center"/>
            <w:hideMark/>
          </w:tcPr>
          <w:p w14:paraId="78157C29"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Procedure Code</w:t>
            </w:r>
          </w:p>
        </w:tc>
        <w:tc>
          <w:tcPr>
            <w:tcW w:w="1350" w:type="dxa"/>
            <w:shd w:val="clear" w:color="auto" w:fill="04427D"/>
            <w:noWrap/>
            <w:vAlign w:val="center"/>
            <w:hideMark/>
          </w:tcPr>
          <w:p w14:paraId="6B492F12"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Modifier</w:t>
            </w:r>
          </w:p>
        </w:tc>
        <w:tc>
          <w:tcPr>
            <w:tcW w:w="2700" w:type="dxa"/>
            <w:shd w:val="clear" w:color="auto" w:fill="04427D"/>
            <w:noWrap/>
            <w:vAlign w:val="center"/>
            <w:hideMark/>
          </w:tcPr>
          <w:p w14:paraId="719FC13E"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Description</w:t>
            </w:r>
          </w:p>
        </w:tc>
        <w:tc>
          <w:tcPr>
            <w:tcW w:w="2250" w:type="dxa"/>
            <w:shd w:val="clear" w:color="auto" w:fill="04427D"/>
            <w:noWrap/>
            <w:vAlign w:val="center"/>
            <w:hideMark/>
          </w:tcPr>
          <w:p w14:paraId="18C56388"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POS</w:t>
            </w:r>
          </w:p>
        </w:tc>
        <w:tc>
          <w:tcPr>
            <w:tcW w:w="1800" w:type="dxa"/>
            <w:shd w:val="clear" w:color="auto" w:fill="04427D"/>
            <w:noWrap/>
            <w:vAlign w:val="center"/>
            <w:hideMark/>
          </w:tcPr>
          <w:p w14:paraId="6788238F"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Unit</w:t>
            </w:r>
          </w:p>
        </w:tc>
      </w:tr>
      <w:tr w:rsidR="0018702E" w:rsidRPr="002A0E56" w14:paraId="280A8038" w14:textId="77777777" w:rsidTr="00DA3C01">
        <w:trPr>
          <w:trHeight w:val="300"/>
        </w:trPr>
        <w:tc>
          <w:tcPr>
            <w:tcW w:w="1890" w:type="dxa"/>
            <w:shd w:val="clear" w:color="F8CBAD" w:fill="F8CBAD"/>
            <w:noWrap/>
            <w:hideMark/>
          </w:tcPr>
          <w:p w14:paraId="76F470C4" w14:textId="77777777" w:rsidR="0018702E" w:rsidRPr="002A0E56" w:rsidRDefault="0018702E" w:rsidP="00BA3271">
            <w:pPr>
              <w:spacing w:line="276" w:lineRule="auto"/>
              <w:jc w:val="center"/>
              <w:rPr>
                <w:color w:val="000000"/>
              </w:rPr>
            </w:pPr>
            <w:r w:rsidRPr="002A0E56">
              <w:rPr>
                <w:color w:val="000000"/>
              </w:rPr>
              <w:t>S5126</w:t>
            </w:r>
          </w:p>
        </w:tc>
        <w:tc>
          <w:tcPr>
            <w:tcW w:w="1350" w:type="dxa"/>
            <w:shd w:val="clear" w:color="F8CBAD" w:fill="F8CBAD"/>
            <w:noWrap/>
            <w:hideMark/>
          </w:tcPr>
          <w:p w14:paraId="1A97072A" w14:textId="77777777" w:rsidR="0018702E" w:rsidRPr="002A0E56" w:rsidRDefault="0018702E" w:rsidP="00BA3271">
            <w:pPr>
              <w:spacing w:line="276" w:lineRule="auto"/>
              <w:jc w:val="center"/>
              <w:rPr>
                <w:color w:val="000000"/>
              </w:rPr>
            </w:pPr>
            <w:r w:rsidRPr="002A0E56">
              <w:rPr>
                <w:color w:val="000000"/>
              </w:rPr>
              <w:t>U4</w:t>
            </w:r>
          </w:p>
        </w:tc>
        <w:tc>
          <w:tcPr>
            <w:tcW w:w="2700" w:type="dxa"/>
            <w:shd w:val="clear" w:color="F8CBAD" w:fill="F8CBAD"/>
            <w:noWrap/>
            <w:hideMark/>
          </w:tcPr>
          <w:p w14:paraId="2EFAA8C1" w14:textId="77777777" w:rsidR="0018702E" w:rsidRPr="002A0E56" w:rsidRDefault="0018702E" w:rsidP="00BA3271">
            <w:pPr>
              <w:spacing w:line="276" w:lineRule="auto"/>
              <w:jc w:val="center"/>
              <w:rPr>
                <w:color w:val="000000"/>
              </w:rPr>
            </w:pPr>
            <w:r w:rsidRPr="002A0E56">
              <w:rPr>
                <w:color w:val="000000"/>
              </w:rPr>
              <w:t>Waiver Attendant Care</w:t>
            </w:r>
          </w:p>
        </w:tc>
        <w:tc>
          <w:tcPr>
            <w:tcW w:w="2250" w:type="dxa"/>
            <w:shd w:val="clear" w:color="F8CBAD" w:fill="F8CBAD"/>
            <w:noWrap/>
            <w:hideMark/>
          </w:tcPr>
          <w:p w14:paraId="6128CD6D" w14:textId="77777777" w:rsidR="0018702E" w:rsidRPr="002A0E56" w:rsidRDefault="0018702E" w:rsidP="00BA3271">
            <w:pPr>
              <w:spacing w:line="276" w:lineRule="auto"/>
              <w:jc w:val="center"/>
              <w:rPr>
                <w:color w:val="000000"/>
              </w:rPr>
            </w:pPr>
            <w:r w:rsidRPr="002A0E56">
              <w:rPr>
                <w:color w:val="000000"/>
              </w:rPr>
              <w:t>12</w:t>
            </w:r>
          </w:p>
        </w:tc>
        <w:tc>
          <w:tcPr>
            <w:tcW w:w="1800" w:type="dxa"/>
            <w:shd w:val="clear" w:color="F8CBAD" w:fill="F8CBAD"/>
            <w:noWrap/>
            <w:hideMark/>
          </w:tcPr>
          <w:p w14:paraId="755DBC37" w14:textId="22EAB114" w:rsidR="0018702E" w:rsidRPr="002A0E56" w:rsidRDefault="00D30FE1" w:rsidP="00BA3271">
            <w:pPr>
              <w:spacing w:line="276" w:lineRule="auto"/>
              <w:jc w:val="center"/>
              <w:rPr>
                <w:color w:val="000000"/>
              </w:rPr>
            </w:pPr>
            <w:r>
              <w:rPr>
                <w:color w:val="000000"/>
              </w:rPr>
              <w:t>1 Day</w:t>
            </w:r>
          </w:p>
        </w:tc>
      </w:tr>
    </w:tbl>
    <w:p w14:paraId="35E5B019" w14:textId="0E3B0C34" w:rsidR="0018702E" w:rsidRPr="002A0E56" w:rsidRDefault="00D30FE1" w:rsidP="00D162D9">
      <w:r w:rsidRPr="006A1D89">
        <w:t>Specialized medical s</w:t>
      </w:r>
      <w:r w:rsidR="0018702E" w:rsidRPr="006A1D89">
        <w:t>upplies may be prior authorized and billed in addition to waiver attendant care services. Home health and/or personal care services may not be billed on the same date of service as waiver attendant care</w:t>
      </w:r>
      <w:r w:rsidR="0018702E" w:rsidRPr="002A0E56">
        <w:t>.</w:t>
      </w:r>
    </w:p>
    <w:p w14:paraId="47A17B0F" w14:textId="117688A5" w:rsidR="0018702E" w:rsidRPr="00BA3271" w:rsidRDefault="00A52137" w:rsidP="001F3B10">
      <w:pPr>
        <w:pStyle w:val="Heading3"/>
        <w:rPr>
          <w:i/>
        </w:rPr>
      </w:pPr>
      <w:bookmarkStart w:id="109" w:name="_Toc225253677"/>
      <w:bookmarkStart w:id="110" w:name="_Toc229051548"/>
      <w:r w:rsidRPr="00BA3271">
        <w:t>5.3</w:t>
      </w:r>
      <w:r w:rsidR="002608F9">
        <w:t xml:space="preserve"> </w:t>
      </w:r>
      <w:r w:rsidR="0018702E" w:rsidRPr="00BA3271">
        <w:t>Specialized Medical Supplies</w:t>
      </w:r>
      <w:bookmarkEnd w:id="109"/>
      <w:bookmarkEnd w:id="110"/>
    </w:p>
    <w:p w14:paraId="18FACF56" w14:textId="70B78D57" w:rsidR="0018702E" w:rsidRDefault="0018702E" w:rsidP="006A1D89">
      <w:r>
        <w:rPr>
          <w:rFonts w:eastAsiaTheme="minorHAnsi"/>
        </w:rPr>
        <w:t xml:space="preserve">The following services may be billed by Durable Medical Equipment (DME) providers. Supplies </w:t>
      </w:r>
      <w:r w:rsidRPr="002A0E56">
        <w:rPr>
          <w:rFonts w:eastAsiaTheme="minorHAnsi"/>
        </w:rPr>
        <w:t>may include gloves, incontinence briefs/diapers</w:t>
      </w:r>
      <w:r>
        <w:rPr>
          <w:rFonts w:eastAsiaTheme="minorHAnsi"/>
        </w:rPr>
        <w:t xml:space="preserve">, and </w:t>
      </w:r>
      <w:proofErr w:type="spellStart"/>
      <w:r w:rsidRPr="002A0E56">
        <w:rPr>
          <w:rFonts w:eastAsiaTheme="minorHAnsi"/>
        </w:rPr>
        <w:t>underpads</w:t>
      </w:r>
      <w:proofErr w:type="spellEnd"/>
      <w:r>
        <w:rPr>
          <w:rFonts w:eastAsiaTheme="minorHAnsi"/>
        </w:rPr>
        <w:t xml:space="preserve">. </w:t>
      </w:r>
      <w:r w:rsidRPr="002A0E56">
        <w:t>All supplies should be billed once a month as a single unit, with one date of service and one charge, on one line.</w:t>
      </w:r>
    </w:p>
    <w:p w14:paraId="6E34A439" w14:textId="77777777" w:rsidR="006A087F" w:rsidRPr="00D8111A" w:rsidRDefault="006A087F" w:rsidP="00BA3271">
      <w:pPr>
        <w:spacing w:line="276" w:lineRule="auto"/>
        <w:rPr>
          <w:rFonts w:eastAsiaTheme="minorHAnsi"/>
        </w:rPr>
      </w:pPr>
    </w:p>
    <w:tbl>
      <w:tblPr>
        <w:tblW w:w="99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90"/>
        <w:gridCol w:w="1440"/>
        <w:gridCol w:w="2610"/>
        <w:gridCol w:w="2340"/>
        <w:gridCol w:w="1710"/>
      </w:tblGrid>
      <w:tr w:rsidR="0018702E" w:rsidRPr="002A0E56" w14:paraId="73AA30D9" w14:textId="77777777" w:rsidTr="00DA3C01">
        <w:trPr>
          <w:trHeight w:val="300"/>
        </w:trPr>
        <w:tc>
          <w:tcPr>
            <w:tcW w:w="1890" w:type="dxa"/>
            <w:shd w:val="clear" w:color="auto" w:fill="04427D"/>
            <w:noWrap/>
            <w:vAlign w:val="center"/>
            <w:hideMark/>
          </w:tcPr>
          <w:p w14:paraId="68F0C465"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Procedure Code</w:t>
            </w:r>
          </w:p>
        </w:tc>
        <w:tc>
          <w:tcPr>
            <w:tcW w:w="1440" w:type="dxa"/>
            <w:shd w:val="clear" w:color="auto" w:fill="04427D"/>
            <w:noWrap/>
            <w:vAlign w:val="center"/>
            <w:hideMark/>
          </w:tcPr>
          <w:p w14:paraId="77AB52B2"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Modifier</w:t>
            </w:r>
          </w:p>
        </w:tc>
        <w:tc>
          <w:tcPr>
            <w:tcW w:w="2610" w:type="dxa"/>
            <w:shd w:val="clear" w:color="auto" w:fill="04427D"/>
            <w:noWrap/>
            <w:vAlign w:val="center"/>
            <w:hideMark/>
          </w:tcPr>
          <w:p w14:paraId="0290681C"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Description</w:t>
            </w:r>
          </w:p>
        </w:tc>
        <w:tc>
          <w:tcPr>
            <w:tcW w:w="2340" w:type="dxa"/>
            <w:shd w:val="clear" w:color="auto" w:fill="04427D"/>
            <w:noWrap/>
            <w:vAlign w:val="center"/>
            <w:hideMark/>
          </w:tcPr>
          <w:p w14:paraId="78F6ADF2"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POS</w:t>
            </w:r>
          </w:p>
        </w:tc>
        <w:tc>
          <w:tcPr>
            <w:tcW w:w="1710" w:type="dxa"/>
            <w:shd w:val="clear" w:color="auto" w:fill="04427D"/>
            <w:noWrap/>
            <w:vAlign w:val="center"/>
            <w:hideMark/>
          </w:tcPr>
          <w:p w14:paraId="2A7C0A77" w14:textId="77777777" w:rsidR="0018702E" w:rsidRPr="002A0E56" w:rsidRDefault="0018702E" w:rsidP="00BA3271">
            <w:pPr>
              <w:spacing w:line="276" w:lineRule="auto"/>
              <w:jc w:val="center"/>
              <w:rPr>
                <w:b/>
                <w:bCs/>
                <w:color w:val="FFFFFF"/>
                <w:sz w:val="26"/>
                <w:szCs w:val="26"/>
              </w:rPr>
            </w:pPr>
            <w:r w:rsidRPr="002A0E56">
              <w:rPr>
                <w:b/>
                <w:bCs/>
                <w:color w:val="FFFFFF"/>
                <w:sz w:val="26"/>
                <w:szCs w:val="26"/>
              </w:rPr>
              <w:t>Unit</w:t>
            </w:r>
          </w:p>
        </w:tc>
      </w:tr>
      <w:tr w:rsidR="0018702E" w:rsidRPr="002A0E56" w14:paraId="148A9CCE" w14:textId="77777777" w:rsidTr="00D8111A">
        <w:trPr>
          <w:trHeight w:val="300"/>
        </w:trPr>
        <w:tc>
          <w:tcPr>
            <w:tcW w:w="1890" w:type="dxa"/>
            <w:shd w:val="clear" w:color="F8CBAD" w:fill="F8CBAD"/>
            <w:noWrap/>
            <w:hideMark/>
          </w:tcPr>
          <w:p w14:paraId="6320E8D2" w14:textId="77777777" w:rsidR="0018702E" w:rsidRPr="002A0E56" w:rsidRDefault="0018702E" w:rsidP="00BA3271">
            <w:pPr>
              <w:spacing w:line="276" w:lineRule="auto"/>
              <w:jc w:val="center"/>
              <w:rPr>
                <w:color w:val="000000"/>
              </w:rPr>
            </w:pPr>
            <w:r w:rsidRPr="002A0E56">
              <w:rPr>
                <w:color w:val="000000"/>
              </w:rPr>
              <w:t>T2028</w:t>
            </w:r>
          </w:p>
        </w:tc>
        <w:tc>
          <w:tcPr>
            <w:tcW w:w="1440" w:type="dxa"/>
            <w:shd w:val="clear" w:color="F8CBAD" w:fill="F8CBAD"/>
            <w:noWrap/>
            <w:hideMark/>
          </w:tcPr>
          <w:p w14:paraId="0090A107" w14:textId="77777777" w:rsidR="0018702E" w:rsidRPr="002A0E56" w:rsidRDefault="0018702E" w:rsidP="00BA3271">
            <w:pPr>
              <w:spacing w:line="276" w:lineRule="auto"/>
              <w:jc w:val="center"/>
              <w:rPr>
                <w:color w:val="000000"/>
              </w:rPr>
            </w:pPr>
            <w:r w:rsidRPr="002A0E56">
              <w:rPr>
                <w:color w:val="000000"/>
              </w:rPr>
              <w:t>U4</w:t>
            </w:r>
          </w:p>
        </w:tc>
        <w:tc>
          <w:tcPr>
            <w:tcW w:w="2610" w:type="dxa"/>
            <w:shd w:val="clear" w:color="F8CBAD" w:fill="F8CBAD"/>
            <w:noWrap/>
            <w:vAlign w:val="center"/>
            <w:hideMark/>
          </w:tcPr>
          <w:p w14:paraId="477E29C3" w14:textId="781F49A1" w:rsidR="0018702E" w:rsidRPr="002A0E56" w:rsidRDefault="0018702E" w:rsidP="00BA3271">
            <w:pPr>
              <w:spacing w:line="276" w:lineRule="auto"/>
              <w:jc w:val="left"/>
              <w:rPr>
                <w:color w:val="000000"/>
              </w:rPr>
            </w:pPr>
            <w:r>
              <w:rPr>
                <w:color w:val="000000"/>
              </w:rPr>
              <w:t xml:space="preserve">Specialized supplies, not otherwise specified, waiver </w:t>
            </w:r>
            <w:r w:rsidRPr="002A0E56">
              <w:rPr>
                <w:color w:val="000000"/>
              </w:rPr>
              <w:t xml:space="preserve"> </w:t>
            </w:r>
          </w:p>
        </w:tc>
        <w:tc>
          <w:tcPr>
            <w:tcW w:w="2340" w:type="dxa"/>
            <w:shd w:val="clear" w:color="F8CBAD" w:fill="F8CBAD"/>
            <w:noWrap/>
            <w:hideMark/>
          </w:tcPr>
          <w:p w14:paraId="4E14FBBA" w14:textId="77777777" w:rsidR="0018702E" w:rsidRPr="002A0E56" w:rsidRDefault="0018702E" w:rsidP="00BA3271">
            <w:pPr>
              <w:spacing w:line="276" w:lineRule="auto"/>
              <w:jc w:val="center"/>
              <w:rPr>
                <w:color w:val="000000"/>
              </w:rPr>
            </w:pPr>
            <w:r w:rsidRPr="002A0E56">
              <w:rPr>
                <w:color w:val="000000"/>
              </w:rPr>
              <w:t>12</w:t>
            </w:r>
          </w:p>
        </w:tc>
        <w:tc>
          <w:tcPr>
            <w:tcW w:w="1710" w:type="dxa"/>
            <w:shd w:val="clear" w:color="F8CBAD" w:fill="F8CBAD"/>
            <w:noWrap/>
            <w:hideMark/>
          </w:tcPr>
          <w:p w14:paraId="1609E45E" w14:textId="77777777" w:rsidR="0018702E" w:rsidRPr="002A0E56" w:rsidRDefault="0018702E" w:rsidP="00BA3271">
            <w:pPr>
              <w:spacing w:line="276" w:lineRule="auto"/>
              <w:jc w:val="center"/>
              <w:rPr>
                <w:color w:val="000000"/>
              </w:rPr>
            </w:pPr>
            <w:r w:rsidRPr="002A0E56">
              <w:rPr>
                <w:color w:val="000000"/>
              </w:rPr>
              <w:t>1</w:t>
            </w:r>
          </w:p>
        </w:tc>
      </w:tr>
    </w:tbl>
    <w:p w14:paraId="79EF33E6" w14:textId="12D92222" w:rsidR="00D14326" w:rsidRPr="002A0E56" w:rsidRDefault="00D14326" w:rsidP="00BA3271">
      <w:pPr>
        <w:pStyle w:val="NormalWeb"/>
        <w:spacing w:after="0" w:line="276" w:lineRule="auto"/>
        <w:rPr>
          <w:rFonts w:cs="Tahoma"/>
        </w:rPr>
      </w:pPr>
    </w:p>
    <w:sectPr w:rsidR="00D14326" w:rsidRPr="002A0E56" w:rsidSect="00466AF1">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9634" w14:textId="77777777" w:rsidR="002C6B09" w:rsidRDefault="002C6B09">
      <w:r>
        <w:separator/>
      </w:r>
    </w:p>
  </w:endnote>
  <w:endnote w:type="continuationSeparator" w:id="0">
    <w:p w14:paraId="0C585D10" w14:textId="77777777" w:rsidR="002C6B09" w:rsidRDefault="002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E2EF" w14:textId="77777777" w:rsidR="005C456E" w:rsidRPr="008C022F" w:rsidRDefault="005C456E">
    <w:pPr>
      <w:pStyle w:val="Footer"/>
      <w:rPr>
        <w:sz w:val="24"/>
        <w:szCs w:val="24"/>
      </w:rPr>
    </w:pPr>
    <w:r>
      <w:rPr>
        <w:rStyle w:val="PageNumber"/>
      </w:rPr>
      <w:tab/>
    </w:r>
    <w:r w:rsidRPr="008C022F">
      <w:rPr>
        <w:rStyle w:val="PageNumber"/>
        <w:sz w:val="24"/>
        <w:szCs w:val="24"/>
      </w:rPr>
      <w:fldChar w:fldCharType="begin"/>
    </w:r>
    <w:r w:rsidRPr="008C022F">
      <w:rPr>
        <w:rStyle w:val="PageNumber"/>
        <w:sz w:val="24"/>
        <w:szCs w:val="24"/>
      </w:rPr>
      <w:instrText xml:space="preserve"> PAGE </w:instrText>
    </w:r>
    <w:r w:rsidRPr="008C022F">
      <w:rPr>
        <w:rStyle w:val="PageNumber"/>
        <w:sz w:val="24"/>
        <w:szCs w:val="24"/>
      </w:rPr>
      <w:fldChar w:fldCharType="separate"/>
    </w:r>
    <w:r w:rsidR="00125FDD">
      <w:rPr>
        <w:rStyle w:val="PageNumber"/>
        <w:noProof/>
        <w:sz w:val="24"/>
        <w:szCs w:val="24"/>
      </w:rPr>
      <w:t>2</w:t>
    </w:r>
    <w:r w:rsidRPr="008C022F">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9DD0" w14:textId="77777777" w:rsidR="002C6B09" w:rsidRDefault="002C6B09">
      <w:r>
        <w:separator/>
      </w:r>
    </w:p>
  </w:footnote>
  <w:footnote w:type="continuationSeparator" w:id="0">
    <w:p w14:paraId="472500FE" w14:textId="77777777" w:rsidR="002C6B09" w:rsidRDefault="002C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8797" w14:textId="6B0F0B45" w:rsidR="005C456E" w:rsidRDefault="005C456E" w:rsidP="00CF1899">
    <w:pPr>
      <w:pStyle w:val="Header"/>
      <w:spacing w:before="0"/>
    </w:pPr>
    <w:r w:rsidRPr="0089219D">
      <w:t xml:space="preserve">AIDS </w:t>
    </w:r>
    <w:r>
      <w:t xml:space="preserve">Waiver </w:t>
    </w:r>
    <w:r w:rsidRPr="0089219D">
      <w:t xml:space="preserve">Provider Manual – </w:t>
    </w:r>
    <w:r w:rsidR="00AC3C62">
      <w:t>04/09</w:t>
    </w:r>
    <w:r w:rsidR="003A7308">
      <w:t>/2026</w:t>
    </w:r>
    <w:r w:rsidR="003A73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846444"/>
    <w:multiLevelType w:val="hybridMultilevel"/>
    <w:tmpl w:val="9C12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44E61"/>
    <w:multiLevelType w:val="hybridMultilevel"/>
    <w:tmpl w:val="975E84AA"/>
    <w:lvl w:ilvl="0" w:tplc="0A6C3F04">
      <w:start w:val="1"/>
      <w:numFmt w:val="bullet"/>
      <w:pStyle w:val="NL3left18Hanging015"/>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6"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556645">
    <w:abstractNumId w:val="5"/>
  </w:num>
  <w:num w:numId="2" w16cid:durableId="1884176707">
    <w:abstractNumId w:val="2"/>
  </w:num>
  <w:num w:numId="3" w16cid:durableId="847527371">
    <w:abstractNumId w:val="0"/>
  </w:num>
  <w:num w:numId="4" w16cid:durableId="297036837">
    <w:abstractNumId w:val="1"/>
  </w:num>
  <w:num w:numId="5" w16cid:durableId="1501196841">
    <w:abstractNumId w:val="4"/>
  </w:num>
  <w:num w:numId="6" w16cid:durableId="585268515">
    <w:abstractNumId w:val="6"/>
  </w:num>
  <w:num w:numId="7" w16cid:durableId="15395876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Wr0pQkAYJY1Uxb8QTbbQTlzuVCMIvO1+qYYl+DYjJH/1+RvSuBZZnuArjCGOID0EzZy0NMVJV0K/1jXnmKXmA==" w:salt="SA3/QXeBipUZzVXIM203Cw=="/>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A4"/>
    <w:rsid w:val="00005589"/>
    <w:rsid w:val="00012979"/>
    <w:rsid w:val="00015284"/>
    <w:rsid w:val="0002083E"/>
    <w:rsid w:val="000213A3"/>
    <w:rsid w:val="0002254B"/>
    <w:rsid w:val="00026187"/>
    <w:rsid w:val="00033C8B"/>
    <w:rsid w:val="00035CBA"/>
    <w:rsid w:val="00037502"/>
    <w:rsid w:val="00043545"/>
    <w:rsid w:val="00043D01"/>
    <w:rsid w:val="00043FFD"/>
    <w:rsid w:val="00046900"/>
    <w:rsid w:val="00047F6B"/>
    <w:rsid w:val="00050199"/>
    <w:rsid w:val="000540A4"/>
    <w:rsid w:val="00054317"/>
    <w:rsid w:val="00057586"/>
    <w:rsid w:val="00061560"/>
    <w:rsid w:val="000672DB"/>
    <w:rsid w:val="00071716"/>
    <w:rsid w:val="0007237A"/>
    <w:rsid w:val="00072BF6"/>
    <w:rsid w:val="00073F2C"/>
    <w:rsid w:val="000752E3"/>
    <w:rsid w:val="00083DF1"/>
    <w:rsid w:val="00085876"/>
    <w:rsid w:val="0008632E"/>
    <w:rsid w:val="00090292"/>
    <w:rsid w:val="00094FC1"/>
    <w:rsid w:val="0009553C"/>
    <w:rsid w:val="00095A84"/>
    <w:rsid w:val="00096631"/>
    <w:rsid w:val="000A0524"/>
    <w:rsid w:val="000A1F6A"/>
    <w:rsid w:val="000A7AA2"/>
    <w:rsid w:val="000B213B"/>
    <w:rsid w:val="000B3832"/>
    <w:rsid w:val="000C0151"/>
    <w:rsid w:val="000C5DF5"/>
    <w:rsid w:val="000C6EC6"/>
    <w:rsid w:val="000D1DB6"/>
    <w:rsid w:val="000D6365"/>
    <w:rsid w:val="000E20DF"/>
    <w:rsid w:val="000E21C0"/>
    <w:rsid w:val="000E238D"/>
    <w:rsid w:val="000E23EE"/>
    <w:rsid w:val="000E3B8C"/>
    <w:rsid w:val="000E572F"/>
    <w:rsid w:val="000E70C2"/>
    <w:rsid w:val="000E7AD0"/>
    <w:rsid w:val="000E7E1F"/>
    <w:rsid w:val="000F0FEE"/>
    <w:rsid w:val="000F2587"/>
    <w:rsid w:val="00102731"/>
    <w:rsid w:val="00103493"/>
    <w:rsid w:val="0010564B"/>
    <w:rsid w:val="001071F3"/>
    <w:rsid w:val="001110FB"/>
    <w:rsid w:val="00111E17"/>
    <w:rsid w:val="001122F3"/>
    <w:rsid w:val="001212B1"/>
    <w:rsid w:val="00125FDD"/>
    <w:rsid w:val="001303B0"/>
    <w:rsid w:val="001340D1"/>
    <w:rsid w:val="00135AD1"/>
    <w:rsid w:val="00137814"/>
    <w:rsid w:val="00137C68"/>
    <w:rsid w:val="00141DE9"/>
    <w:rsid w:val="00144725"/>
    <w:rsid w:val="00146CFB"/>
    <w:rsid w:val="00146FF4"/>
    <w:rsid w:val="001521CF"/>
    <w:rsid w:val="001556C7"/>
    <w:rsid w:val="00157444"/>
    <w:rsid w:val="0015773A"/>
    <w:rsid w:val="001611D9"/>
    <w:rsid w:val="00166537"/>
    <w:rsid w:val="0017018D"/>
    <w:rsid w:val="00171BAC"/>
    <w:rsid w:val="00172B7A"/>
    <w:rsid w:val="001837CF"/>
    <w:rsid w:val="00184C9C"/>
    <w:rsid w:val="0018702E"/>
    <w:rsid w:val="0019203F"/>
    <w:rsid w:val="001929E2"/>
    <w:rsid w:val="00194C1B"/>
    <w:rsid w:val="001974FD"/>
    <w:rsid w:val="001A15DA"/>
    <w:rsid w:val="001A1AAC"/>
    <w:rsid w:val="001A7FF4"/>
    <w:rsid w:val="001B5F28"/>
    <w:rsid w:val="001C1C4B"/>
    <w:rsid w:val="001C631A"/>
    <w:rsid w:val="001C7E96"/>
    <w:rsid w:val="001D2EA4"/>
    <w:rsid w:val="001D5395"/>
    <w:rsid w:val="001D6750"/>
    <w:rsid w:val="001E711B"/>
    <w:rsid w:val="001F3B10"/>
    <w:rsid w:val="001F45C0"/>
    <w:rsid w:val="001F4C76"/>
    <w:rsid w:val="001F525E"/>
    <w:rsid w:val="001F6AA4"/>
    <w:rsid w:val="002019B3"/>
    <w:rsid w:val="00204514"/>
    <w:rsid w:val="00205254"/>
    <w:rsid w:val="00205DC7"/>
    <w:rsid w:val="0021317F"/>
    <w:rsid w:val="00214E3F"/>
    <w:rsid w:val="00215FAD"/>
    <w:rsid w:val="00216E9B"/>
    <w:rsid w:val="00223805"/>
    <w:rsid w:val="002240E7"/>
    <w:rsid w:val="00225ADA"/>
    <w:rsid w:val="00231C2D"/>
    <w:rsid w:val="0023218E"/>
    <w:rsid w:val="00232566"/>
    <w:rsid w:val="00234658"/>
    <w:rsid w:val="002346EF"/>
    <w:rsid w:val="002371FC"/>
    <w:rsid w:val="002375F4"/>
    <w:rsid w:val="00242AFA"/>
    <w:rsid w:val="00242EDA"/>
    <w:rsid w:val="002437E9"/>
    <w:rsid w:val="00243976"/>
    <w:rsid w:val="00244CCA"/>
    <w:rsid w:val="00250431"/>
    <w:rsid w:val="00250981"/>
    <w:rsid w:val="00251591"/>
    <w:rsid w:val="00252B1F"/>
    <w:rsid w:val="0025695A"/>
    <w:rsid w:val="0025700A"/>
    <w:rsid w:val="002578CB"/>
    <w:rsid w:val="002608F9"/>
    <w:rsid w:val="002669A6"/>
    <w:rsid w:val="00272736"/>
    <w:rsid w:val="00275077"/>
    <w:rsid w:val="0027544A"/>
    <w:rsid w:val="0028145D"/>
    <w:rsid w:val="00284B35"/>
    <w:rsid w:val="002909EE"/>
    <w:rsid w:val="00290E44"/>
    <w:rsid w:val="002962CF"/>
    <w:rsid w:val="002965D5"/>
    <w:rsid w:val="00297EC1"/>
    <w:rsid w:val="002A0229"/>
    <w:rsid w:val="002A0E56"/>
    <w:rsid w:val="002A3632"/>
    <w:rsid w:val="002A4469"/>
    <w:rsid w:val="002A62ED"/>
    <w:rsid w:val="002A6905"/>
    <w:rsid w:val="002B0F88"/>
    <w:rsid w:val="002B28AF"/>
    <w:rsid w:val="002B3202"/>
    <w:rsid w:val="002B3B0A"/>
    <w:rsid w:val="002B40E9"/>
    <w:rsid w:val="002B580B"/>
    <w:rsid w:val="002B5CC5"/>
    <w:rsid w:val="002C38BB"/>
    <w:rsid w:val="002C5D18"/>
    <w:rsid w:val="002C6B09"/>
    <w:rsid w:val="002C7180"/>
    <w:rsid w:val="002C75EB"/>
    <w:rsid w:val="002E2A16"/>
    <w:rsid w:val="002E4577"/>
    <w:rsid w:val="002F3C98"/>
    <w:rsid w:val="002F4FB8"/>
    <w:rsid w:val="002F7D1B"/>
    <w:rsid w:val="00300851"/>
    <w:rsid w:val="00301774"/>
    <w:rsid w:val="00302633"/>
    <w:rsid w:val="00304C3F"/>
    <w:rsid w:val="003062D8"/>
    <w:rsid w:val="00307DC8"/>
    <w:rsid w:val="00307F10"/>
    <w:rsid w:val="003145D9"/>
    <w:rsid w:val="00314DF6"/>
    <w:rsid w:val="00314DFA"/>
    <w:rsid w:val="003169A5"/>
    <w:rsid w:val="00321490"/>
    <w:rsid w:val="00331DA9"/>
    <w:rsid w:val="0033384D"/>
    <w:rsid w:val="00333942"/>
    <w:rsid w:val="00334A82"/>
    <w:rsid w:val="00342E6F"/>
    <w:rsid w:val="00342EA7"/>
    <w:rsid w:val="00343B6D"/>
    <w:rsid w:val="0034483E"/>
    <w:rsid w:val="00345AC9"/>
    <w:rsid w:val="00353908"/>
    <w:rsid w:val="00354574"/>
    <w:rsid w:val="00356B7E"/>
    <w:rsid w:val="00357DB9"/>
    <w:rsid w:val="003604EB"/>
    <w:rsid w:val="00360764"/>
    <w:rsid w:val="0036426C"/>
    <w:rsid w:val="00364C92"/>
    <w:rsid w:val="003657D2"/>
    <w:rsid w:val="0036623F"/>
    <w:rsid w:val="00366371"/>
    <w:rsid w:val="003728A4"/>
    <w:rsid w:val="00372A6C"/>
    <w:rsid w:val="0037407C"/>
    <w:rsid w:val="003740DA"/>
    <w:rsid w:val="00375681"/>
    <w:rsid w:val="00376EDE"/>
    <w:rsid w:val="00376FBA"/>
    <w:rsid w:val="0038031C"/>
    <w:rsid w:val="0038038B"/>
    <w:rsid w:val="00380F1D"/>
    <w:rsid w:val="0038147D"/>
    <w:rsid w:val="003833AC"/>
    <w:rsid w:val="00383CE5"/>
    <w:rsid w:val="00386598"/>
    <w:rsid w:val="00386C63"/>
    <w:rsid w:val="003871F8"/>
    <w:rsid w:val="0039062A"/>
    <w:rsid w:val="00391128"/>
    <w:rsid w:val="003913DB"/>
    <w:rsid w:val="003A0DD4"/>
    <w:rsid w:val="003A2CE6"/>
    <w:rsid w:val="003A4DDD"/>
    <w:rsid w:val="003A53BF"/>
    <w:rsid w:val="003A66CF"/>
    <w:rsid w:val="003A7308"/>
    <w:rsid w:val="003B0887"/>
    <w:rsid w:val="003C323F"/>
    <w:rsid w:val="003D2813"/>
    <w:rsid w:val="003D2A4F"/>
    <w:rsid w:val="003D53D7"/>
    <w:rsid w:val="003E44D2"/>
    <w:rsid w:val="003E44FA"/>
    <w:rsid w:val="003E4B19"/>
    <w:rsid w:val="003E710C"/>
    <w:rsid w:val="003F0C74"/>
    <w:rsid w:val="003F2E9B"/>
    <w:rsid w:val="003F34FC"/>
    <w:rsid w:val="003F4E72"/>
    <w:rsid w:val="003F51BB"/>
    <w:rsid w:val="003F77D5"/>
    <w:rsid w:val="003F784B"/>
    <w:rsid w:val="00400770"/>
    <w:rsid w:val="00402D4D"/>
    <w:rsid w:val="00402D85"/>
    <w:rsid w:val="004052A1"/>
    <w:rsid w:val="00405963"/>
    <w:rsid w:val="00406F43"/>
    <w:rsid w:val="00415CC4"/>
    <w:rsid w:val="00417FD0"/>
    <w:rsid w:val="004238B9"/>
    <w:rsid w:val="004271BB"/>
    <w:rsid w:val="004279A7"/>
    <w:rsid w:val="00441746"/>
    <w:rsid w:val="00442665"/>
    <w:rsid w:val="00466AF1"/>
    <w:rsid w:val="00466F79"/>
    <w:rsid w:val="00475B51"/>
    <w:rsid w:val="00475E7E"/>
    <w:rsid w:val="004770EE"/>
    <w:rsid w:val="00477542"/>
    <w:rsid w:val="00480A2A"/>
    <w:rsid w:val="00481D7A"/>
    <w:rsid w:val="00483447"/>
    <w:rsid w:val="004836F4"/>
    <w:rsid w:val="00484108"/>
    <w:rsid w:val="00484BE3"/>
    <w:rsid w:val="00486D33"/>
    <w:rsid w:val="004873B8"/>
    <w:rsid w:val="004914CF"/>
    <w:rsid w:val="0049681C"/>
    <w:rsid w:val="00496A7B"/>
    <w:rsid w:val="00497852"/>
    <w:rsid w:val="004A0D9D"/>
    <w:rsid w:val="004A28E7"/>
    <w:rsid w:val="004A4E48"/>
    <w:rsid w:val="004A5709"/>
    <w:rsid w:val="004B13ED"/>
    <w:rsid w:val="004B1487"/>
    <w:rsid w:val="004B56CE"/>
    <w:rsid w:val="004B5C75"/>
    <w:rsid w:val="004C19B0"/>
    <w:rsid w:val="004C46F4"/>
    <w:rsid w:val="004C4886"/>
    <w:rsid w:val="004D1378"/>
    <w:rsid w:val="004D37FB"/>
    <w:rsid w:val="004E1C17"/>
    <w:rsid w:val="004E5AFF"/>
    <w:rsid w:val="004F1475"/>
    <w:rsid w:val="004F2D55"/>
    <w:rsid w:val="004F2F89"/>
    <w:rsid w:val="004F4827"/>
    <w:rsid w:val="004F5774"/>
    <w:rsid w:val="004F6631"/>
    <w:rsid w:val="00503A0E"/>
    <w:rsid w:val="00504763"/>
    <w:rsid w:val="005103AA"/>
    <w:rsid w:val="00510E93"/>
    <w:rsid w:val="005124A4"/>
    <w:rsid w:val="00516B5D"/>
    <w:rsid w:val="00521EF3"/>
    <w:rsid w:val="00523314"/>
    <w:rsid w:val="00524E26"/>
    <w:rsid w:val="00533A42"/>
    <w:rsid w:val="005420AB"/>
    <w:rsid w:val="00542F54"/>
    <w:rsid w:val="005517AC"/>
    <w:rsid w:val="00551EA1"/>
    <w:rsid w:val="00557500"/>
    <w:rsid w:val="00557B93"/>
    <w:rsid w:val="0056311F"/>
    <w:rsid w:val="0056367E"/>
    <w:rsid w:val="00565D97"/>
    <w:rsid w:val="00566851"/>
    <w:rsid w:val="005679AA"/>
    <w:rsid w:val="00574B10"/>
    <w:rsid w:val="005762AF"/>
    <w:rsid w:val="00576D76"/>
    <w:rsid w:val="005776E9"/>
    <w:rsid w:val="00583361"/>
    <w:rsid w:val="0058457B"/>
    <w:rsid w:val="00585855"/>
    <w:rsid w:val="00585964"/>
    <w:rsid w:val="00592CCB"/>
    <w:rsid w:val="00594142"/>
    <w:rsid w:val="0059424B"/>
    <w:rsid w:val="00597BFA"/>
    <w:rsid w:val="005A134B"/>
    <w:rsid w:val="005B06A2"/>
    <w:rsid w:val="005B0DC7"/>
    <w:rsid w:val="005B13B6"/>
    <w:rsid w:val="005B20DA"/>
    <w:rsid w:val="005B2D58"/>
    <w:rsid w:val="005B3C48"/>
    <w:rsid w:val="005B76E5"/>
    <w:rsid w:val="005C1202"/>
    <w:rsid w:val="005C286C"/>
    <w:rsid w:val="005C456E"/>
    <w:rsid w:val="005C4D3D"/>
    <w:rsid w:val="005C4F3E"/>
    <w:rsid w:val="005C6BEB"/>
    <w:rsid w:val="005D2929"/>
    <w:rsid w:val="005D2C5C"/>
    <w:rsid w:val="005D4650"/>
    <w:rsid w:val="005D494D"/>
    <w:rsid w:val="005E1A41"/>
    <w:rsid w:val="005F3813"/>
    <w:rsid w:val="005F3B0E"/>
    <w:rsid w:val="005F4659"/>
    <w:rsid w:val="005F7AF3"/>
    <w:rsid w:val="00605981"/>
    <w:rsid w:val="006114C0"/>
    <w:rsid w:val="00620BA1"/>
    <w:rsid w:val="00620C90"/>
    <w:rsid w:val="00620D01"/>
    <w:rsid w:val="00623AB4"/>
    <w:rsid w:val="00625B90"/>
    <w:rsid w:val="0063036C"/>
    <w:rsid w:val="00630418"/>
    <w:rsid w:val="006315EF"/>
    <w:rsid w:val="00632D41"/>
    <w:rsid w:val="006350F5"/>
    <w:rsid w:val="006356CC"/>
    <w:rsid w:val="00637090"/>
    <w:rsid w:val="00637590"/>
    <w:rsid w:val="006417A3"/>
    <w:rsid w:val="00642028"/>
    <w:rsid w:val="00643F4C"/>
    <w:rsid w:val="006453D1"/>
    <w:rsid w:val="00651AD5"/>
    <w:rsid w:val="0065213C"/>
    <w:rsid w:val="00652C32"/>
    <w:rsid w:val="00653BEB"/>
    <w:rsid w:val="00655722"/>
    <w:rsid w:val="00663B5E"/>
    <w:rsid w:val="0066661B"/>
    <w:rsid w:val="006671E2"/>
    <w:rsid w:val="00670B42"/>
    <w:rsid w:val="00671CF5"/>
    <w:rsid w:val="00673F44"/>
    <w:rsid w:val="00682481"/>
    <w:rsid w:val="006836C6"/>
    <w:rsid w:val="00686506"/>
    <w:rsid w:val="00687B5A"/>
    <w:rsid w:val="00691259"/>
    <w:rsid w:val="00691F26"/>
    <w:rsid w:val="00696D2B"/>
    <w:rsid w:val="006A087F"/>
    <w:rsid w:val="006A1D89"/>
    <w:rsid w:val="006A29EC"/>
    <w:rsid w:val="006A2E55"/>
    <w:rsid w:val="006A5FBB"/>
    <w:rsid w:val="006A6217"/>
    <w:rsid w:val="006A6BD1"/>
    <w:rsid w:val="006A705F"/>
    <w:rsid w:val="006B453B"/>
    <w:rsid w:val="006B4FD3"/>
    <w:rsid w:val="006B7392"/>
    <w:rsid w:val="006C055C"/>
    <w:rsid w:val="006C42BE"/>
    <w:rsid w:val="006E0FF8"/>
    <w:rsid w:val="006E1181"/>
    <w:rsid w:val="006E6EFF"/>
    <w:rsid w:val="006E778E"/>
    <w:rsid w:val="006F02D8"/>
    <w:rsid w:val="006F093F"/>
    <w:rsid w:val="006F16A1"/>
    <w:rsid w:val="006F5FBA"/>
    <w:rsid w:val="0070032B"/>
    <w:rsid w:val="007058F2"/>
    <w:rsid w:val="00707EAD"/>
    <w:rsid w:val="007102EE"/>
    <w:rsid w:val="0071149F"/>
    <w:rsid w:val="00711CCF"/>
    <w:rsid w:val="0071597E"/>
    <w:rsid w:val="00717F29"/>
    <w:rsid w:val="00720409"/>
    <w:rsid w:val="00723F56"/>
    <w:rsid w:val="00724752"/>
    <w:rsid w:val="00735E8A"/>
    <w:rsid w:val="007414D7"/>
    <w:rsid w:val="0074166F"/>
    <w:rsid w:val="007424AA"/>
    <w:rsid w:val="007424B0"/>
    <w:rsid w:val="00764E3D"/>
    <w:rsid w:val="007676A9"/>
    <w:rsid w:val="00770A1D"/>
    <w:rsid w:val="007728B6"/>
    <w:rsid w:val="00795423"/>
    <w:rsid w:val="007A08D5"/>
    <w:rsid w:val="007B0A28"/>
    <w:rsid w:val="007B1381"/>
    <w:rsid w:val="007B6CDE"/>
    <w:rsid w:val="007C1703"/>
    <w:rsid w:val="007C19F1"/>
    <w:rsid w:val="007C1EC6"/>
    <w:rsid w:val="007D06E6"/>
    <w:rsid w:val="007D17AE"/>
    <w:rsid w:val="007D5C54"/>
    <w:rsid w:val="007D6717"/>
    <w:rsid w:val="007D695E"/>
    <w:rsid w:val="007E0798"/>
    <w:rsid w:val="007E1782"/>
    <w:rsid w:val="00800889"/>
    <w:rsid w:val="008043B0"/>
    <w:rsid w:val="00806D4C"/>
    <w:rsid w:val="0080707C"/>
    <w:rsid w:val="00814A77"/>
    <w:rsid w:val="0081565F"/>
    <w:rsid w:val="00815B2F"/>
    <w:rsid w:val="00817A5A"/>
    <w:rsid w:val="0082507E"/>
    <w:rsid w:val="00825A3A"/>
    <w:rsid w:val="00826E27"/>
    <w:rsid w:val="00827EC8"/>
    <w:rsid w:val="00836A94"/>
    <w:rsid w:val="0083721A"/>
    <w:rsid w:val="008401F7"/>
    <w:rsid w:val="0084148A"/>
    <w:rsid w:val="00842FAE"/>
    <w:rsid w:val="00844B6C"/>
    <w:rsid w:val="008512ED"/>
    <w:rsid w:val="00852312"/>
    <w:rsid w:val="00857C49"/>
    <w:rsid w:val="00861689"/>
    <w:rsid w:val="008637FA"/>
    <w:rsid w:val="0086408A"/>
    <w:rsid w:val="00864D2E"/>
    <w:rsid w:val="00867FB6"/>
    <w:rsid w:val="008779F3"/>
    <w:rsid w:val="00884FE4"/>
    <w:rsid w:val="00887137"/>
    <w:rsid w:val="00891D5F"/>
    <w:rsid w:val="0089219D"/>
    <w:rsid w:val="008A055A"/>
    <w:rsid w:val="008A059D"/>
    <w:rsid w:val="008A1400"/>
    <w:rsid w:val="008A3E6B"/>
    <w:rsid w:val="008A5D20"/>
    <w:rsid w:val="008B016A"/>
    <w:rsid w:val="008B1450"/>
    <w:rsid w:val="008B4034"/>
    <w:rsid w:val="008B521F"/>
    <w:rsid w:val="008B7B5A"/>
    <w:rsid w:val="008B7F8F"/>
    <w:rsid w:val="008C022F"/>
    <w:rsid w:val="008C0924"/>
    <w:rsid w:val="008C22A9"/>
    <w:rsid w:val="008C4B00"/>
    <w:rsid w:val="008C55E5"/>
    <w:rsid w:val="008D06BB"/>
    <w:rsid w:val="008D2A61"/>
    <w:rsid w:val="008E4248"/>
    <w:rsid w:val="008E5407"/>
    <w:rsid w:val="008F01A6"/>
    <w:rsid w:val="008F0761"/>
    <w:rsid w:val="008F169D"/>
    <w:rsid w:val="008F25A0"/>
    <w:rsid w:val="008F4597"/>
    <w:rsid w:val="008F719C"/>
    <w:rsid w:val="008F7FD1"/>
    <w:rsid w:val="00900D25"/>
    <w:rsid w:val="009031B6"/>
    <w:rsid w:val="009114A0"/>
    <w:rsid w:val="00913945"/>
    <w:rsid w:val="00913E9A"/>
    <w:rsid w:val="00914535"/>
    <w:rsid w:val="009150CC"/>
    <w:rsid w:val="009160CF"/>
    <w:rsid w:val="009175CE"/>
    <w:rsid w:val="00926B38"/>
    <w:rsid w:val="0092778D"/>
    <w:rsid w:val="0093462D"/>
    <w:rsid w:val="00935BAE"/>
    <w:rsid w:val="00937B5B"/>
    <w:rsid w:val="00940BD6"/>
    <w:rsid w:val="00950278"/>
    <w:rsid w:val="00956CA1"/>
    <w:rsid w:val="009602F8"/>
    <w:rsid w:val="0096513B"/>
    <w:rsid w:val="00966ED1"/>
    <w:rsid w:val="0097032E"/>
    <w:rsid w:val="00972426"/>
    <w:rsid w:val="00972EA8"/>
    <w:rsid w:val="00973FC0"/>
    <w:rsid w:val="00974F27"/>
    <w:rsid w:val="00975442"/>
    <w:rsid w:val="0098317D"/>
    <w:rsid w:val="009856B4"/>
    <w:rsid w:val="00986F66"/>
    <w:rsid w:val="009913DF"/>
    <w:rsid w:val="00994CF3"/>
    <w:rsid w:val="00996E06"/>
    <w:rsid w:val="009A0BD2"/>
    <w:rsid w:val="009A29A8"/>
    <w:rsid w:val="009A35B9"/>
    <w:rsid w:val="009A36E9"/>
    <w:rsid w:val="009A4C1A"/>
    <w:rsid w:val="009A5553"/>
    <w:rsid w:val="009B03A3"/>
    <w:rsid w:val="009B2B15"/>
    <w:rsid w:val="009B3664"/>
    <w:rsid w:val="009C221F"/>
    <w:rsid w:val="009C559A"/>
    <w:rsid w:val="009D0213"/>
    <w:rsid w:val="009D3C4B"/>
    <w:rsid w:val="009E09B6"/>
    <w:rsid w:val="009E5245"/>
    <w:rsid w:val="009E6DFD"/>
    <w:rsid w:val="009F0921"/>
    <w:rsid w:val="009F49BF"/>
    <w:rsid w:val="009F50FA"/>
    <w:rsid w:val="00A02FC5"/>
    <w:rsid w:val="00A06E78"/>
    <w:rsid w:val="00A1205B"/>
    <w:rsid w:val="00A13B2E"/>
    <w:rsid w:val="00A15880"/>
    <w:rsid w:val="00A15B3C"/>
    <w:rsid w:val="00A15BB6"/>
    <w:rsid w:val="00A16F6C"/>
    <w:rsid w:val="00A22769"/>
    <w:rsid w:val="00A244E1"/>
    <w:rsid w:val="00A32DF9"/>
    <w:rsid w:val="00A34B42"/>
    <w:rsid w:val="00A37DA3"/>
    <w:rsid w:val="00A41F0C"/>
    <w:rsid w:val="00A4254E"/>
    <w:rsid w:val="00A45133"/>
    <w:rsid w:val="00A45858"/>
    <w:rsid w:val="00A50C78"/>
    <w:rsid w:val="00A52042"/>
    <w:rsid w:val="00A52137"/>
    <w:rsid w:val="00A5256B"/>
    <w:rsid w:val="00A541D9"/>
    <w:rsid w:val="00A542F8"/>
    <w:rsid w:val="00A5680D"/>
    <w:rsid w:val="00A578C5"/>
    <w:rsid w:val="00A6092A"/>
    <w:rsid w:val="00A61506"/>
    <w:rsid w:val="00A61BA8"/>
    <w:rsid w:val="00A62F91"/>
    <w:rsid w:val="00A63C6B"/>
    <w:rsid w:val="00A67724"/>
    <w:rsid w:val="00A77B30"/>
    <w:rsid w:val="00A80743"/>
    <w:rsid w:val="00A848DE"/>
    <w:rsid w:val="00A867A2"/>
    <w:rsid w:val="00A87BA4"/>
    <w:rsid w:val="00A92511"/>
    <w:rsid w:val="00A9677E"/>
    <w:rsid w:val="00AA1509"/>
    <w:rsid w:val="00AA296E"/>
    <w:rsid w:val="00AA3513"/>
    <w:rsid w:val="00AA7956"/>
    <w:rsid w:val="00AB4DB5"/>
    <w:rsid w:val="00AC1D55"/>
    <w:rsid w:val="00AC3C62"/>
    <w:rsid w:val="00AC4425"/>
    <w:rsid w:val="00AC62E3"/>
    <w:rsid w:val="00AC7306"/>
    <w:rsid w:val="00AC7C17"/>
    <w:rsid w:val="00AD29EF"/>
    <w:rsid w:val="00AD513E"/>
    <w:rsid w:val="00AD6322"/>
    <w:rsid w:val="00AD7DA4"/>
    <w:rsid w:val="00AE0C98"/>
    <w:rsid w:val="00AE0D9A"/>
    <w:rsid w:val="00AE7603"/>
    <w:rsid w:val="00AF1F4B"/>
    <w:rsid w:val="00AF51BA"/>
    <w:rsid w:val="00AF79C2"/>
    <w:rsid w:val="00B05816"/>
    <w:rsid w:val="00B07CCE"/>
    <w:rsid w:val="00B10681"/>
    <w:rsid w:val="00B10880"/>
    <w:rsid w:val="00B110B8"/>
    <w:rsid w:val="00B12741"/>
    <w:rsid w:val="00B13056"/>
    <w:rsid w:val="00B1784C"/>
    <w:rsid w:val="00B17960"/>
    <w:rsid w:val="00B229F3"/>
    <w:rsid w:val="00B2624B"/>
    <w:rsid w:val="00B273C4"/>
    <w:rsid w:val="00B32001"/>
    <w:rsid w:val="00B32144"/>
    <w:rsid w:val="00B32DE6"/>
    <w:rsid w:val="00B3496B"/>
    <w:rsid w:val="00B34A47"/>
    <w:rsid w:val="00B42A17"/>
    <w:rsid w:val="00B468D2"/>
    <w:rsid w:val="00B4785B"/>
    <w:rsid w:val="00B501CC"/>
    <w:rsid w:val="00B511EE"/>
    <w:rsid w:val="00B530FC"/>
    <w:rsid w:val="00B53A8B"/>
    <w:rsid w:val="00B54077"/>
    <w:rsid w:val="00B54BC1"/>
    <w:rsid w:val="00B56731"/>
    <w:rsid w:val="00B56EFB"/>
    <w:rsid w:val="00B6100A"/>
    <w:rsid w:val="00B616D7"/>
    <w:rsid w:val="00B71E92"/>
    <w:rsid w:val="00B71F5F"/>
    <w:rsid w:val="00B73A80"/>
    <w:rsid w:val="00B73B5A"/>
    <w:rsid w:val="00B741EE"/>
    <w:rsid w:val="00B76B22"/>
    <w:rsid w:val="00B76CE0"/>
    <w:rsid w:val="00B8184F"/>
    <w:rsid w:val="00B82157"/>
    <w:rsid w:val="00B83D05"/>
    <w:rsid w:val="00B856FD"/>
    <w:rsid w:val="00B872F6"/>
    <w:rsid w:val="00B87E54"/>
    <w:rsid w:val="00B91E4D"/>
    <w:rsid w:val="00B95466"/>
    <w:rsid w:val="00BA3271"/>
    <w:rsid w:val="00BA39C0"/>
    <w:rsid w:val="00BA6720"/>
    <w:rsid w:val="00BA7153"/>
    <w:rsid w:val="00BA72CF"/>
    <w:rsid w:val="00BC2EA5"/>
    <w:rsid w:val="00BC4750"/>
    <w:rsid w:val="00BC507E"/>
    <w:rsid w:val="00BC618F"/>
    <w:rsid w:val="00BD1966"/>
    <w:rsid w:val="00BD27E8"/>
    <w:rsid w:val="00BD31AA"/>
    <w:rsid w:val="00BD6B97"/>
    <w:rsid w:val="00BD7ADF"/>
    <w:rsid w:val="00BE0A17"/>
    <w:rsid w:val="00BE1F0B"/>
    <w:rsid w:val="00BE2866"/>
    <w:rsid w:val="00BE733A"/>
    <w:rsid w:val="00BF0CFB"/>
    <w:rsid w:val="00BF1015"/>
    <w:rsid w:val="00BF26B0"/>
    <w:rsid w:val="00BF3EB3"/>
    <w:rsid w:val="00C00AED"/>
    <w:rsid w:val="00C04C14"/>
    <w:rsid w:val="00C068D1"/>
    <w:rsid w:val="00C120AC"/>
    <w:rsid w:val="00C340DC"/>
    <w:rsid w:val="00C360D8"/>
    <w:rsid w:val="00C411EC"/>
    <w:rsid w:val="00C42222"/>
    <w:rsid w:val="00C5175C"/>
    <w:rsid w:val="00C53799"/>
    <w:rsid w:val="00C5483D"/>
    <w:rsid w:val="00C56FA0"/>
    <w:rsid w:val="00C61B0B"/>
    <w:rsid w:val="00C64C71"/>
    <w:rsid w:val="00C753E0"/>
    <w:rsid w:val="00C80AE6"/>
    <w:rsid w:val="00C818FE"/>
    <w:rsid w:val="00C8268E"/>
    <w:rsid w:val="00C844E5"/>
    <w:rsid w:val="00C85754"/>
    <w:rsid w:val="00C86736"/>
    <w:rsid w:val="00C940EC"/>
    <w:rsid w:val="00CA4655"/>
    <w:rsid w:val="00CA4774"/>
    <w:rsid w:val="00CA66A7"/>
    <w:rsid w:val="00CB02E4"/>
    <w:rsid w:val="00CB0ACF"/>
    <w:rsid w:val="00CB3A98"/>
    <w:rsid w:val="00CB79E4"/>
    <w:rsid w:val="00CC25AD"/>
    <w:rsid w:val="00CC2EB5"/>
    <w:rsid w:val="00CD0AF0"/>
    <w:rsid w:val="00CD5487"/>
    <w:rsid w:val="00CD6FBB"/>
    <w:rsid w:val="00CE10C7"/>
    <w:rsid w:val="00CE115A"/>
    <w:rsid w:val="00CE353C"/>
    <w:rsid w:val="00CF1899"/>
    <w:rsid w:val="00CF56AC"/>
    <w:rsid w:val="00CF665C"/>
    <w:rsid w:val="00D00CD7"/>
    <w:rsid w:val="00D02899"/>
    <w:rsid w:val="00D033D7"/>
    <w:rsid w:val="00D11410"/>
    <w:rsid w:val="00D14326"/>
    <w:rsid w:val="00D162D9"/>
    <w:rsid w:val="00D201D7"/>
    <w:rsid w:val="00D2065A"/>
    <w:rsid w:val="00D21326"/>
    <w:rsid w:val="00D23668"/>
    <w:rsid w:val="00D24A84"/>
    <w:rsid w:val="00D25755"/>
    <w:rsid w:val="00D25E4F"/>
    <w:rsid w:val="00D30FE1"/>
    <w:rsid w:val="00D32313"/>
    <w:rsid w:val="00D3242C"/>
    <w:rsid w:val="00D421A3"/>
    <w:rsid w:val="00D433B0"/>
    <w:rsid w:val="00D43B8C"/>
    <w:rsid w:val="00D4626B"/>
    <w:rsid w:val="00D46655"/>
    <w:rsid w:val="00D505EC"/>
    <w:rsid w:val="00D514C4"/>
    <w:rsid w:val="00D51BD2"/>
    <w:rsid w:val="00D61753"/>
    <w:rsid w:val="00D647DD"/>
    <w:rsid w:val="00D65002"/>
    <w:rsid w:val="00D70313"/>
    <w:rsid w:val="00D73E62"/>
    <w:rsid w:val="00D74FED"/>
    <w:rsid w:val="00D75637"/>
    <w:rsid w:val="00D8111A"/>
    <w:rsid w:val="00D85426"/>
    <w:rsid w:val="00D855DB"/>
    <w:rsid w:val="00D863F9"/>
    <w:rsid w:val="00D9020D"/>
    <w:rsid w:val="00D9141A"/>
    <w:rsid w:val="00D919BB"/>
    <w:rsid w:val="00D92592"/>
    <w:rsid w:val="00D9405A"/>
    <w:rsid w:val="00D948E8"/>
    <w:rsid w:val="00DA08F4"/>
    <w:rsid w:val="00DA1BC9"/>
    <w:rsid w:val="00DA5253"/>
    <w:rsid w:val="00DB0B96"/>
    <w:rsid w:val="00DB1CAC"/>
    <w:rsid w:val="00DB2007"/>
    <w:rsid w:val="00DB7A70"/>
    <w:rsid w:val="00DB7FF3"/>
    <w:rsid w:val="00DC5980"/>
    <w:rsid w:val="00DC676D"/>
    <w:rsid w:val="00DD3078"/>
    <w:rsid w:val="00DD343D"/>
    <w:rsid w:val="00DD3CBA"/>
    <w:rsid w:val="00DD41AF"/>
    <w:rsid w:val="00DD5BE9"/>
    <w:rsid w:val="00DE2C47"/>
    <w:rsid w:val="00DE2E50"/>
    <w:rsid w:val="00DE67C0"/>
    <w:rsid w:val="00DF1C38"/>
    <w:rsid w:val="00DF35DB"/>
    <w:rsid w:val="00DF3D1E"/>
    <w:rsid w:val="00DF66BA"/>
    <w:rsid w:val="00E02E05"/>
    <w:rsid w:val="00E15161"/>
    <w:rsid w:val="00E21C23"/>
    <w:rsid w:val="00E249D5"/>
    <w:rsid w:val="00E276B5"/>
    <w:rsid w:val="00E30390"/>
    <w:rsid w:val="00E34671"/>
    <w:rsid w:val="00E36C2C"/>
    <w:rsid w:val="00E404EE"/>
    <w:rsid w:val="00E44063"/>
    <w:rsid w:val="00E44747"/>
    <w:rsid w:val="00E46785"/>
    <w:rsid w:val="00E46B0C"/>
    <w:rsid w:val="00E51948"/>
    <w:rsid w:val="00E572A3"/>
    <w:rsid w:val="00E57492"/>
    <w:rsid w:val="00E71D18"/>
    <w:rsid w:val="00E76869"/>
    <w:rsid w:val="00E82FF5"/>
    <w:rsid w:val="00E8687C"/>
    <w:rsid w:val="00E87323"/>
    <w:rsid w:val="00E90F61"/>
    <w:rsid w:val="00EA05E8"/>
    <w:rsid w:val="00EA10BE"/>
    <w:rsid w:val="00EA1FA1"/>
    <w:rsid w:val="00EB1958"/>
    <w:rsid w:val="00EB22D6"/>
    <w:rsid w:val="00EB3684"/>
    <w:rsid w:val="00EB4FA2"/>
    <w:rsid w:val="00EC0EBE"/>
    <w:rsid w:val="00EC2551"/>
    <w:rsid w:val="00EC6E6F"/>
    <w:rsid w:val="00ED5886"/>
    <w:rsid w:val="00ED701F"/>
    <w:rsid w:val="00EE0ECC"/>
    <w:rsid w:val="00EE1CA3"/>
    <w:rsid w:val="00EE3B14"/>
    <w:rsid w:val="00EE52A0"/>
    <w:rsid w:val="00EE73F3"/>
    <w:rsid w:val="00EF0940"/>
    <w:rsid w:val="00EF51E4"/>
    <w:rsid w:val="00EF680C"/>
    <w:rsid w:val="00EF7099"/>
    <w:rsid w:val="00EF781C"/>
    <w:rsid w:val="00F029DA"/>
    <w:rsid w:val="00F05124"/>
    <w:rsid w:val="00F12C62"/>
    <w:rsid w:val="00F2330D"/>
    <w:rsid w:val="00F233CF"/>
    <w:rsid w:val="00F275B3"/>
    <w:rsid w:val="00F27C91"/>
    <w:rsid w:val="00F30AB1"/>
    <w:rsid w:val="00F32295"/>
    <w:rsid w:val="00F339B9"/>
    <w:rsid w:val="00F34FDC"/>
    <w:rsid w:val="00F41143"/>
    <w:rsid w:val="00F422F1"/>
    <w:rsid w:val="00F43CCD"/>
    <w:rsid w:val="00F444A5"/>
    <w:rsid w:val="00F469EC"/>
    <w:rsid w:val="00F52DF0"/>
    <w:rsid w:val="00F6016E"/>
    <w:rsid w:val="00F6060F"/>
    <w:rsid w:val="00F63B77"/>
    <w:rsid w:val="00F67153"/>
    <w:rsid w:val="00F71C30"/>
    <w:rsid w:val="00F847D4"/>
    <w:rsid w:val="00F85ABD"/>
    <w:rsid w:val="00F860C9"/>
    <w:rsid w:val="00F875F4"/>
    <w:rsid w:val="00F92397"/>
    <w:rsid w:val="00F92726"/>
    <w:rsid w:val="00F92803"/>
    <w:rsid w:val="00F92A2C"/>
    <w:rsid w:val="00F94D91"/>
    <w:rsid w:val="00F979A3"/>
    <w:rsid w:val="00FB0EFC"/>
    <w:rsid w:val="00FC234C"/>
    <w:rsid w:val="00FC2906"/>
    <w:rsid w:val="00FC4A16"/>
    <w:rsid w:val="00FC73CA"/>
    <w:rsid w:val="00FD175A"/>
    <w:rsid w:val="00FE3C71"/>
    <w:rsid w:val="00FF0080"/>
    <w:rsid w:val="00FF01B7"/>
    <w:rsid w:val="00FF12DF"/>
    <w:rsid w:val="00FF297A"/>
    <w:rsid w:val="00FF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232B20"/>
  <w15:docId w15:val="{7495ED01-897E-4961-BE50-AE629EE7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6AF1"/>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CF56AC"/>
    <w:pPr>
      <w:shd w:val="clear" w:color="auto" w:fill="E56300"/>
      <w:spacing w:before="6100" w:after="160" w:line="320" w:lineRule="atLeast"/>
      <w:jc w:val="center"/>
      <w:outlineLvl w:val="0"/>
    </w:pPr>
    <w:rPr>
      <w:rFonts w:ascii="Calibri" w:eastAsiaTheme="majorEastAsia" w:hAnsi="Calibri"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466AF1"/>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466AF1"/>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466AF1"/>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466AF1"/>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466AF1"/>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unhideWhenUsed/>
    <w:qFormat/>
    <w:rsid w:val="00466A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66A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66A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466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AF1"/>
  </w:style>
  <w:style w:type="character" w:customStyle="1" w:styleId="Heading1Char">
    <w:name w:val="Heading 1 Char"/>
    <w:basedOn w:val="DefaultParagraphFont"/>
    <w:link w:val="Heading1"/>
    <w:uiPriority w:val="9"/>
    <w:rsid w:val="00CF56AC"/>
    <w:rPr>
      <w:rFonts w:ascii="Calibri" w:eastAsiaTheme="majorEastAsia" w:hAnsi="Calibri"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466AF1"/>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466AF1"/>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466AF1"/>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466AF1"/>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rsid w:val="00466AF1"/>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rsid w:val="00466AF1"/>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rsid w:val="00466AF1"/>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rsid w:val="00466AF1"/>
    <w:rPr>
      <w:rFonts w:ascii="Tahoma" w:eastAsiaTheme="majorEastAsia" w:hAnsi="Tahoma" w:cstheme="majorBidi"/>
      <w:color w:val="272727" w:themeColor="text1" w:themeTint="D8"/>
      <w:kern w:val="2"/>
      <w:sz w:val="23"/>
      <w:szCs w:val="23"/>
      <w:lang w:eastAsia="zh-CN"/>
      <w14:ligatures w14:val="standardContextual"/>
    </w:rPr>
  </w:style>
  <w:style w:type="paragraph" w:customStyle="1" w:styleId="SECTION">
    <w:name w:val="SECTION"/>
    <w:autoRedefine/>
    <w:uiPriority w:val="99"/>
    <w:rsid w:val="00111E17"/>
    <w:pPr>
      <w:widowControl w:val="0"/>
      <w:pBdr>
        <w:top w:val="single" w:sz="24" w:space="3" w:color="000000"/>
        <w:left w:val="single" w:sz="24" w:space="3" w:color="000000"/>
        <w:bottom w:val="single" w:sz="24" w:space="3" w:color="000000"/>
        <w:right w:val="single" w:sz="24" w:space="3" w:color="000000"/>
      </w:pBdr>
      <w:tabs>
        <w:tab w:val="left" w:pos="42"/>
        <w:tab w:val="left" w:pos="1122"/>
        <w:tab w:val="decimal" w:pos="2880"/>
      </w:tabs>
      <w:spacing w:before="630" w:after="0" w:line="287" w:lineRule="auto"/>
    </w:pPr>
    <w:rPr>
      <w:b/>
      <w:color w:val="000000"/>
      <w:sz w:val="28"/>
      <w:szCs w:val="20"/>
    </w:rPr>
  </w:style>
  <w:style w:type="paragraph" w:customStyle="1" w:styleId="Head1">
    <w:name w:val="Head 1"/>
    <w:basedOn w:val="Normal"/>
    <w:next w:val="Text1"/>
    <w:uiPriority w:val="99"/>
    <w:rsid w:val="00503A0E"/>
    <w:pPr>
      <w:tabs>
        <w:tab w:val="left" w:pos="720"/>
      </w:tabs>
      <w:spacing w:before="480" w:line="360" w:lineRule="auto"/>
      <w:ind w:left="720" w:hanging="720"/>
      <w:jc w:val="center"/>
    </w:pPr>
    <w:rPr>
      <w:rFonts w:ascii="Calibri" w:hAnsi="Calibri"/>
      <w:b/>
      <w:color w:val="FFFFFF" w:themeColor="background1"/>
      <w:sz w:val="144"/>
    </w:rPr>
  </w:style>
  <w:style w:type="paragraph" w:customStyle="1" w:styleId="Text1">
    <w:name w:val="Text 1"/>
    <w:basedOn w:val="Normal"/>
    <w:uiPriority w:val="99"/>
    <w:rsid w:val="00111E17"/>
    <w:pPr>
      <w:tabs>
        <w:tab w:val="left" w:pos="720"/>
        <w:tab w:val="left" w:pos="1680"/>
        <w:tab w:val="left" w:pos="2400"/>
        <w:tab w:val="left" w:pos="3120"/>
      </w:tabs>
    </w:pPr>
  </w:style>
  <w:style w:type="paragraph" w:customStyle="1" w:styleId="Head2">
    <w:name w:val="Head 2"/>
    <w:basedOn w:val="Normal"/>
    <w:next w:val="Text2"/>
    <w:uiPriority w:val="99"/>
    <w:rsid w:val="00111E17"/>
    <w:pPr>
      <w:tabs>
        <w:tab w:val="left" w:pos="1680"/>
      </w:tabs>
      <w:spacing w:before="240"/>
      <w:ind w:left="1685" w:hanging="965"/>
      <w:jc w:val="left"/>
    </w:pPr>
    <w:rPr>
      <w:b/>
    </w:rPr>
  </w:style>
  <w:style w:type="paragraph" w:customStyle="1" w:styleId="Text2">
    <w:name w:val="Text 2"/>
    <w:basedOn w:val="Normal"/>
    <w:uiPriority w:val="99"/>
    <w:rsid w:val="00111E17"/>
    <w:pPr>
      <w:tabs>
        <w:tab w:val="left" w:pos="720"/>
        <w:tab w:val="left" w:pos="1680"/>
        <w:tab w:val="left" w:pos="2400"/>
        <w:tab w:val="left" w:pos="3120"/>
      </w:tabs>
      <w:ind w:left="720"/>
    </w:pPr>
  </w:style>
  <w:style w:type="paragraph" w:customStyle="1" w:styleId="Head3">
    <w:name w:val="Head 3"/>
    <w:basedOn w:val="Text2"/>
    <w:next w:val="Text3"/>
    <w:uiPriority w:val="99"/>
    <w:rsid w:val="00111E17"/>
    <w:pPr>
      <w:tabs>
        <w:tab w:val="clear" w:pos="720"/>
        <w:tab w:val="clear" w:pos="1680"/>
        <w:tab w:val="clear" w:pos="2400"/>
        <w:tab w:val="clear" w:pos="3120"/>
        <w:tab w:val="left" w:pos="2880"/>
      </w:tabs>
      <w:spacing w:before="240"/>
      <w:ind w:left="2880" w:hanging="1195"/>
      <w:jc w:val="left"/>
    </w:pPr>
    <w:rPr>
      <w:b/>
    </w:rPr>
  </w:style>
  <w:style w:type="paragraph" w:customStyle="1" w:styleId="Text3">
    <w:name w:val="Text 3"/>
    <w:basedOn w:val="Text2"/>
    <w:link w:val="Text3Char"/>
    <w:uiPriority w:val="99"/>
    <w:rsid w:val="00111E17"/>
    <w:pPr>
      <w:tabs>
        <w:tab w:val="clear" w:pos="720"/>
      </w:tabs>
      <w:ind w:left="1685"/>
    </w:pPr>
  </w:style>
  <w:style w:type="paragraph" w:customStyle="1" w:styleId="Head0">
    <w:name w:val="Head 0"/>
    <w:uiPriority w:val="99"/>
    <w:rsid w:val="00913945"/>
    <w:pPr>
      <w:widowControl w:val="0"/>
      <w:tabs>
        <w:tab w:val="left" w:pos="720"/>
        <w:tab w:val="left" w:pos="1685"/>
        <w:tab w:val="left" w:pos="2405"/>
        <w:tab w:val="left" w:pos="3125"/>
      </w:tabs>
      <w:autoSpaceDE w:val="0"/>
      <w:autoSpaceDN w:val="0"/>
      <w:adjustRightInd w:val="0"/>
      <w:spacing w:after="0" w:line="240" w:lineRule="auto"/>
      <w:jc w:val="both"/>
    </w:pPr>
    <w:rPr>
      <w:rFonts w:cs="Arial Unicode MS"/>
      <w:vanish/>
      <w:color w:val="FF0000"/>
      <w:sz w:val="16"/>
      <w:szCs w:val="16"/>
    </w:rPr>
  </w:style>
  <w:style w:type="paragraph" w:customStyle="1" w:styleId="Address">
    <w:name w:val="Address"/>
    <w:next w:val="Normal"/>
    <w:link w:val="AddressChar"/>
    <w:autoRedefine/>
    <w:qFormat/>
    <w:rsid w:val="00466AF1"/>
    <w:pPr>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paragraph" w:customStyle="1" w:styleId="BL1">
    <w:name w:val="BL 1"/>
    <w:basedOn w:val="Normal"/>
    <w:uiPriority w:val="99"/>
    <w:rsid w:val="00111E17"/>
    <w:pPr>
      <w:tabs>
        <w:tab w:val="left" w:pos="900"/>
        <w:tab w:val="left" w:pos="1195"/>
        <w:tab w:val="left" w:pos="2400"/>
        <w:tab w:val="left" w:pos="3120"/>
      </w:tabs>
      <w:spacing w:before="100"/>
      <w:ind w:left="907" w:hanging="187"/>
    </w:pPr>
  </w:style>
  <w:style w:type="paragraph" w:customStyle="1" w:styleId="BL2">
    <w:name w:val="BL 2"/>
    <w:basedOn w:val="BL1"/>
    <w:uiPriority w:val="99"/>
    <w:rsid w:val="00111E17"/>
    <w:pPr>
      <w:tabs>
        <w:tab w:val="clear" w:pos="900"/>
        <w:tab w:val="clear" w:pos="1195"/>
        <w:tab w:val="clear" w:pos="2400"/>
        <w:tab w:val="left" w:pos="1382"/>
        <w:tab w:val="left" w:pos="2160"/>
        <w:tab w:val="left" w:pos="2405"/>
      </w:tabs>
      <w:ind w:left="1382"/>
    </w:pPr>
  </w:style>
  <w:style w:type="paragraph" w:customStyle="1" w:styleId="BL3">
    <w:name w:val="BL 3"/>
    <w:basedOn w:val="NL3"/>
    <w:uiPriority w:val="99"/>
    <w:rsid w:val="00111E17"/>
    <w:pPr>
      <w:tabs>
        <w:tab w:val="clear" w:pos="2160"/>
        <w:tab w:val="clear" w:pos="2520"/>
        <w:tab w:val="left" w:pos="2340"/>
      </w:tabs>
      <w:ind w:left="2347" w:hanging="187"/>
    </w:pPr>
  </w:style>
  <w:style w:type="paragraph" w:customStyle="1" w:styleId="NL3">
    <w:name w:val="NL 3"/>
    <w:basedOn w:val="BL2"/>
    <w:uiPriority w:val="99"/>
    <w:rsid w:val="00111E17"/>
    <w:pPr>
      <w:tabs>
        <w:tab w:val="clear" w:pos="1382"/>
        <w:tab w:val="clear" w:pos="2405"/>
        <w:tab w:val="left" w:pos="2520"/>
      </w:tabs>
      <w:ind w:left="2520" w:hanging="360"/>
    </w:pPr>
  </w:style>
  <w:style w:type="paragraph" w:customStyle="1" w:styleId="Compendium1">
    <w:name w:val="Compendium1"/>
    <w:uiPriority w:val="99"/>
    <w:rsid w:val="00913945"/>
    <w:pPr>
      <w:widowControl w:val="0"/>
      <w:shd w:val="solid" w:color="008080" w:fill="auto"/>
      <w:tabs>
        <w:tab w:val="left" w:pos="317"/>
        <w:tab w:val="left" w:pos="994"/>
        <w:tab w:val="decimal" w:pos="2880"/>
      </w:tabs>
      <w:autoSpaceDE w:val="0"/>
      <w:autoSpaceDN w:val="0"/>
      <w:adjustRightInd w:val="0"/>
      <w:spacing w:before="288" w:after="0" w:line="287" w:lineRule="auto"/>
      <w:jc w:val="center"/>
    </w:pPr>
    <w:rPr>
      <w:rFonts w:cs="Arial Unicode MS"/>
      <w:b/>
      <w:bCs/>
      <w:color w:val="000000"/>
      <w:sz w:val="40"/>
      <w:szCs w:val="40"/>
    </w:rPr>
  </w:style>
  <w:style w:type="paragraph" w:customStyle="1" w:styleId="Compendium2">
    <w:name w:val="Compendium2"/>
    <w:uiPriority w:val="99"/>
    <w:rsid w:val="00913945"/>
    <w:pPr>
      <w:widowControl w:val="0"/>
      <w:pBdr>
        <w:top w:val="single" w:sz="24" w:space="3" w:color="008080"/>
        <w:left w:val="single" w:sz="22" w:space="3" w:color="008080"/>
        <w:bottom w:val="single" w:sz="24" w:space="3" w:color="008080"/>
        <w:right w:val="single" w:sz="24" w:space="3" w:color="008080"/>
      </w:pBdr>
      <w:tabs>
        <w:tab w:val="left" w:pos="906"/>
        <w:tab w:val="left" w:pos="994"/>
        <w:tab w:val="decimal" w:pos="2880"/>
      </w:tabs>
      <w:autoSpaceDE w:val="0"/>
      <w:autoSpaceDN w:val="0"/>
      <w:adjustRightInd w:val="0"/>
      <w:spacing w:before="720" w:after="360" w:line="287" w:lineRule="auto"/>
      <w:jc w:val="center"/>
    </w:pPr>
    <w:rPr>
      <w:rFonts w:cs="Arial Unicode MS"/>
      <w:b/>
      <w:bCs/>
      <w:color w:val="000000"/>
      <w:sz w:val="40"/>
      <w:szCs w:val="40"/>
    </w:rPr>
  </w:style>
  <w:style w:type="paragraph" w:customStyle="1" w:styleId="EOS">
    <w:name w:val="EOS"/>
    <w:basedOn w:val="Normal"/>
    <w:autoRedefine/>
    <w:uiPriority w:val="99"/>
    <w:rsid w:val="00111E17"/>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Field1a">
    <w:name w:val="Field 1a"/>
    <w:basedOn w:val="Normal"/>
    <w:uiPriority w:val="99"/>
    <w:rsid w:val="00111E17"/>
    <w:pPr>
      <w:spacing w:before="100"/>
      <w:jc w:val="right"/>
    </w:pPr>
  </w:style>
  <w:style w:type="paragraph" w:customStyle="1" w:styleId="Field1b">
    <w:name w:val="Field 1b"/>
    <w:basedOn w:val="Normal"/>
    <w:uiPriority w:val="99"/>
    <w:rsid w:val="00111E17"/>
    <w:pPr>
      <w:spacing w:before="100"/>
      <w:jc w:val="left"/>
    </w:pPr>
  </w:style>
  <w:style w:type="paragraph" w:customStyle="1" w:styleId="Field1c">
    <w:name w:val="Field 1c"/>
    <w:basedOn w:val="Field1b"/>
    <w:uiPriority w:val="99"/>
    <w:rsid w:val="00111E17"/>
    <w:pPr>
      <w:tabs>
        <w:tab w:val="left" w:pos="331"/>
        <w:tab w:val="left" w:pos="518"/>
      </w:tabs>
      <w:jc w:val="both"/>
    </w:pPr>
  </w:style>
  <w:style w:type="paragraph" w:customStyle="1" w:styleId="Field2a">
    <w:name w:val="Field 2a"/>
    <w:basedOn w:val="Normal"/>
    <w:uiPriority w:val="99"/>
    <w:rsid w:val="00111E17"/>
    <w:pPr>
      <w:jc w:val="right"/>
    </w:pPr>
  </w:style>
  <w:style w:type="paragraph" w:customStyle="1" w:styleId="Field2b">
    <w:name w:val="Field 2b"/>
    <w:basedOn w:val="Normal"/>
    <w:uiPriority w:val="99"/>
    <w:rsid w:val="00111E17"/>
    <w:pPr>
      <w:jc w:val="left"/>
    </w:pPr>
  </w:style>
  <w:style w:type="paragraph" w:customStyle="1" w:styleId="Field2c">
    <w:name w:val="Field 2c"/>
    <w:basedOn w:val="Field2b"/>
    <w:uiPriority w:val="99"/>
    <w:rsid w:val="00111E17"/>
    <w:pPr>
      <w:tabs>
        <w:tab w:val="left" w:pos="331"/>
        <w:tab w:val="left" w:pos="518"/>
      </w:tabs>
      <w:jc w:val="both"/>
    </w:pPr>
  </w:style>
  <w:style w:type="paragraph" w:customStyle="1" w:styleId="Field3a">
    <w:name w:val="Field 3a"/>
    <w:basedOn w:val="Normal"/>
    <w:uiPriority w:val="99"/>
    <w:rsid w:val="00111E17"/>
    <w:pPr>
      <w:jc w:val="right"/>
    </w:pPr>
  </w:style>
  <w:style w:type="paragraph" w:customStyle="1" w:styleId="Field3b">
    <w:name w:val="Field 3b"/>
    <w:basedOn w:val="Normal"/>
    <w:uiPriority w:val="99"/>
    <w:rsid w:val="00111E17"/>
    <w:pPr>
      <w:jc w:val="left"/>
    </w:pPr>
  </w:style>
  <w:style w:type="paragraph" w:customStyle="1" w:styleId="Field3c">
    <w:name w:val="Field 3c"/>
    <w:basedOn w:val="Normal"/>
    <w:uiPriority w:val="99"/>
    <w:rsid w:val="00111E17"/>
    <w:pPr>
      <w:tabs>
        <w:tab w:val="left" w:pos="331"/>
        <w:tab w:val="left" w:pos="518"/>
      </w:tabs>
    </w:pPr>
  </w:style>
  <w:style w:type="paragraph" w:customStyle="1" w:styleId="Footnote1">
    <w:name w:val="Footnote 1"/>
    <w:basedOn w:val="Normal"/>
    <w:uiPriority w:val="99"/>
    <w:rsid w:val="00111E17"/>
    <w:pPr>
      <w:spacing w:before="0" w:line="260" w:lineRule="atLeast"/>
      <w:jc w:val="right"/>
    </w:pPr>
    <w:rPr>
      <w:sz w:val="18"/>
    </w:rPr>
  </w:style>
  <w:style w:type="paragraph" w:customStyle="1" w:styleId="Footnote2">
    <w:name w:val="Footnote 2"/>
    <w:basedOn w:val="Normal"/>
    <w:uiPriority w:val="99"/>
    <w:rsid w:val="00111E17"/>
    <w:pPr>
      <w:spacing w:before="0" w:line="260" w:lineRule="atLeast"/>
    </w:pPr>
    <w:rPr>
      <w:sz w:val="20"/>
    </w:rPr>
  </w:style>
  <w:style w:type="paragraph" w:customStyle="1" w:styleId="FormsList">
    <w:name w:val="Forms List"/>
    <w:uiPriority w:val="99"/>
    <w:rsid w:val="00913945"/>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pPr>
    <w:rPr>
      <w:rFonts w:cs="Arial Unicode MS"/>
      <w:b/>
      <w:bCs/>
      <w:color w:val="FFFFFF"/>
      <w:sz w:val="24"/>
      <w:szCs w:val="24"/>
    </w:rPr>
  </w:style>
  <w:style w:type="paragraph" w:customStyle="1" w:styleId="FormsList2">
    <w:name w:val="Forms List 2"/>
    <w:uiPriority w:val="99"/>
    <w:rsid w:val="00913945"/>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ind w:left="360"/>
    </w:pPr>
    <w:rPr>
      <w:rFonts w:cs="Arial Unicode MS"/>
      <w:b/>
      <w:bCs/>
      <w:color w:val="FFFFFF"/>
      <w:sz w:val="24"/>
      <w:szCs w:val="24"/>
    </w:rPr>
  </w:style>
  <w:style w:type="paragraph" w:customStyle="1" w:styleId="Manuals">
    <w:name w:val="Manuals"/>
    <w:uiPriority w:val="99"/>
    <w:rsid w:val="00913945"/>
    <w:pPr>
      <w:widowControl w:val="0"/>
      <w:autoSpaceDE w:val="0"/>
      <w:autoSpaceDN w:val="0"/>
      <w:adjustRightInd w:val="0"/>
      <w:spacing w:after="180" w:line="240" w:lineRule="auto"/>
    </w:pPr>
    <w:rPr>
      <w:rFonts w:cs="Arial Unicode MS"/>
      <w:b/>
      <w:bCs/>
      <w:color w:val="008080"/>
      <w:sz w:val="40"/>
      <w:szCs w:val="40"/>
    </w:rPr>
  </w:style>
  <w:style w:type="paragraph" w:customStyle="1" w:styleId="Manuals1">
    <w:name w:val="Manuals1"/>
    <w:uiPriority w:val="99"/>
    <w:rsid w:val="00913945"/>
    <w:pPr>
      <w:widowControl w:val="0"/>
      <w:shd w:val="solid" w:color="008080" w:fill="auto"/>
      <w:autoSpaceDE w:val="0"/>
      <w:autoSpaceDN w:val="0"/>
      <w:adjustRightInd w:val="0"/>
      <w:spacing w:after="108" w:line="240" w:lineRule="auto"/>
    </w:pPr>
    <w:rPr>
      <w:rFonts w:cs="Arial Unicode MS"/>
      <w:b/>
      <w:bCs/>
      <w:color w:val="000000"/>
      <w:sz w:val="28"/>
      <w:szCs w:val="28"/>
    </w:rPr>
  </w:style>
  <w:style w:type="paragraph" w:customStyle="1" w:styleId="NL1">
    <w:name w:val="NL 1"/>
    <w:basedOn w:val="BL1"/>
    <w:uiPriority w:val="99"/>
    <w:rsid w:val="00111E17"/>
    <w:pPr>
      <w:ind w:hanging="432"/>
    </w:pPr>
  </w:style>
  <w:style w:type="paragraph" w:customStyle="1" w:styleId="NL2">
    <w:name w:val="NL 2"/>
    <w:basedOn w:val="NL1"/>
    <w:uiPriority w:val="99"/>
    <w:rsid w:val="00111E17"/>
    <w:pPr>
      <w:tabs>
        <w:tab w:val="clear" w:pos="900"/>
        <w:tab w:val="left" w:pos="1500"/>
      </w:tabs>
      <w:ind w:left="1497" w:hanging="302"/>
    </w:pPr>
  </w:style>
  <w:style w:type="paragraph" w:customStyle="1" w:styleId="NormalPara">
    <w:name w:val="Normal:Para"/>
    <w:uiPriority w:val="99"/>
    <w:rsid w:val="00913945"/>
    <w:pPr>
      <w:widowControl w:val="0"/>
      <w:autoSpaceDE w:val="0"/>
      <w:autoSpaceDN w:val="0"/>
      <w:adjustRightInd w:val="0"/>
      <w:spacing w:before="160" w:after="0" w:line="318" w:lineRule="auto"/>
      <w:jc w:val="both"/>
    </w:pPr>
    <w:rPr>
      <w:rFonts w:cs="Arial Unicode MS"/>
      <w:sz w:val="24"/>
      <w:szCs w:val="24"/>
    </w:rPr>
  </w:style>
  <w:style w:type="paragraph" w:customStyle="1" w:styleId="pagerev">
    <w:name w:val="pagerev"/>
    <w:uiPriority w:val="99"/>
    <w:rsid w:val="00913945"/>
    <w:pPr>
      <w:widowControl w:val="0"/>
      <w:pBdr>
        <w:top w:val="single" w:sz="32" w:space="1" w:color="00FFFF"/>
        <w:left w:val="single" w:sz="32" w:space="1" w:color="00FFFF"/>
        <w:bottom w:val="single" w:sz="32" w:space="1" w:color="00FFFF"/>
        <w:right w:val="single" w:sz="32" w:space="1" w:color="00FFFF"/>
      </w:pBdr>
      <w:shd w:val="solid" w:color="0000FF" w:fill="auto"/>
      <w:autoSpaceDE w:val="0"/>
      <w:autoSpaceDN w:val="0"/>
      <w:adjustRightInd w:val="0"/>
      <w:spacing w:after="0" w:line="240" w:lineRule="auto"/>
    </w:pPr>
    <w:rPr>
      <w:rFonts w:cs="Arial Unicode MS"/>
      <w:b/>
      <w:bCs/>
      <w:color w:val="FFFFFF"/>
    </w:rPr>
  </w:style>
  <w:style w:type="paragraph" w:customStyle="1" w:styleId="POS1Codes">
    <w:name w:val="POS1 Codes"/>
    <w:basedOn w:val="Normal"/>
    <w:uiPriority w:val="99"/>
    <w:rsid w:val="00111E17"/>
    <w:pPr>
      <w:tabs>
        <w:tab w:val="left" w:pos="360"/>
      </w:tabs>
      <w:spacing w:before="100"/>
      <w:jc w:val="right"/>
    </w:pPr>
  </w:style>
  <w:style w:type="paragraph" w:customStyle="1" w:styleId="POS2Codes">
    <w:name w:val="POS2 Codes"/>
    <w:basedOn w:val="Normal"/>
    <w:uiPriority w:val="99"/>
    <w:rsid w:val="00111E17"/>
    <w:pPr>
      <w:spacing w:before="100"/>
      <w:jc w:val="left"/>
    </w:pPr>
  </w:style>
  <w:style w:type="paragraph" w:customStyle="1" w:styleId="POS3Codes">
    <w:name w:val="POS3 Codes"/>
    <w:basedOn w:val="POS2Codes"/>
    <w:uiPriority w:val="99"/>
    <w:rsid w:val="00111E17"/>
    <w:pPr>
      <w:jc w:val="both"/>
    </w:pPr>
  </w:style>
  <w:style w:type="paragraph" w:customStyle="1" w:styleId="ProcHead">
    <w:name w:val="Proc Head"/>
    <w:basedOn w:val="Normal"/>
    <w:next w:val="ProcText"/>
    <w:uiPriority w:val="99"/>
    <w:rsid w:val="00111E17"/>
    <w:pPr>
      <w:tabs>
        <w:tab w:val="left" w:pos="1200"/>
        <w:tab w:val="left" w:pos="3720"/>
      </w:tabs>
      <w:spacing w:before="240" w:after="80" w:line="240" w:lineRule="exact"/>
    </w:pPr>
    <w:rPr>
      <w:sz w:val="18"/>
    </w:rPr>
  </w:style>
  <w:style w:type="paragraph" w:customStyle="1" w:styleId="ProcText">
    <w:name w:val="Proc Text"/>
    <w:basedOn w:val="Text2"/>
    <w:uiPriority w:val="99"/>
    <w:rsid w:val="00111E17"/>
    <w:pPr>
      <w:tabs>
        <w:tab w:val="clear" w:pos="720"/>
        <w:tab w:val="clear" w:pos="1680"/>
        <w:tab w:val="clear" w:pos="2400"/>
        <w:tab w:val="clear" w:pos="3120"/>
        <w:tab w:val="left" w:pos="1200"/>
        <w:tab w:val="left" w:pos="3720"/>
      </w:tabs>
      <w:spacing w:before="80" w:line="260" w:lineRule="exact"/>
      <w:ind w:left="0"/>
      <w:jc w:val="left"/>
    </w:pPr>
    <w:rPr>
      <w:sz w:val="20"/>
    </w:rPr>
  </w:style>
  <w:style w:type="paragraph" w:customStyle="1" w:styleId="ProcText-Indent">
    <w:name w:val="Proc Text - Indent"/>
    <w:uiPriority w:val="99"/>
    <w:rsid w:val="00913945"/>
    <w:pPr>
      <w:widowControl w:val="0"/>
      <w:tabs>
        <w:tab w:val="decimal" w:pos="1080"/>
      </w:tabs>
      <w:autoSpaceDE w:val="0"/>
      <w:autoSpaceDN w:val="0"/>
      <w:adjustRightInd w:val="0"/>
      <w:spacing w:before="101" w:after="0" w:line="240" w:lineRule="auto"/>
      <w:ind w:left="360"/>
    </w:pPr>
    <w:rPr>
      <w:rFonts w:cs="Arial Unicode MS"/>
      <w:color w:val="000000"/>
      <w:sz w:val="18"/>
      <w:szCs w:val="18"/>
    </w:rPr>
  </w:style>
  <w:style w:type="paragraph" w:customStyle="1" w:styleId="Section0">
    <w:name w:val="Section"/>
    <w:uiPriority w:val="99"/>
    <w:rsid w:val="00913945"/>
    <w:pPr>
      <w:widowControl w:val="0"/>
      <w:pBdr>
        <w:top w:val="single" w:sz="24" w:space="3" w:color="000000"/>
        <w:left w:val="single" w:sz="24" w:space="3" w:color="000000"/>
        <w:bottom w:val="single" w:sz="24" w:space="3" w:color="000000"/>
        <w:right w:val="single" w:sz="24" w:space="3" w:color="000000"/>
      </w:pBdr>
      <w:autoSpaceDE w:val="0"/>
      <w:autoSpaceDN w:val="0"/>
      <w:adjustRightInd w:val="0"/>
      <w:spacing w:before="72" w:after="0" w:line="240" w:lineRule="auto"/>
    </w:pPr>
    <w:rPr>
      <w:rFonts w:cs="Arial Unicode MS"/>
      <w:b/>
      <w:bCs/>
      <w:color w:val="000000"/>
      <w:sz w:val="28"/>
      <w:szCs w:val="28"/>
    </w:rPr>
  </w:style>
  <w:style w:type="paragraph" w:customStyle="1" w:styleId="SectionTOC">
    <w:name w:val="Section TOC"/>
    <w:uiPriority w:val="99"/>
    <w:rsid w:val="00913945"/>
    <w:pPr>
      <w:widowControl w:val="0"/>
      <w:shd w:val="solid" w:color="008080" w:fill="auto"/>
      <w:autoSpaceDE w:val="0"/>
      <w:autoSpaceDN w:val="0"/>
      <w:adjustRightInd w:val="0"/>
      <w:spacing w:before="72" w:after="0" w:line="240" w:lineRule="auto"/>
      <w:jc w:val="center"/>
    </w:pPr>
    <w:rPr>
      <w:rFonts w:cs="Arial Unicode MS"/>
      <w:b/>
      <w:bCs/>
      <w:color w:val="000000"/>
      <w:sz w:val="28"/>
      <w:szCs w:val="28"/>
    </w:rPr>
  </w:style>
  <w:style w:type="paragraph" w:customStyle="1" w:styleId="TableEnd">
    <w:name w:val="TableEnd"/>
    <w:uiPriority w:val="99"/>
    <w:rsid w:val="00913945"/>
    <w:pPr>
      <w:widowControl w:val="0"/>
      <w:autoSpaceDE w:val="0"/>
      <w:autoSpaceDN w:val="0"/>
      <w:adjustRightInd w:val="0"/>
      <w:spacing w:after="0" w:line="240" w:lineRule="auto"/>
      <w:jc w:val="both"/>
    </w:pPr>
    <w:rPr>
      <w:rFonts w:cs="Arial Unicode MS"/>
      <w:color w:val="000000"/>
      <w:sz w:val="12"/>
      <w:szCs w:val="12"/>
    </w:rPr>
  </w:style>
  <w:style w:type="character" w:customStyle="1" w:styleId="Appendix">
    <w:name w:val="Appendix"/>
    <w:uiPriority w:val="99"/>
    <w:rsid w:val="00913945"/>
    <w:rPr>
      <w:b/>
      <w:color w:val="800080"/>
      <w:sz w:val="22"/>
      <w:u w:val="single"/>
    </w:rPr>
  </w:style>
  <w:style w:type="character" w:customStyle="1" w:styleId="B-I-U">
    <w:name w:val="B-I-U"/>
    <w:uiPriority w:val="99"/>
    <w:rsid w:val="00913945"/>
    <w:rPr>
      <w:b/>
      <w:i/>
      <w:color w:val="800000"/>
      <w:u w:val="single"/>
    </w:rPr>
  </w:style>
  <w:style w:type="character" w:customStyle="1" w:styleId="Bld">
    <w:name w:val="Bld"/>
    <w:uiPriority w:val="99"/>
    <w:rsid w:val="00913945"/>
    <w:rPr>
      <w:b/>
      <w:color w:val="800000"/>
    </w:rPr>
  </w:style>
  <w:style w:type="character" w:customStyle="1" w:styleId="Bld-Itlc">
    <w:name w:val="Bld-Itlc"/>
    <w:uiPriority w:val="99"/>
    <w:rsid w:val="00913945"/>
    <w:rPr>
      <w:b/>
      <w:i/>
      <w:color w:val="800000"/>
    </w:rPr>
  </w:style>
  <w:style w:type="character" w:customStyle="1" w:styleId="Bld-Undr">
    <w:name w:val="Bld-Undr"/>
    <w:uiPriority w:val="99"/>
    <w:rsid w:val="00913945"/>
    <w:rPr>
      <w:b/>
      <w:color w:val="0000FF"/>
      <w:u w:val="single"/>
    </w:rPr>
  </w:style>
  <w:style w:type="character" w:customStyle="1" w:styleId="hidden">
    <w:name w:val="hidden"/>
    <w:uiPriority w:val="99"/>
    <w:rsid w:val="00913945"/>
    <w:rPr>
      <w:vanish/>
      <w:color w:val="000000"/>
    </w:rPr>
  </w:style>
  <w:style w:type="character" w:customStyle="1" w:styleId="Itlc">
    <w:name w:val="Itlc"/>
    <w:uiPriority w:val="99"/>
    <w:rsid w:val="00913945"/>
    <w:rPr>
      <w:i/>
      <w:color w:val="FF0000"/>
    </w:rPr>
  </w:style>
  <w:style w:type="character" w:customStyle="1" w:styleId="PriorContents">
    <w:name w:val="Prior Contents"/>
    <w:uiPriority w:val="99"/>
    <w:rsid w:val="00913945"/>
    <w:rPr>
      <w:b/>
      <w:color w:val="808080"/>
    </w:rPr>
  </w:style>
  <w:style w:type="character" w:customStyle="1" w:styleId="SprSc">
    <w:name w:val="SprSc"/>
    <w:uiPriority w:val="99"/>
    <w:rsid w:val="00111E17"/>
    <w:rPr>
      <w:position w:val="6"/>
      <w:sz w:val="16"/>
      <w:vertAlign w:val="superscript"/>
    </w:rPr>
  </w:style>
  <w:style w:type="character" w:customStyle="1" w:styleId="Undr">
    <w:name w:val="Undr"/>
    <w:uiPriority w:val="99"/>
    <w:rsid w:val="00913945"/>
    <w:rPr>
      <w:color w:val="0000FF"/>
      <w:u w:val="single"/>
    </w:rPr>
  </w:style>
  <w:style w:type="character" w:customStyle="1" w:styleId="change">
    <w:name w:val="change"/>
    <w:uiPriority w:val="99"/>
    <w:rsid w:val="00913945"/>
    <w:rPr>
      <w:b/>
    </w:rPr>
  </w:style>
  <w:style w:type="character" w:customStyle="1" w:styleId="delete">
    <w:name w:val="delete"/>
    <w:uiPriority w:val="99"/>
    <w:rsid w:val="00913945"/>
    <w:rPr>
      <w:b/>
      <w:strike/>
      <w:color w:val="FF00FF"/>
    </w:rPr>
  </w:style>
  <w:style w:type="character" w:customStyle="1" w:styleId="LinktoAppendix">
    <w:name w:val="Link to Appendix"/>
    <w:uiPriority w:val="99"/>
    <w:rsid w:val="00913945"/>
    <w:rPr>
      <w:b/>
      <w:color w:val="800000"/>
      <w:u w:val="single"/>
    </w:rPr>
  </w:style>
  <w:style w:type="character" w:customStyle="1" w:styleId="LinktoForm">
    <w:name w:val="Link to Form"/>
    <w:uiPriority w:val="99"/>
    <w:rsid w:val="00913945"/>
    <w:rPr>
      <w:color w:val="0000FF"/>
      <w:u w:val="single"/>
    </w:rPr>
  </w:style>
  <w:style w:type="character" w:customStyle="1" w:styleId="LinktoOtherSection">
    <w:name w:val="Link to Other Section"/>
    <w:uiPriority w:val="99"/>
    <w:rsid w:val="00913945"/>
    <w:rPr>
      <w:b/>
      <w:u w:val="single"/>
    </w:rPr>
  </w:style>
  <w:style w:type="character" w:customStyle="1" w:styleId="AssistGTName">
    <w:name w:val="Assist GT Name"/>
    <w:uiPriority w:val="99"/>
    <w:rsid w:val="00913945"/>
    <w:rPr>
      <w:vanish/>
      <w:color w:val="0000FF"/>
    </w:rPr>
  </w:style>
  <w:style w:type="character" w:customStyle="1" w:styleId="Gen08">
    <w:name w:val="Gen08"/>
    <w:uiPriority w:val="99"/>
    <w:rsid w:val="00913945"/>
  </w:style>
  <w:style w:type="character" w:customStyle="1" w:styleId="Gen10">
    <w:name w:val="Gen10"/>
    <w:uiPriority w:val="99"/>
    <w:rsid w:val="00913945"/>
  </w:style>
  <w:style w:type="character" w:customStyle="1" w:styleId="Gen16">
    <w:name w:val="Gen16"/>
    <w:uiPriority w:val="99"/>
    <w:rsid w:val="00913945"/>
  </w:style>
  <w:style w:type="character" w:customStyle="1" w:styleId="Gen20">
    <w:name w:val="Gen20"/>
    <w:uiPriority w:val="99"/>
    <w:rsid w:val="00913945"/>
  </w:style>
  <w:style w:type="character" w:customStyle="1" w:styleId="Gen21">
    <w:name w:val="Gen21"/>
    <w:uiPriority w:val="99"/>
    <w:rsid w:val="00913945"/>
  </w:style>
  <w:style w:type="character" w:customStyle="1" w:styleId="INPOP">
    <w:name w:val="INPOP"/>
    <w:uiPriority w:val="99"/>
    <w:rsid w:val="00913945"/>
  </w:style>
  <w:style w:type="character" w:customStyle="1" w:styleId="Manual">
    <w:name w:val="Manual"/>
    <w:uiPriority w:val="99"/>
    <w:rsid w:val="00913945"/>
  </w:style>
  <w:style w:type="character" w:customStyle="1" w:styleId="Note">
    <w:name w:val="Note"/>
    <w:uiPriority w:val="99"/>
    <w:rsid w:val="00913945"/>
  </w:style>
  <w:style w:type="character" w:customStyle="1" w:styleId="Omit08">
    <w:name w:val="Omit08"/>
    <w:uiPriority w:val="99"/>
    <w:rsid w:val="00913945"/>
  </w:style>
  <w:style w:type="character" w:customStyle="1" w:styleId="Omit10">
    <w:name w:val="Omit10"/>
    <w:uiPriority w:val="99"/>
    <w:rsid w:val="00913945"/>
  </w:style>
  <w:style w:type="character" w:customStyle="1" w:styleId="Omit16">
    <w:name w:val="Omit16"/>
    <w:uiPriority w:val="99"/>
    <w:rsid w:val="00913945"/>
  </w:style>
  <w:style w:type="character" w:customStyle="1" w:styleId="Omit20">
    <w:name w:val="Omit20"/>
    <w:uiPriority w:val="99"/>
    <w:rsid w:val="00913945"/>
  </w:style>
  <w:style w:type="character" w:customStyle="1" w:styleId="Omit21">
    <w:name w:val="Omit21"/>
    <w:uiPriority w:val="99"/>
    <w:rsid w:val="00913945"/>
  </w:style>
  <w:style w:type="character" w:customStyle="1" w:styleId="placement">
    <w:name w:val="placement"/>
    <w:uiPriority w:val="99"/>
    <w:rsid w:val="00913945"/>
    <w:rPr>
      <w:vanish/>
      <w:color w:val="FF00FF"/>
      <w:sz w:val="16"/>
    </w:rPr>
  </w:style>
  <w:style w:type="character" w:customStyle="1" w:styleId="Popup">
    <w:name w:val="Popup"/>
    <w:uiPriority w:val="99"/>
    <w:rsid w:val="00913945"/>
  </w:style>
  <w:style w:type="character" w:customStyle="1" w:styleId="Revised">
    <w:name w:val="Revised"/>
    <w:uiPriority w:val="99"/>
    <w:rsid w:val="00913945"/>
    <w:rPr>
      <w:color w:val="008000"/>
    </w:rPr>
  </w:style>
  <w:style w:type="character" w:customStyle="1" w:styleId="TofC">
    <w:name w:val="TofC"/>
    <w:uiPriority w:val="99"/>
    <w:rsid w:val="00913945"/>
    <w:rPr>
      <w:vanish/>
      <w:color w:val="0000FF"/>
      <w:sz w:val="16"/>
    </w:rPr>
  </w:style>
  <w:style w:type="paragraph" w:customStyle="1" w:styleId="HEAD10">
    <w:name w:val="HEAD1"/>
    <w:basedOn w:val="Head1"/>
    <w:autoRedefine/>
    <w:uiPriority w:val="99"/>
    <w:rsid w:val="00111E17"/>
  </w:style>
  <w:style w:type="table" w:customStyle="1" w:styleId="TableofContents">
    <w:name w:val="Table of Contents"/>
    <w:basedOn w:val="TableNormal"/>
    <w:uiPriority w:val="99"/>
    <w:rsid w:val="00111E17"/>
    <w:pPr>
      <w:spacing w:after="0" w:line="240" w:lineRule="auto"/>
    </w:pPr>
    <w:rPr>
      <w:sz w:val="24"/>
      <w:szCs w:val="20"/>
    </w:rPr>
    <w:tblPr/>
  </w:style>
  <w:style w:type="paragraph" w:styleId="TOC1">
    <w:name w:val="toc 1"/>
    <w:next w:val="Normal"/>
    <w:autoRedefine/>
    <w:uiPriority w:val="39"/>
    <w:unhideWhenUsed/>
    <w:qFormat/>
    <w:rsid w:val="00466AF1"/>
    <w:pPr>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466AF1"/>
    <w:pPr>
      <w:tabs>
        <w:tab w:val="left" w:pos="690"/>
        <w:tab w:val="right" w:leader="dot" w:pos="10070"/>
      </w:tabs>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466AF1"/>
    <w:pPr>
      <w:tabs>
        <w:tab w:val="right" w:leader="dot" w:pos="10070"/>
      </w:tabs>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Footer">
    <w:name w:val="footer"/>
    <w:next w:val="Normal"/>
    <w:link w:val="FooterChar"/>
    <w:autoRedefine/>
    <w:uiPriority w:val="99"/>
    <w:unhideWhenUsed/>
    <w:qFormat/>
    <w:rsid w:val="00466AF1"/>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466AF1"/>
    <w:rPr>
      <w:rFonts w:ascii="Tahoma" w:eastAsiaTheme="minorEastAsia" w:hAnsi="Tahoma" w:cs="Tahoma"/>
      <w:color w:val="000000" w:themeColor="text1"/>
      <w:kern w:val="2"/>
      <w:sz w:val="20"/>
      <w:szCs w:val="20"/>
      <w:lang w:eastAsia="zh-CN"/>
      <w14:ligatures w14:val="standardContextual"/>
    </w:rPr>
  </w:style>
  <w:style w:type="table" w:customStyle="1" w:styleId="Table3">
    <w:name w:val="Table 3"/>
    <w:basedOn w:val="TableNormal"/>
    <w:uiPriority w:val="99"/>
    <w:rsid w:val="00111E17"/>
    <w:pPr>
      <w:spacing w:after="0" w:line="240" w:lineRule="auto"/>
    </w:pPr>
    <w:rPr>
      <w:sz w:val="20"/>
      <w:szCs w:val="20"/>
    </w:rPr>
    <w:tblPr>
      <w:tblInd w:w="1685" w:type="dxa"/>
    </w:tblPr>
  </w:style>
  <w:style w:type="table" w:customStyle="1" w:styleId="Table2">
    <w:name w:val="Table 2"/>
    <w:uiPriority w:val="99"/>
    <w:rsid w:val="00111E17"/>
    <w:pPr>
      <w:spacing w:after="0" w:line="240" w:lineRule="auto"/>
    </w:pPr>
    <w:rPr>
      <w:sz w:val="20"/>
      <w:szCs w:val="20"/>
    </w:rPr>
    <w:tblPr>
      <w:tblInd w:w="720" w:type="dxa"/>
      <w:tblCellMar>
        <w:top w:w="0" w:type="dxa"/>
        <w:left w:w="108" w:type="dxa"/>
        <w:bottom w:w="0" w:type="dxa"/>
        <w:right w:w="108" w:type="dxa"/>
      </w:tblCellMar>
    </w:tblPr>
  </w:style>
  <w:style w:type="table" w:customStyle="1" w:styleId="Tab2">
    <w:name w:val="Tab2"/>
    <w:uiPriority w:val="99"/>
    <w:rsid w:val="00A87BA4"/>
    <w:pPr>
      <w:spacing w:after="0" w:line="240" w:lineRule="auto"/>
    </w:pPr>
    <w:rPr>
      <w:sz w:val="20"/>
      <w:szCs w:val="20"/>
    </w:rPr>
    <w:tblPr>
      <w:tblInd w:w="720" w:type="dxa"/>
      <w:tblCellMar>
        <w:top w:w="0" w:type="dxa"/>
        <w:left w:w="108" w:type="dxa"/>
        <w:bottom w:w="0" w:type="dxa"/>
        <w:right w:w="108" w:type="dxa"/>
      </w:tblCellMar>
    </w:tblPr>
  </w:style>
  <w:style w:type="table" w:customStyle="1" w:styleId="Table20">
    <w:name w:val="Table2"/>
    <w:uiPriority w:val="99"/>
    <w:rsid w:val="00A87BA4"/>
    <w:pPr>
      <w:spacing w:after="0" w:line="240" w:lineRule="auto"/>
    </w:pPr>
    <w:rPr>
      <w:sz w:val="20"/>
      <w:szCs w:val="20"/>
    </w:rPr>
    <w:tblPr>
      <w:tblInd w:w="720" w:type="dxa"/>
      <w:tblCellMar>
        <w:top w:w="0" w:type="dxa"/>
        <w:left w:w="108" w:type="dxa"/>
        <w:bottom w:w="0" w:type="dxa"/>
        <w:right w:w="108" w:type="dxa"/>
      </w:tblCellMar>
    </w:tblPr>
  </w:style>
  <w:style w:type="character" w:styleId="Hyperlink">
    <w:name w:val="Hyperlink"/>
    <w:basedOn w:val="DefaultParagraphFont"/>
    <w:uiPriority w:val="99"/>
    <w:unhideWhenUsed/>
    <w:qFormat/>
    <w:rsid w:val="00466AF1"/>
    <w:rPr>
      <w:rFonts w:ascii="Tahoma" w:hAnsi="Tahoma" w:cs="Tahoma"/>
      <w:b/>
      <w:bCs/>
      <w:iCs w:val="0"/>
      <w:color w:val="04427D"/>
      <w:sz w:val="23"/>
      <w:szCs w:val="23"/>
      <w:u w:val="single" w:color="04427D"/>
    </w:rPr>
  </w:style>
  <w:style w:type="paragraph" w:styleId="Header">
    <w:name w:val="header"/>
    <w:next w:val="Normal"/>
    <w:link w:val="HeaderChar"/>
    <w:autoRedefine/>
    <w:uiPriority w:val="99"/>
    <w:unhideWhenUsed/>
    <w:qFormat/>
    <w:rsid w:val="00466AF1"/>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466AF1"/>
    <w:rPr>
      <w:rFonts w:ascii="Tahoma" w:eastAsiaTheme="minorEastAsia" w:hAnsi="Tahoma" w:cs="Tahoma"/>
      <w:color w:val="000000" w:themeColor="text1"/>
      <w:kern w:val="2"/>
      <w:sz w:val="20"/>
      <w:szCs w:val="20"/>
      <w:lang w:eastAsia="zh-CN"/>
      <w14:ligatures w14:val="standardContextual"/>
    </w:rPr>
  </w:style>
  <w:style w:type="character" w:styleId="PageNumber">
    <w:name w:val="page number"/>
    <w:basedOn w:val="DefaultParagraphFont"/>
    <w:uiPriority w:val="99"/>
    <w:rsid w:val="008C022F"/>
    <w:rPr>
      <w:rFonts w:cs="Times New Roman"/>
    </w:rPr>
  </w:style>
  <w:style w:type="paragraph" w:styleId="BalloonText">
    <w:name w:val="Balloon Text"/>
    <w:basedOn w:val="Normal"/>
    <w:link w:val="BalloonTextChar"/>
    <w:uiPriority w:val="99"/>
    <w:semiHidden/>
    <w:unhideWhenUsed/>
    <w:rsid w:val="00466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F1"/>
    <w:rPr>
      <w:rFonts w:ascii="Segoe UI" w:eastAsiaTheme="minorEastAsia" w:hAnsi="Segoe UI" w:cs="Segoe UI"/>
      <w:color w:val="000000" w:themeColor="text1"/>
      <w:kern w:val="2"/>
      <w:sz w:val="18"/>
      <w:szCs w:val="18"/>
      <w:lang w:eastAsia="zh-CN"/>
      <w14:ligatures w14:val="standardContextual"/>
    </w:rPr>
  </w:style>
  <w:style w:type="character" w:styleId="FollowedHyperlink">
    <w:name w:val="FollowedHyperlink"/>
    <w:basedOn w:val="DefaultParagraphFont"/>
    <w:uiPriority w:val="99"/>
    <w:semiHidden/>
    <w:unhideWhenUsed/>
    <w:qFormat/>
    <w:rsid w:val="00466AF1"/>
    <w:rPr>
      <w:rFonts w:ascii="Tahoma" w:hAnsi="Tahoma"/>
      <w:b/>
      <w:bCs/>
      <w:color w:val="04427D"/>
      <w:sz w:val="23"/>
      <w:szCs w:val="23"/>
      <w:u w:val="single" w:color="04427D"/>
    </w:rPr>
  </w:style>
  <w:style w:type="paragraph" w:customStyle="1" w:styleId="Default">
    <w:name w:val="Default"/>
    <w:rsid w:val="00EC2551"/>
    <w:pPr>
      <w:autoSpaceDE w:val="0"/>
      <w:autoSpaceDN w:val="0"/>
      <w:adjustRightInd w:val="0"/>
      <w:spacing w:after="0" w:line="240" w:lineRule="auto"/>
    </w:pPr>
    <w:rPr>
      <w:rFonts w:eastAsiaTheme="minorHAnsi"/>
      <w:color w:val="000000"/>
      <w:sz w:val="24"/>
      <w:szCs w:val="24"/>
    </w:rPr>
  </w:style>
  <w:style w:type="character" w:styleId="CommentReference">
    <w:name w:val="annotation reference"/>
    <w:basedOn w:val="DefaultParagraphFont"/>
    <w:uiPriority w:val="99"/>
    <w:semiHidden/>
    <w:unhideWhenUsed/>
    <w:rsid w:val="00466AF1"/>
    <w:rPr>
      <w:sz w:val="16"/>
      <w:szCs w:val="16"/>
    </w:rPr>
  </w:style>
  <w:style w:type="paragraph" w:styleId="CommentText">
    <w:name w:val="annotation text"/>
    <w:basedOn w:val="Normal"/>
    <w:link w:val="CommentTextChar"/>
    <w:uiPriority w:val="99"/>
    <w:unhideWhenUsed/>
    <w:rsid w:val="00EC2551"/>
    <w:pPr>
      <w:spacing w:before="0" w:after="200" w:line="240" w:lineRule="auto"/>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EC2551"/>
    <w:rPr>
      <w:rFonts w:asciiTheme="minorHAnsi" w:eastAsiaTheme="minorHAnsi" w:hAnsiTheme="minorHAnsi" w:cstheme="minorBidi"/>
      <w:sz w:val="20"/>
      <w:szCs w:val="20"/>
    </w:rPr>
  </w:style>
  <w:style w:type="paragraph" w:styleId="CommentSubject">
    <w:name w:val="annotation subject"/>
    <w:basedOn w:val="Normal"/>
    <w:next w:val="Normal"/>
    <w:link w:val="CommentSubjectChar"/>
    <w:uiPriority w:val="99"/>
    <w:semiHidden/>
    <w:unhideWhenUsed/>
    <w:rsid w:val="00466AF1"/>
    <w:rPr>
      <w:b/>
      <w:bCs/>
      <w:sz w:val="20"/>
      <w:szCs w:val="20"/>
    </w:rPr>
  </w:style>
  <w:style w:type="character" w:customStyle="1" w:styleId="CommentSubjectChar">
    <w:name w:val="Comment Subject Char"/>
    <w:basedOn w:val="DefaultParagraphFont"/>
    <w:link w:val="CommentSubject"/>
    <w:uiPriority w:val="99"/>
    <w:semiHidden/>
    <w:rsid w:val="00466AF1"/>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466AF1"/>
    <w:pPr>
      <w:spacing w:after="0" w:line="240" w:lineRule="auto"/>
    </w:pPr>
    <w:rPr>
      <w:rFonts w:ascii="Tahoma" w:eastAsia="Tahoma" w:hAnsi="Tahoma" w:cs="Tahoma"/>
    </w:rPr>
  </w:style>
  <w:style w:type="character" w:customStyle="1" w:styleId="DocumentMapChar">
    <w:name w:val="Document Map Char"/>
    <w:basedOn w:val="DefaultParagraphFont"/>
    <w:link w:val="DocumentMap"/>
    <w:uiPriority w:val="99"/>
    <w:semiHidden/>
    <w:rsid w:val="00D14326"/>
    <w:rPr>
      <w:rFonts w:ascii="Tahoma" w:hAnsi="Tahoma" w:cs="Tahoma"/>
      <w:sz w:val="16"/>
      <w:szCs w:val="16"/>
    </w:rPr>
  </w:style>
  <w:style w:type="paragraph" w:styleId="DocumentMap">
    <w:name w:val="Document Map"/>
    <w:basedOn w:val="Normal"/>
    <w:link w:val="DocumentMapChar"/>
    <w:uiPriority w:val="99"/>
    <w:semiHidden/>
    <w:unhideWhenUsed/>
    <w:rsid w:val="00D14326"/>
    <w:pPr>
      <w:spacing w:before="0" w:line="240" w:lineRule="auto"/>
    </w:pPr>
    <w:rPr>
      <w:sz w:val="16"/>
      <w:szCs w:val="16"/>
    </w:rPr>
  </w:style>
  <w:style w:type="paragraph" w:styleId="PlainText">
    <w:name w:val="Plain Text"/>
    <w:basedOn w:val="Normal"/>
    <w:link w:val="PlainTextChar"/>
    <w:uiPriority w:val="99"/>
    <w:unhideWhenUsed/>
    <w:rsid w:val="00D14326"/>
    <w:pPr>
      <w:spacing w:before="0" w:line="240" w:lineRule="auto"/>
      <w:jc w:val="left"/>
    </w:pPr>
    <w:rPr>
      <w:rFonts w:ascii="Maiandra GD" w:eastAsia="Calibri" w:hAnsi="Maiandra GD"/>
      <w:sz w:val="21"/>
      <w:szCs w:val="21"/>
    </w:rPr>
  </w:style>
  <w:style w:type="character" w:customStyle="1" w:styleId="PlainTextChar">
    <w:name w:val="Plain Text Char"/>
    <w:basedOn w:val="DefaultParagraphFont"/>
    <w:link w:val="PlainText"/>
    <w:uiPriority w:val="99"/>
    <w:rsid w:val="00D14326"/>
    <w:rPr>
      <w:rFonts w:ascii="Maiandra GD" w:eastAsia="Calibri" w:hAnsi="Maiandra GD"/>
      <w:sz w:val="21"/>
      <w:szCs w:val="21"/>
    </w:rPr>
  </w:style>
  <w:style w:type="paragraph" w:styleId="ListParagraph">
    <w:name w:val="List Paragraph"/>
    <w:basedOn w:val="Normal"/>
    <w:uiPriority w:val="34"/>
    <w:rsid w:val="00D14326"/>
    <w:pPr>
      <w:ind w:left="720"/>
      <w:contextualSpacing/>
    </w:pPr>
  </w:style>
  <w:style w:type="paragraph" w:customStyle="1" w:styleId="NL3left18Hanging015">
    <w:name w:val="NL 3+ left: 1.8&quot; Hanging: 0.15&quot;"/>
    <w:basedOn w:val="Text3"/>
    <w:rsid w:val="00D14326"/>
    <w:pPr>
      <w:numPr>
        <w:numId w:val="1"/>
      </w:numPr>
      <w:spacing w:before="100"/>
    </w:pPr>
  </w:style>
  <w:style w:type="character" w:customStyle="1" w:styleId="add">
    <w:name w:val="add"/>
    <w:uiPriority w:val="99"/>
    <w:rsid w:val="00D14326"/>
    <w:rPr>
      <w:shd w:val="clear" w:color="000000" w:fill="FF00FF"/>
    </w:rPr>
  </w:style>
  <w:style w:type="character" w:customStyle="1" w:styleId="DidNotChangeMedicaid">
    <w:name w:val="Did Not Change Medicaid"/>
    <w:uiPriority w:val="99"/>
    <w:rsid w:val="00D14326"/>
    <w:rPr>
      <w:shd w:val="clear" w:color="000000" w:fill="00FFFF"/>
    </w:rPr>
  </w:style>
  <w:style w:type="character" w:customStyle="1" w:styleId="Highlighter1">
    <w:name w:val="Highlighter 1"/>
    <w:uiPriority w:val="99"/>
    <w:rsid w:val="00D14326"/>
    <w:rPr>
      <w:shd w:val="clear" w:color="000000" w:fill="FF00FF"/>
    </w:rPr>
  </w:style>
  <w:style w:type="character" w:customStyle="1" w:styleId="MedicaidtoMOHealthNet">
    <w:name w:val="Medicaid to MO HealthNet"/>
    <w:uiPriority w:val="99"/>
    <w:rsid w:val="00D14326"/>
    <w:rPr>
      <w:b/>
      <w:shd w:val="clear" w:color="000000" w:fill="00FF00"/>
    </w:rPr>
  </w:style>
  <w:style w:type="character" w:customStyle="1" w:styleId="MissouriMedicaidtoMOHealthNet">
    <w:name w:val="Missouri Medicaid to MO HealthNet"/>
    <w:uiPriority w:val="99"/>
    <w:rsid w:val="00D14326"/>
    <w:rPr>
      <w:b/>
      <w:shd w:val="clear" w:color="000000" w:fill="FFFF00"/>
    </w:rPr>
  </w:style>
  <w:style w:type="character" w:customStyle="1" w:styleId="MOHealthNetDivision">
    <w:name w:val="MO HealthNet Division"/>
    <w:uiPriority w:val="99"/>
    <w:rsid w:val="00D14326"/>
    <w:rPr>
      <w:color w:val="FFFFFF"/>
      <w:shd w:val="clear" w:color="000000" w:fill="FF0000"/>
    </w:rPr>
  </w:style>
  <w:style w:type="character" w:customStyle="1" w:styleId="New">
    <w:name w:val="New"/>
    <w:uiPriority w:val="99"/>
    <w:rsid w:val="00D14326"/>
    <w:rPr>
      <w:shd w:val="clear" w:color="000000" w:fill="FF00FF"/>
    </w:rPr>
  </w:style>
  <w:style w:type="character" w:customStyle="1" w:styleId="newinformation">
    <w:name w:val="new information"/>
    <w:uiPriority w:val="99"/>
    <w:rsid w:val="00D14326"/>
    <w:rPr>
      <w:shd w:val="clear" w:color="000000" w:fill="00FFFF"/>
    </w:rPr>
  </w:style>
  <w:style w:type="character" w:customStyle="1" w:styleId="RecipienttoParticipant">
    <w:name w:val="Recipient to Participant"/>
    <w:uiPriority w:val="99"/>
    <w:rsid w:val="00D14326"/>
    <w:rPr>
      <w:b/>
      <w:shd w:val="clear" w:color="000000" w:fill="800080"/>
    </w:rPr>
  </w:style>
  <w:style w:type="paragraph" w:customStyle="1" w:styleId="NormalBlack">
    <w:name w:val="Normal + Black"/>
    <w:basedOn w:val="Field1c"/>
    <w:uiPriority w:val="99"/>
    <w:rsid w:val="00D14326"/>
  </w:style>
  <w:style w:type="paragraph" w:styleId="NormalWeb">
    <w:name w:val="Normal (Web)"/>
    <w:basedOn w:val="Normal"/>
    <w:uiPriority w:val="99"/>
    <w:unhideWhenUsed/>
    <w:rsid w:val="00466AF1"/>
    <w:rPr>
      <w:rFonts w:ascii="Times New Roman" w:eastAsiaTheme="minorHAnsi" w:hAnsi="Times New Roman" w:cs="Times New Roman"/>
      <w:sz w:val="24"/>
      <w:szCs w:val="24"/>
    </w:rPr>
  </w:style>
  <w:style w:type="paragraph" w:styleId="TOCHeading">
    <w:name w:val="TOC Heading"/>
    <w:next w:val="Normal"/>
    <w:autoRedefine/>
    <w:uiPriority w:val="39"/>
    <w:unhideWhenUsed/>
    <w:qFormat/>
    <w:rsid w:val="00CF56AC"/>
    <w:pPr>
      <w:pageBreakBefore/>
      <w:spacing w:after="160" w:line="278" w:lineRule="auto"/>
      <w:jc w:val="center"/>
    </w:pPr>
    <w:rPr>
      <w:rFonts w:ascii="Tahoma" w:eastAsiaTheme="majorEastAsia" w:hAnsi="Tahoma" w:cs="Tahoma"/>
      <w:b/>
      <w:bCs/>
      <w:sz w:val="44"/>
      <w:szCs w:val="44"/>
    </w:rPr>
  </w:style>
  <w:style w:type="paragraph" w:styleId="NoSpacing">
    <w:name w:val="No Spacing"/>
    <w:uiPriority w:val="1"/>
    <w:qFormat/>
    <w:rsid w:val="00466AF1"/>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Text3Char">
    <w:name w:val="Text 3 Char"/>
    <w:basedOn w:val="DefaultParagraphFont"/>
    <w:link w:val="Text3"/>
    <w:uiPriority w:val="99"/>
    <w:rsid w:val="00302633"/>
    <w:rPr>
      <w:sz w:val="24"/>
      <w:szCs w:val="20"/>
    </w:rPr>
  </w:style>
  <w:style w:type="character" w:styleId="UnresolvedMention">
    <w:name w:val="Unresolved Mention"/>
    <w:basedOn w:val="DefaultParagraphFont"/>
    <w:uiPriority w:val="99"/>
    <w:semiHidden/>
    <w:unhideWhenUsed/>
    <w:rsid w:val="00466AF1"/>
    <w:rPr>
      <w:color w:val="605E5C"/>
      <w:shd w:val="clear" w:color="auto" w:fill="E1DFDD"/>
    </w:rPr>
  </w:style>
  <w:style w:type="paragraph" w:styleId="ListBullet2">
    <w:name w:val="List Bullet 2"/>
    <w:basedOn w:val="Normal"/>
    <w:uiPriority w:val="99"/>
    <w:unhideWhenUsed/>
    <w:rsid w:val="00466AF1"/>
    <w:pPr>
      <w:numPr>
        <w:numId w:val="3"/>
      </w:numPr>
      <w:contextualSpacing/>
    </w:pPr>
  </w:style>
  <w:style w:type="paragraph" w:styleId="ListBullet">
    <w:name w:val="List Bullet"/>
    <w:basedOn w:val="Normal"/>
    <w:uiPriority w:val="99"/>
    <w:unhideWhenUsed/>
    <w:rsid w:val="00466AF1"/>
    <w:pPr>
      <w:numPr>
        <w:numId w:val="4"/>
      </w:numPr>
      <w:contextualSpacing/>
    </w:pPr>
  </w:style>
  <w:style w:type="paragraph" w:styleId="BodyText">
    <w:name w:val="Body Text"/>
    <w:next w:val="Normal"/>
    <w:link w:val="BodyTextChar"/>
    <w:autoRedefine/>
    <w:uiPriority w:val="1"/>
    <w:qFormat/>
    <w:rsid w:val="00466AF1"/>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466AF1"/>
    <w:rPr>
      <w:rFonts w:ascii="Tahoma" w:eastAsiaTheme="minorEastAsia" w:hAnsi="Tahoma" w:cs="Tahoma"/>
      <w:color w:val="000000" w:themeColor="text1"/>
      <w:kern w:val="2"/>
      <w:sz w:val="23"/>
      <w:szCs w:val="23"/>
      <w:lang w:eastAsia="zh-CN"/>
      <w14:ligatures w14:val="standardContextual"/>
    </w:rPr>
  </w:style>
  <w:style w:type="table" w:styleId="TableGrid">
    <w:name w:val="Table Grid"/>
    <w:basedOn w:val="TableNormal"/>
    <w:uiPriority w:val="59"/>
    <w:rsid w:val="00466AF1"/>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466AF1"/>
    <w:pPr>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466AF1"/>
    <w:pPr>
      <w:numPr>
        <w:numId w:val="5"/>
      </w:num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466AF1"/>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466AF1"/>
    <w:pPr>
      <w:numPr>
        <w:numId w:val="6"/>
      </w:numPr>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466AF1"/>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466AF1"/>
    <w:pPr>
      <w:numPr>
        <w:numId w:val="7"/>
      </w:numPr>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466AF1"/>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466AF1"/>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466AF1"/>
    <w:pPr>
      <w:ind w:left="360" w:hanging="360"/>
      <w:contextualSpacing/>
    </w:pPr>
  </w:style>
  <w:style w:type="paragraph" w:customStyle="1" w:styleId="BodyTextTableNumbers">
    <w:name w:val="Body Text (Table Numbers)"/>
    <w:next w:val="Normal"/>
    <w:autoRedefine/>
    <w:qFormat/>
    <w:rsid w:val="00466AF1"/>
    <w:pPr>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466AF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66AF1"/>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466AF1"/>
    <w:rPr>
      <w:vertAlign w:val="superscript"/>
    </w:rPr>
  </w:style>
  <w:style w:type="paragraph" w:customStyle="1" w:styleId="BodyTextTableBody">
    <w:name w:val="Body Text (Table Body)"/>
    <w:next w:val="Normal"/>
    <w:autoRedefine/>
    <w:qFormat/>
    <w:rsid w:val="00466AF1"/>
    <w:pPr>
      <w:widowControl w:val="0"/>
      <w:spacing w:before="160" w:after="160" w:line="320" w:lineRule="atLeast"/>
      <w:ind w:left="144" w:right="144"/>
      <w:jc w:val="both"/>
    </w:pPr>
    <w:rPr>
      <w:rFonts w:ascii="Tahoma" w:eastAsiaTheme="minorHAnsi" w:hAnsi="Tahoma" w:cs="Tahoma"/>
      <w:bCs/>
      <w:sz w:val="23"/>
      <w:szCs w:val="23"/>
    </w:rPr>
  </w:style>
  <w:style w:type="paragraph" w:customStyle="1" w:styleId="Introduction">
    <w:name w:val="Introduction"/>
    <w:next w:val="Normal"/>
    <w:autoRedefine/>
    <w:qFormat/>
    <w:rsid w:val="00CF56AC"/>
    <w:pPr>
      <w:widowControl w:val="0"/>
      <w:autoSpaceDE w:val="0"/>
      <w:autoSpaceDN w:val="0"/>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styleId="BlockText">
    <w:name w:val="Block Text"/>
    <w:basedOn w:val="Normal"/>
    <w:uiPriority w:val="99"/>
    <w:semiHidden/>
    <w:unhideWhenUsed/>
    <w:rsid w:val="00466A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60786">
      <w:bodyDiv w:val="1"/>
      <w:marLeft w:val="0"/>
      <w:marRight w:val="0"/>
      <w:marTop w:val="0"/>
      <w:marBottom w:val="0"/>
      <w:divBdr>
        <w:top w:val="none" w:sz="0" w:space="0" w:color="auto"/>
        <w:left w:val="none" w:sz="0" w:space="0" w:color="auto"/>
        <w:bottom w:val="none" w:sz="0" w:space="0" w:color="auto"/>
        <w:right w:val="none" w:sz="0" w:space="0" w:color="auto"/>
      </w:divBdr>
    </w:div>
    <w:div w:id="522090340">
      <w:bodyDiv w:val="1"/>
      <w:marLeft w:val="0"/>
      <w:marRight w:val="0"/>
      <w:marTop w:val="0"/>
      <w:marBottom w:val="0"/>
      <w:divBdr>
        <w:top w:val="none" w:sz="0" w:space="0" w:color="auto"/>
        <w:left w:val="none" w:sz="0" w:space="0" w:color="auto"/>
        <w:bottom w:val="none" w:sz="0" w:space="0" w:color="auto"/>
        <w:right w:val="none" w:sz="0" w:space="0" w:color="auto"/>
      </w:divBdr>
    </w:div>
    <w:div w:id="18800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dss.mo.gov/media/pdf/personal-care-manual" TargetMode="External"/><Relationship Id="rId26" Type="http://schemas.openxmlformats.org/officeDocument/2006/relationships/hyperlink" Target="https://health.mo.gov/safety/fcsr/" TargetMode="External"/><Relationship Id="rId39" Type="http://schemas.openxmlformats.org/officeDocument/2006/relationships/hyperlink" Target="https://mydss.mo.gov/media/pdf/general-sections-manual" TargetMode="External"/><Relationship Id="rId21" Type="http://schemas.openxmlformats.org/officeDocument/2006/relationships/hyperlink" Target="https://mydss.mo.gov/media/pdf/general-sections-manual" TargetMode="External"/><Relationship Id="rId34" Type="http://schemas.openxmlformats.org/officeDocument/2006/relationships/hyperlink" Target="https://health.mo.gov/safety/edl/" TargetMode="External"/><Relationship Id="rId42" Type="http://schemas.openxmlformats.org/officeDocument/2006/relationships/hyperlink" Target="https://mydss.mo.gov/media/pdf/general-sections-manual" TargetMode="External"/><Relationship Id="rId47" Type="http://schemas.openxmlformats.org/officeDocument/2006/relationships/hyperlink" Target="mailto:MMAC.ProviderEnrollment@dss.mo.gov" TargetMode="External"/><Relationship Id="rId50" Type="http://schemas.openxmlformats.org/officeDocument/2006/relationships/hyperlink" Target="https://www.emomed.com/public/publicdocs/5010%20Companion%20Guide.pdf" TargetMode="External"/><Relationship Id="rId55" Type="http://schemas.openxmlformats.org/officeDocument/2006/relationships/hyperlink" Target="https://manuals.momed.com/forms/UB-04.pdf" TargetMode="External"/><Relationship Id="rId63" Type="http://schemas.openxmlformats.org/officeDocument/2006/relationships/hyperlink" Target="https://www.emomed.com/" TargetMode="External"/><Relationship Id="rId68" Type="http://schemas.openxmlformats.org/officeDocument/2006/relationships/hyperlink" Target="https://mydss.mo.gov/media/pdf/general-sections-manual" TargetMode="External"/><Relationship Id="rId7" Type="http://schemas.openxmlformats.org/officeDocument/2006/relationships/settings" Target="settings.xml"/><Relationship Id="rId71" Type="http://schemas.openxmlformats.org/officeDocument/2006/relationships/hyperlink" Target="http://www.cdc.gov/nchs/icd.htm" TargetMode="External"/><Relationship Id="rId2" Type="http://schemas.openxmlformats.org/officeDocument/2006/relationships/customXml" Target="../customXml/item2.xml"/><Relationship Id="rId16" Type="http://schemas.openxmlformats.org/officeDocument/2006/relationships/hyperlink" Target="https://www.ecfr.gov/current/title-45/subtitle-A/subchapter-A/part-97" TargetMode="External"/><Relationship Id="rId29" Type="http://schemas.openxmlformats.org/officeDocument/2006/relationships/hyperlink" Target="https://mmac.mo.gov/providers/provider-enrollment/" TargetMode="External"/><Relationship Id="rId11" Type="http://schemas.openxmlformats.org/officeDocument/2006/relationships/image" Target="media/image1.png"/><Relationship Id="rId24" Type="http://schemas.openxmlformats.org/officeDocument/2006/relationships/hyperlink" Target="https://mydss.mo.gov/mhd/provider-manuals" TargetMode="External"/><Relationship Id="rId32" Type="http://schemas.openxmlformats.org/officeDocument/2006/relationships/hyperlink" Target="file:///\\ssrvu49\MH-ALLEMP\2022%20Provider%20Manual%20Redesign%20Project\Program%20Manuals%20to%20Review\AIDS%20Waiver\AIDS%20Waiver%20Manual%20-%20Final%20aw.docx" TargetMode="External"/><Relationship Id="rId37" Type="http://schemas.openxmlformats.org/officeDocument/2006/relationships/hyperlink" Target="https://www.sos.mo.gov/cmsimages/adrules/csr/current/19csr/19c20-20.pdf" TargetMode="External"/><Relationship Id="rId40" Type="http://schemas.openxmlformats.org/officeDocument/2006/relationships/hyperlink" Target="https://s1.sos.mo.gov/cmsimages/adrules/csr/current/13csr/13c70-4.pdf" TargetMode="External"/><Relationship Id="rId45" Type="http://schemas.openxmlformats.org/officeDocument/2006/relationships/hyperlink" Target="https://mydss.mo.gov/media/pdf/hospice-manual" TargetMode="External"/><Relationship Id="rId53" Type="http://schemas.openxmlformats.org/officeDocument/2006/relationships/hyperlink" Target="http://www.emomed.com/" TargetMode="External"/><Relationship Id="rId58"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66" Type="http://schemas.openxmlformats.org/officeDocument/2006/relationships/hyperlink" Target="https://mydss.mo.gov/media/pdf/healthy-children-and-youth"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ss.mo.gov/mhd/providers/pages/cptagree.htm" TargetMode="External"/><Relationship Id="rId23" Type="http://schemas.openxmlformats.org/officeDocument/2006/relationships/hyperlink" Target="https://mydss.mo.gov/media/pdf/general-sections-manual" TargetMode="External"/><Relationship Id="rId28" Type="http://schemas.openxmlformats.org/officeDocument/2006/relationships/hyperlink" Target="https://mydss.mo.gov/mhd/evv" TargetMode="External"/><Relationship Id="rId36" Type="http://schemas.openxmlformats.org/officeDocument/2006/relationships/hyperlink" Target="https://health.mo.gov/safety/fcsr/backgrounds.php" TargetMode="External"/><Relationship Id="rId49" Type="http://schemas.openxmlformats.org/officeDocument/2006/relationships/hyperlink" Target="https://wpc-edi.com/" TargetMode="External"/><Relationship Id="rId57" Type="http://schemas.openxmlformats.org/officeDocument/2006/relationships/hyperlink" Target="https://mydss.mo.gov/media/pdf/general-sections-manual" TargetMode="External"/><Relationship Id="rId61" Type="http://schemas.openxmlformats.org/officeDocument/2006/relationships/hyperlink" Target="https://mydss.mo.gov/media/pdf/general-sections-manual" TargetMode="External"/><Relationship Id="rId10" Type="http://schemas.openxmlformats.org/officeDocument/2006/relationships/endnotes" Target="endnotes.xml"/><Relationship Id="rId19" Type="http://schemas.openxmlformats.org/officeDocument/2006/relationships/hyperlink" Target="https://mydss.mo.gov/media/pdf/personal-care-manual" TargetMode="External"/><Relationship Id="rId31" Type="http://schemas.openxmlformats.org/officeDocument/2006/relationships/hyperlink" Target="https://mydss.mo.gov/media/pdf/general-sections-manual" TargetMode="External"/><Relationship Id="rId44" Type="http://schemas.openxmlformats.org/officeDocument/2006/relationships/hyperlink" Target="https://mydss.mo.gov/media/pdf/general-sections-manual" TargetMode="External"/><Relationship Id="rId52" Type="http://schemas.openxmlformats.org/officeDocument/2006/relationships/hyperlink" Target="http://www.emomed.com/" TargetMode="External"/><Relationship Id="rId60" Type="http://schemas.openxmlformats.org/officeDocument/2006/relationships/hyperlink" Target="https://mydss.mo.gov/media/pdf/general-sections-manual" TargetMode="External"/><Relationship Id="rId65" Type="http://schemas.openxmlformats.org/officeDocument/2006/relationships/hyperlink" Target="https://mydss.mo.gov/media/pdf/general-sections-manua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ss.mo.gov/mhd/providers/pages/cptagree.htm" TargetMode="External"/><Relationship Id="rId22" Type="http://schemas.openxmlformats.org/officeDocument/2006/relationships/hyperlink" Target="https://www.ssa.gov/OP_Home/ssact/title16b/1616.htm" TargetMode="External"/><Relationship Id="rId27" Type="http://schemas.openxmlformats.org/officeDocument/2006/relationships/hyperlink" Target="https://s1.sos.mo.gov/CMSImages/AdRules/csr/current/13csr/13c70-3.pdf" TargetMode="External"/><Relationship Id="rId30" Type="http://schemas.openxmlformats.org/officeDocument/2006/relationships/hyperlink" Target="https://health.mo.gov/seniors/nursinghomes/pdf/chapter-192.pdf" TargetMode="External"/><Relationship Id="rId35" Type="http://schemas.openxmlformats.org/officeDocument/2006/relationships/hyperlink" Target="https://revisor.mo.gov/main/OneSection.aspx?section=192.2495&amp;bid=35739&amp;hl=" TargetMode="External"/><Relationship Id="rId43" Type="http://schemas.openxmlformats.org/officeDocument/2006/relationships/hyperlink" Target="http://www.emomed.com/" TargetMode="External"/><Relationship Id="rId48" Type="http://schemas.openxmlformats.org/officeDocument/2006/relationships/hyperlink" Target="https://mydss.mo.gov/media/pdf/general-sections-manual" TargetMode="External"/><Relationship Id="rId56" Type="http://schemas.openxmlformats.org/officeDocument/2006/relationships/hyperlink" Target="https://manuals.momed.com/forms/Dental_Claim_Form_2019.pdf" TargetMode="External"/><Relationship Id="rId64" Type="http://schemas.openxmlformats.org/officeDocument/2006/relationships/hyperlink" Target="https://www.cms.gov/Medicare/CMS-Forms/CMS-Forms/downloads/cms1500.pdf" TargetMode="External"/><Relationship Id="rId69" Type="http://schemas.openxmlformats.org/officeDocument/2006/relationships/hyperlink" Target="http://www.emomed.com" TargetMode="External"/><Relationship Id="rId8" Type="http://schemas.openxmlformats.org/officeDocument/2006/relationships/webSettings" Target="webSettings.xml"/><Relationship Id="rId51" Type="http://schemas.openxmlformats.org/officeDocument/2006/relationships/hyperlink" Target="https://www.emomed.com/public/publicdocs/D.0%20Companion%20Guide.pdf" TargetMode="External"/><Relationship Id="rId72" Type="http://schemas.openxmlformats.org/officeDocument/2006/relationships/hyperlink" Target="https://commerce.ama-assn.org/store/ui"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mo.gov/cmsimages/adrules/csr/current/13csr/13c70-91.pdf" TargetMode="External"/><Relationship Id="rId25" Type="http://schemas.openxmlformats.org/officeDocument/2006/relationships/hyperlink" Target="https://mydss.mo.gov/media/pdf/aw-addendum-mmac-provider-agreement" TargetMode="External"/><Relationship Id="rId33" Type="http://schemas.openxmlformats.org/officeDocument/2006/relationships/hyperlink" Target="https://health.mo.gov/safety/fcsr/backgrounds.php" TargetMode="External"/><Relationship Id="rId38" Type="http://schemas.openxmlformats.org/officeDocument/2006/relationships/hyperlink" Target="https://s1.sos.mo.gov/CMSImages/AdRules/csr/current/13csr/13c70-3.pdf" TargetMode="External"/><Relationship Id="rId46" Type="http://schemas.openxmlformats.org/officeDocument/2006/relationships/hyperlink" Target="https://mydss.mo.gov/media/pdf/aw-addendum-mmac-provider-agreement" TargetMode="External"/><Relationship Id="rId59" Type="http://schemas.openxmlformats.org/officeDocument/2006/relationships/hyperlink" Target="https://www.cms.gov/Medicare/CMS-Forms/CMS-Forms/downloads/cms1500.pdf" TargetMode="External"/><Relationship Id="rId67" Type="http://schemas.openxmlformats.org/officeDocument/2006/relationships/hyperlink" Target="http://www.emomed.com" TargetMode="External"/><Relationship Id="rId20" Type="http://schemas.openxmlformats.org/officeDocument/2006/relationships/hyperlink" Target="https://mydss.mo.gov/media/pdf/general-sections-manual" TargetMode="External"/><Relationship Id="rId41" Type="http://schemas.openxmlformats.org/officeDocument/2006/relationships/hyperlink" Target="https://www.emomed.com/" TargetMode="External"/><Relationship Id="rId54" Type="http://schemas.openxmlformats.org/officeDocument/2006/relationships/hyperlink" Target="http://www.emomed.com/" TargetMode="External"/><Relationship Id="rId62" Type="http://schemas.openxmlformats.org/officeDocument/2006/relationships/hyperlink" Target="https://www.cms.gov/Medicare/CMS-Forms/CMS-Forms/downloads/cms1500.pdf" TargetMode="External"/><Relationship Id="rId70"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Custom 8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0" ma:contentTypeDescription="Create a new document." ma:contentTypeScope="" ma:versionID="a67b0f919cae85a27cd73f7ad0fe740a">
  <xsd:schema xmlns:xsd="http://www.w3.org/2001/XMLSchema" xmlns:xs="http://www.w3.org/2001/XMLSchema" xmlns:p="http://schemas.microsoft.com/office/2006/metadata/properties" xmlns:ns3="de4ce362-36a0-45ca-b15f-c64cd8e27601" targetNamespace="http://schemas.microsoft.com/office/2006/metadata/properties" ma:root="true" ma:fieldsID="ae42dbebff1b46fa21fc6d3b93ee5032"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DE4CA-C537-469E-8E12-FBB821AAC44F}">
  <ds:schemaRefs>
    <ds:schemaRef ds:uri="http://schemas.openxmlformats.org/officeDocument/2006/bibliography"/>
  </ds:schemaRefs>
</ds:datastoreItem>
</file>

<file path=customXml/itemProps2.xml><?xml version="1.0" encoding="utf-8"?>
<ds:datastoreItem xmlns:ds="http://schemas.openxmlformats.org/officeDocument/2006/customXml" ds:itemID="{7EDE243F-823F-4379-BB7F-A2463704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4A6EB-7966-4ED5-9A5A-23F9E9241830}">
  <ds:schemaRefs>
    <ds:schemaRef ds:uri="http://schemas.microsoft.com/office/2006/metadata/properties"/>
    <ds:schemaRef ds:uri="http://schemas.microsoft.com/office/infopath/2007/PartnerControls"/>
    <ds:schemaRef ds:uri="de4ce362-36a0-45ca-b15f-c64cd8e27601"/>
  </ds:schemaRefs>
</ds:datastoreItem>
</file>

<file path=customXml/itemProps4.xml><?xml version="1.0" encoding="utf-8"?>
<ds:datastoreItem xmlns:ds="http://schemas.openxmlformats.org/officeDocument/2006/customXml" ds:itemID="{01CC5CAA-40C4-4C2B-A5AB-9AFDE9C24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14</TotalTime>
  <Pages>37</Pages>
  <Words>10856</Words>
  <Characters>61883</Characters>
  <Application>Microsoft Office Word</Application>
  <DocSecurity>8</DocSecurity>
  <Lines>515</Lines>
  <Paragraphs>145</Paragraphs>
  <ScaleCrop>false</ScaleCrop>
  <HeadingPairs>
    <vt:vector size="2" baseType="variant">
      <vt:variant>
        <vt:lpstr>Title</vt:lpstr>
      </vt:variant>
      <vt:variant>
        <vt:i4>1</vt:i4>
      </vt:variant>
    </vt:vector>
  </HeadingPairs>
  <TitlesOfParts>
    <vt:vector size="1" baseType="lpstr">
      <vt:lpstr>MO HealthNet AIDS Waiver Provider Manual</vt:lpstr>
    </vt:vector>
  </TitlesOfParts>
  <Manager>Missouri Department of Social Services</Manager>
  <Company>State of Missouri</Company>
  <LinksUpToDate>false</LinksUpToDate>
  <CharactersWithSpaces>72594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AIDS Waiver Provider Manual</dc:title>
  <dc:creator>MO HealthNet</dc:creator>
  <cp:keywords>MO HealthNet AIDS Waiver Provider Manual</cp:keywords>
  <dc:description>MO HealthNet AIDS Waiver Provider Manual</dc:description>
  <cp:lastModifiedBy>Peanick, Julie</cp:lastModifiedBy>
  <cp:revision>2</cp:revision>
  <cp:lastPrinted>2014-02-12T15:50:00Z</cp:lastPrinted>
  <dcterms:created xsi:type="dcterms:W3CDTF">2026-05-07T18:39:00Z</dcterms:created>
  <dcterms:modified xsi:type="dcterms:W3CDTF">2026-05-07T18:39:00Z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3c49de78c474529a876f5bab1cf66d3d533954641730e3b77bb2aef1acd70bbc</vt:lpwstr>
  </property>
  <property fmtid="{D5CDD505-2E9C-101B-9397-08002B2CF9AE}" pid="3" name="ContentTypeId">
    <vt:lpwstr>0x010100C435508F8315CF448504F42060908B5E</vt:lpwstr>
  </property>
</Properties>
</file>