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52A3EDA6" w:rsidR="004C5767" w:rsidRPr="006560B3" w:rsidRDefault="004C5767" w:rsidP="00D27533">
      <w:pPr>
        <w:pStyle w:val="tbody"/>
        <w:rPr>
          <w:b w:val="0"/>
        </w:rPr>
      </w:pPr>
      <w:r w:rsidRPr="00C02553">
        <w:t>Drug/Drug Class:</w:t>
      </w:r>
      <w:r w:rsidR="006560B3">
        <w:rPr>
          <w:b w:val="0"/>
        </w:rPr>
        <w:t xml:space="preserve"> </w:t>
      </w:r>
      <w:proofErr w:type="spellStart"/>
      <w:r w:rsidR="0098055A" w:rsidRPr="0098055A">
        <w:rPr>
          <w:b w:val="0"/>
        </w:rPr>
        <w:t>Tzield</w:t>
      </w:r>
      <w:proofErr w:type="spellEnd"/>
      <w:r w:rsidR="0098055A" w:rsidRPr="0098055A">
        <w:rPr>
          <w:b w:val="0"/>
        </w:rPr>
        <w:t xml:space="preserve"> Clinical Edit</w:t>
      </w:r>
    </w:p>
    <w:p w14:paraId="7AD7FFCE" w14:textId="7F1BB945" w:rsidR="004C5767" w:rsidRPr="006560B3" w:rsidRDefault="004C5767" w:rsidP="00D27533">
      <w:pPr>
        <w:pStyle w:val="tbody"/>
        <w:rPr>
          <w:b w:val="0"/>
        </w:rPr>
      </w:pPr>
      <w:r w:rsidRPr="00C02553">
        <w:t>First Implementation Date:</w:t>
      </w:r>
      <w:r w:rsidR="006560B3">
        <w:rPr>
          <w:b w:val="0"/>
        </w:rPr>
        <w:t xml:space="preserve"> </w:t>
      </w:r>
      <w:r w:rsidR="007B41A3" w:rsidRPr="007B41A3">
        <w:rPr>
          <w:b w:val="0"/>
        </w:rPr>
        <w:t>August 3, 2023</w:t>
      </w:r>
    </w:p>
    <w:p w14:paraId="4B7D760D" w14:textId="1754E197" w:rsidR="004C5767" w:rsidRPr="00D232D9" w:rsidRDefault="004540E3" w:rsidP="15EB50BA">
      <w:pPr>
        <w:pStyle w:val="tbody"/>
        <w:rPr>
          <w:b w:val="0"/>
        </w:rPr>
      </w:pPr>
      <w:r>
        <w:t>Revised</w:t>
      </w:r>
      <w:r w:rsidR="004C5767">
        <w:t xml:space="preserve"> Date:</w:t>
      </w:r>
      <w:r w:rsidR="00065C22">
        <w:t xml:space="preserve"> </w:t>
      </w:r>
      <w:r w:rsidR="00D80C33" w:rsidRPr="00D80C33">
        <w:rPr>
          <w:b w:val="0"/>
        </w:rPr>
        <w:t xml:space="preserve">May </w:t>
      </w:r>
      <w:r w:rsidR="00AE7410">
        <w:rPr>
          <w:b w:val="0"/>
        </w:rPr>
        <w:t>14</w:t>
      </w:r>
      <w:r w:rsidR="00D80C33" w:rsidRPr="00D80C33">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72D23B3" w:rsidR="004C5767" w:rsidRPr="00D27533" w:rsidRDefault="004C5767" w:rsidP="00D27533">
      <w:pPr>
        <w:pStyle w:val="tbody"/>
        <w:rPr>
          <w:b w:val="0"/>
          <w:bCs/>
          <w:spacing w:val="-3"/>
        </w:rPr>
      </w:pPr>
      <w:r w:rsidRPr="00C02553">
        <w:t xml:space="preserve">Criteria Status: </w:t>
      </w:r>
      <w:r w:rsidR="00362069" w:rsidRPr="00362069">
        <w:rPr>
          <w:b w:val="0"/>
          <w:bCs/>
        </w:rPr>
        <w:t>Revision of</w:t>
      </w:r>
      <w:r w:rsidR="00362069">
        <w:t xml:space="preserve"> </w:t>
      </w:r>
      <w:r w:rsidR="00566BE4" w:rsidRPr="00193D7F">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2320C114" w14:textId="2165A26F" w:rsidR="00E23EC0" w:rsidRDefault="002F5059" w:rsidP="00696E3A">
      <w:r w:rsidRPr="002F5059">
        <w:t xml:space="preserve">Ensure appropriate utilization and control of </w:t>
      </w:r>
      <w:proofErr w:type="spellStart"/>
      <w:r w:rsidRPr="002F5059">
        <w:t>Tzield</w:t>
      </w:r>
      <w:proofErr w:type="spellEnd"/>
      <w:r w:rsidRPr="002F5059">
        <w:rPr>
          <w:vertAlign w:val="superscript"/>
        </w:rPr>
        <w:t>®</w:t>
      </w:r>
      <w:r w:rsidRPr="002F5059">
        <w:t xml:space="preserve"> (teplizumab-</w:t>
      </w:r>
      <w:proofErr w:type="spellStart"/>
      <w:r w:rsidRPr="002F5059">
        <w:t>mzwv</w:t>
      </w:r>
      <w:proofErr w:type="spellEnd"/>
      <w:r w:rsidRPr="002F5059">
        <w:t>)</w:t>
      </w:r>
      <w:r w:rsidR="00E23EC0" w:rsidRPr="00C02553">
        <w:tab/>
      </w:r>
    </w:p>
    <w:p w14:paraId="21BDA7BB" w14:textId="77777777" w:rsidR="00D65510" w:rsidRPr="002C2C41" w:rsidRDefault="00D65510" w:rsidP="00696E3A">
      <w:pPr>
        <w:rPr>
          <w:rFonts w:cs="Arial"/>
          <w:szCs w:val="20"/>
        </w:rPr>
      </w:pPr>
    </w:p>
    <w:p w14:paraId="3A9BE506" w14:textId="11761DC1" w:rsidR="00E23EC0" w:rsidRPr="00696E3A" w:rsidRDefault="00E23EC0" w:rsidP="00696E3A">
      <w:pPr>
        <w:rPr>
          <w:b/>
          <w:bCs/>
        </w:rPr>
      </w:pPr>
      <w:r w:rsidRPr="00696E3A">
        <w:rPr>
          <w:b/>
          <w:bCs/>
        </w:rPr>
        <w:t>Why Issue Selected:</w:t>
      </w:r>
    </w:p>
    <w:p w14:paraId="18898CF9" w14:textId="77777777" w:rsidR="0001446E" w:rsidRDefault="0001446E" w:rsidP="0001446E">
      <w:r>
        <w:t xml:space="preserve">On November 17, 2022, the U.S. Food and Drug Administration (FDA) approved </w:t>
      </w:r>
      <w:proofErr w:type="spellStart"/>
      <w:r>
        <w:t>Tzield</w:t>
      </w:r>
      <w:proofErr w:type="spellEnd"/>
      <w:r>
        <w:t>® (teplizumab-</w:t>
      </w:r>
      <w:proofErr w:type="spellStart"/>
      <w:r>
        <w:t>mzwv</w:t>
      </w:r>
      <w:proofErr w:type="spellEnd"/>
      <w:r>
        <w:t xml:space="preserve">) the first CD3-directed antibody indicated to delay the onset of Stage 3 type 1 diabetes (T1D). Approximately 1 million to 1.5 million Americans have T1D, which is one of the most common diseases of childhood, with an annual incidence of 22.3 per 100,000 amongst children and adolescents (overall incidence is 15 per 100,000 people). Approximately 45 percent of children </w:t>
      </w:r>
      <w:proofErr w:type="gramStart"/>
      <w:r>
        <w:t>present</w:t>
      </w:r>
      <w:proofErr w:type="gramEnd"/>
      <w:r>
        <w:t xml:space="preserve"> with childhood-onset T1D before 10 years of age.</w:t>
      </w:r>
    </w:p>
    <w:p w14:paraId="6FF1E819" w14:textId="77777777" w:rsidR="0001446E" w:rsidRDefault="0001446E" w:rsidP="0001446E"/>
    <w:p w14:paraId="2E61F767" w14:textId="77777777" w:rsidR="0001446E" w:rsidRDefault="0001446E" w:rsidP="0001446E">
      <w:r>
        <w:t xml:space="preserve">In genetically susceptible persons, T1D progresses through asymptomatic stages before the development of overt hyperglycemia. In stage 1, patients have normal blood glucose levels but possess beta cell autoimmunity (≥ 2 islet autoantibodies). In stage 2, metabolic responses to a glucose load are impaired and patients start to show </w:t>
      </w:r>
      <w:proofErr w:type="spellStart"/>
      <w:r>
        <w:t>dysglycemia</w:t>
      </w:r>
      <w:proofErr w:type="spellEnd"/>
      <w:r>
        <w:t>. Patients remain asymptomatic in stage 2, which may lead to delay in diagnosis until stage 3 when signs and symptoms including polyuria, polydipsia, weight loss, and lethargy are recognized.</w:t>
      </w:r>
    </w:p>
    <w:p w14:paraId="7F5CE8AE" w14:textId="77777777" w:rsidR="0001446E" w:rsidRDefault="0001446E" w:rsidP="0001446E"/>
    <w:p w14:paraId="5B0A5603" w14:textId="485CC7CC" w:rsidR="0001446E" w:rsidRDefault="0001446E" w:rsidP="0001446E">
      <w:proofErr w:type="spellStart"/>
      <w:r>
        <w:t>Tzield</w:t>
      </w:r>
      <w:proofErr w:type="spellEnd"/>
      <w:r>
        <w:t xml:space="preserve"> binds to CD3 (a cell surface antigen present on T lymphocytes). The mechanism may involve partial agonistic signaling and deactivation of pancreatic beta cell autoreactive T lymphocytes. </w:t>
      </w:r>
      <w:proofErr w:type="spellStart"/>
      <w:r>
        <w:t>Tzield</w:t>
      </w:r>
      <w:proofErr w:type="spellEnd"/>
      <w:r>
        <w:t xml:space="preserve"> leads to an increase in the proportion of regulatory T cells and of exhausted CD8+ T cells in peripheral blood.</w:t>
      </w:r>
    </w:p>
    <w:p w14:paraId="369292B9" w14:textId="77777777" w:rsidR="0001446E" w:rsidRDefault="0001446E" w:rsidP="0001446E"/>
    <w:p w14:paraId="7ACECC9F" w14:textId="301390AF" w:rsidR="00B56DCC" w:rsidRDefault="0001446E" w:rsidP="0001446E">
      <w:r>
        <w:t xml:space="preserve">Due to the high cost, possible adverse events, and specific approved indications, MO HealthNet will impose clinical criteria to ensure appropriate utilization of </w:t>
      </w:r>
      <w:proofErr w:type="spellStart"/>
      <w:r>
        <w:t>Tzield</w:t>
      </w:r>
      <w:proofErr w:type="spellEnd"/>
      <w:r>
        <w:t>.</w:t>
      </w:r>
    </w:p>
    <w:p w14:paraId="6F891A3F" w14:textId="77777777" w:rsidR="0001446E" w:rsidRDefault="0001446E" w:rsidP="0001446E"/>
    <w:p w14:paraId="5B5260CF" w14:textId="0040D021" w:rsidR="003D4704" w:rsidRPr="00AD17B7" w:rsidRDefault="003D4704" w:rsidP="003D4704">
      <w:r>
        <w:rPr>
          <w:b/>
          <w:bCs/>
        </w:rPr>
        <w:t xml:space="preserve">Program-Specific Information: </w:t>
      </w:r>
      <w:r>
        <w:t>Dat</w:t>
      </w:r>
      <w:r w:rsidR="00ED760F">
        <w:t>e</w:t>
      </w:r>
      <w:r>
        <w:t xml:space="preserve"> Ranges FFS </w:t>
      </w:r>
      <w:r w:rsidR="00CA4AD4">
        <w:t>4</w:t>
      </w:r>
      <w:r>
        <w:t xml:space="preserve">-1-2024 to </w:t>
      </w:r>
      <w:r w:rsidR="00CA4AD4">
        <w:t>3</w:t>
      </w:r>
      <w:r>
        <w:t>-3</w:t>
      </w:r>
      <w:r w:rsidR="00CA4AD4">
        <w:t>1</w:t>
      </w:r>
      <w:r>
        <w:t>-2025</w:t>
      </w:r>
    </w:p>
    <w:tbl>
      <w:tblPr>
        <w:tblW w:w="783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350"/>
        <w:gridCol w:w="1530"/>
        <w:gridCol w:w="1975"/>
      </w:tblGrid>
      <w:tr w:rsidR="007C1FDE" w:rsidRPr="0044563D" w14:paraId="16F5DBA3" w14:textId="77777777" w:rsidTr="009164D6">
        <w:trPr>
          <w:trHeight w:val="233"/>
        </w:trPr>
        <w:tc>
          <w:tcPr>
            <w:tcW w:w="2975" w:type="dxa"/>
            <w:shd w:val="clear" w:color="auto" w:fill="FABF8F" w:themeFill="accent6" w:themeFillTint="99"/>
            <w:vAlign w:val="center"/>
          </w:tcPr>
          <w:p w14:paraId="49337FCA" w14:textId="77777777" w:rsidR="007C1FDE" w:rsidRPr="0044563D" w:rsidRDefault="007C1FDE" w:rsidP="007505D2">
            <w:pPr>
              <w:jc w:val="center"/>
              <w:rPr>
                <w:rFonts w:cs="Arial"/>
                <w:b/>
                <w:bCs/>
                <w:spacing w:val="-3"/>
                <w:szCs w:val="20"/>
              </w:rPr>
            </w:pPr>
            <w:r w:rsidRPr="0044563D">
              <w:rPr>
                <w:rFonts w:cs="Arial"/>
                <w:b/>
                <w:spacing w:val="-3"/>
                <w:szCs w:val="20"/>
              </w:rPr>
              <w:t>Drug</w:t>
            </w:r>
          </w:p>
        </w:tc>
        <w:tc>
          <w:tcPr>
            <w:tcW w:w="1350" w:type="dxa"/>
            <w:shd w:val="clear" w:color="auto" w:fill="FABF8F" w:themeFill="accent6" w:themeFillTint="99"/>
            <w:vAlign w:val="center"/>
          </w:tcPr>
          <w:p w14:paraId="57BA3542" w14:textId="77777777" w:rsidR="007C1FDE" w:rsidRPr="0044563D" w:rsidRDefault="007C1FDE" w:rsidP="007505D2">
            <w:pPr>
              <w:jc w:val="center"/>
              <w:rPr>
                <w:rFonts w:cs="Arial"/>
                <w:b/>
                <w:bCs/>
                <w:spacing w:val="-3"/>
                <w:szCs w:val="20"/>
              </w:rPr>
            </w:pPr>
            <w:r w:rsidRPr="0044563D">
              <w:rPr>
                <w:rFonts w:cs="Arial"/>
                <w:b/>
                <w:spacing w:val="-3"/>
                <w:szCs w:val="20"/>
              </w:rPr>
              <w:t>Claims</w:t>
            </w:r>
          </w:p>
        </w:tc>
        <w:tc>
          <w:tcPr>
            <w:tcW w:w="1530" w:type="dxa"/>
            <w:shd w:val="clear" w:color="auto" w:fill="FABF8F" w:themeFill="accent6" w:themeFillTint="99"/>
            <w:vAlign w:val="center"/>
          </w:tcPr>
          <w:p w14:paraId="1D9A0CC1" w14:textId="77777777" w:rsidR="007C1FDE" w:rsidRPr="0044563D" w:rsidRDefault="007C1FDE" w:rsidP="007505D2">
            <w:pPr>
              <w:jc w:val="center"/>
              <w:rPr>
                <w:rFonts w:cs="Arial"/>
                <w:b/>
                <w:bCs/>
                <w:spacing w:val="-3"/>
                <w:szCs w:val="20"/>
              </w:rPr>
            </w:pPr>
            <w:r>
              <w:rPr>
                <w:rFonts w:cs="Arial"/>
                <w:b/>
                <w:bCs/>
                <w:spacing w:val="-3"/>
                <w:szCs w:val="20"/>
              </w:rPr>
              <w:t>Cost per vial</w:t>
            </w:r>
          </w:p>
        </w:tc>
        <w:tc>
          <w:tcPr>
            <w:tcW w:w="1975" w:type="dxa"/>
            <w:shd w:val="clear" w:color="auto" w:fill="FABF8F" w:themeFill="accent6" w:themeFillTint="99"/>
            <w:vAlign w:val="center"/>
          </w:tcPr>
          <w:p w14:paraId="39E8118B" w14:textId="77777777" w:rsidR="007C1FDE" w:rsidRPr="0044563D" w:rsidRDefault="007C1FDE" w:rsidP="007505D2">
            <w:pPr>
              <w:jc w:val="center"/>
              <w:rPr>
                <w:rFonts w:cs="Arial"/>
                <w:b/>
                <w:bCs/>
                <w:spacing w:val="-3"/>
                <w:szCs w:val="20"/>
              </w:rPr>
            </w:pPr>
            <w:r>
              <w:rPr>
                <w:rFonts w:cs="Arial"/>
                <w:b/>
                <w:spacing w:val="-3"/>
                <w:szCs w:val="20"/>
              </w:rPr>
              <w:t>Cost per therapy</w:t>
            </w:r>
          </w:p>
        </w:tc>
      </w:tr>
      <w:tr w:rsidR="007C1FDE" w:rsidRPr="0044563D" w14:paraId="26618103" w14:textId="77777777" w:rsidTr="009164D6">
        <w:trPr>
          <w:trHeight w:val="232"/>
        </w:trPr>
        <w:tc>
          <w:tcPr>
            <w:tcW w:w="2975" w:type="dxa"/>
            <w:vAlign w:val="center"/>
          </w:tcPr>
          <w:p w14:paraId="70F7C365" w14:textId="77777777" w:rsidR="007C1FDE" w:rsidRPr="0044563D" w:rsidRDefault="007C1FDE" w:rsidP="007505D2">
            <w:pPr>
              <w:jc w:val="center"/>
              <w:rPr>
                <w:rFonts w:cs="Arial"/>
                <w:b/>
                <w:bCs/>
                <w:spacing w:val="-3"/>
                <w:szCs w:val="20"/>
              </w:rPr>
            </w:pPr>
            <w:r w:rsidRPr="0044563D">
              <w:rPr>
                <w:rFonts w:cs="Arial"/>
                <w:spacing w:val="-3"/>
                <w:szCs w:val="20"/>
              </w:rPr>
              <w:t>TZIELD 2MG/2ML VIAL</w:t>
            </w:r>
          </w:p>
        </w:tc>
        <w:tc>
          <w:tcPr>
            <w:tcW w:w="1350" w:type="dxa"/>
            <w:vAlign w:val="bottom"/>
          </w:tcPr>
          <w:p w14:paraId="6C0FE8F5" w14:textId="77777777" w:rsidR="007C1FDE" w:rsidRPr="0044563D" w:rsidRDefault="007C1FDE" w:rsidP="007505D2">
            <w:pPr>
              <w:jc w:val="center"/>
              <w:rPr>
                <w:rFonts w:cs="Arial"/>
                <w:b/>
                <w:bCs/>
                <w:spacing w:val="-3"/>
                <w:szCs w:val="20"/>
              </w:rPr>
            </w:pPr>
            <w:r>
              <w:rPr>
                <w:rFonts w:cs="Arial"/>
                <w:szCs w:val="20"/>
              </w:rPr>
              <w:t>0</w:t>
            </w:r>
          </w:p>
        </w:tc>
        <w:tc>
          <w:tcPr>
            <w:tcW w:w="1530" w:type="dxa"/>
            <w:vAlign w:val="bottom"/>
          </w:tcPr>
          <w:p w14:paraId="3968F52B" w14:textId="77777777" w:rsidR="007C1FDE" w:rsidRPr="0044563D" w:rsidRDefault="007C1FDE" w:rsidP="007505D2">
            <w:pPr>
              <w:jc w:val="center"/>
              <w:rPr>
                <w:rFonts w:cs="Arial"/>
                <w:b/>
                <w:bCs/>
                <w:spacing w:val="-3"/>
                <w:szCs w:val="20"/>
              </w:rPr>
            </w:pPr>
            <w:r w:rsidRPr="0044563D">
              <w:rPr>
                <w:rFonts w:cs="Arial"/>
                <w:szCs w:val="20"/>
              </w:rPr>
              <w:t>$196,797.90</w:t>
            </w:r>
          </w:p>
        </w:tc>
        <w:tc>
          <w:tcPr>
            <w:tcW w:w="1975" w:type="dxa"/>
            <w:vAlign w:val="bottom"/>
          </w:tcPr>
          <w:p w14:paraId="0A923755" w14:textId="77777777" w:rsidR="007C1FDE" w:rsidRPr="0044563D" w:rsidRDefault="007C1FDE" w:rsidP="007505D2">
            <w:pPr>
              <w:jc w:val="center"/>
              <w:rPr>
                <w:rFonts w:cs="Arial"/>
                <w:b/>
                <w:bCs/>
                <w:spacing w:val="-3"/>
                <w:szCs w:val="20"/>
              </w:rPr>
            </w:pPr>
            <w:r w:rsidRPr="0044563D">
              <w:rPr>
                <w:rFonts w:cs="Arial"/>
                <w:szCs w:val="20"/>
              </w:rPr>
              <w:t>$</w:t>
            </w:r>
            <w:r>
              <w:rPr>
                <w:rFonts w:cs="Arial"/>
                <w:szCs w:val="20"/>
              </w:rPr>
              <w:t>121,880.61*</w:t>
            </w:r>
          </w:p>
        </w:tc>
      </w:tr>
    </w:tbl>
    <w:p w14:paraId="71ACCA74" w14:textId="77777777" w:rsidR="009164D6" w:rsidRPr="004D1EB2" w:rsidRDefault="009164D6" w:rsidP="009164D6">
      <w:pPr>
        <w:rPr>
          <w:rFonts w:cs="Arial"/>
          <w:spacing w:val="-3"/>
          <w:sz w:val="16"/>
          <w:szCs w:val="16"/>
        </w:rPr>
      </w:pPr>
      <w:r>
        <w:rPr>
          <w:rFonts w:cs="Arial"/>
          <w:spacing w:val="-3"/>
          <w:sz w:val="16"/>
          <w:szCs w:val="16"/>
        </w:rPr>
        <w:t>*Based on patient BSA of 1.5 m</w:t>
      </w:r>
      <w:r>
        <w:rPr>
          <w:rFonts w:cs="Arial"/>
          <w:spacing w:val="-3"/>
          <w:sz w:val="16"/>
          <w:szCs w:val="16"/>
          <w:vertAlign w:val="superscript"/>
        </w:rPr>
        <w:t>2</w:t>
      </w:r>
      <w:r>
        <w:rPr>
          <w:rFonts w:cs="Arial"/>
          <w:spacing w:val="-3"/>
          <w:sz w:val="16"/>
          <w:szCs w:val="16"/>
        </w:rPr>
        <w:t>. For a 14-day standard treatment period.</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09A6197" w:rsidR="0097028A" w:rsidRPr="0079438F" w:rsidRDefault="0097028A" w:rsidP="00696E3A">
      <w:pPr>
        <w:rPr>
          <w:b/>
        </w:rPr>
      </w:pPr>
      <w:r w:rsidRPr="00696E3A">
        <w:rPr>
          <w:b/>
          <w:bCs/>
        </w:rPr>
        <w:t>Drug class for review:</w:t>
      </w:r>
      <w:r w:rsidRPr="00C02553">
        <w:t xml:space="preserve"> </w:t>
      </w:r>
      <w:proofErr w:type="spellStart"/>
      <w:r w:rsidR="00C97BA6" w:rsidRPr="00C97BA6">
        <w:t>Tzield</w:t>
      </w:r>
      <w:proofErr w:type="spellEnd"/>
      <w:r w:rsidR="00C97BA6" w:rsidRPr="00C97BA6">
        <w:t>® (teplizumab-</w:t>
      </w:r>
      <w:proofErr w:type="spellStart"/>
      <w:r w:rsidR="00C97BA6" w:rsidRPr="00C97BA6">
        <w:t>mzwv</w:t>
      </w:r>
      <w:proofErr w:type="spellEnd"/>
      <w:r w:rsidR="00C97BA6" w:rsidRPr="00C97BA6">
        <w:t>)</w:t>
      </w:r>
    </w:p>
    <w:p w14:paraId="26CFE8A0" w14:textId="0A7D0FE3" w:rsidR="008524BA" w:rsidRDefault="0097028A" w:rsidP="00696E3A">
      <w:pPr>
        <w:rPr>
          <w:rFonts w:cs="Arial"/>
          <w:b/>
        </w:rPr>
      </w:pPr>
      <w:r w:rsidRPr="00696E3A">
        <w:rPr>
          <w:b/>
          <w:bCs/>
        </w:rPr>
        <w:t>Age range:</w:t>
      </w:r>
      <w:r w:rsidRPr="00C02553">
        <w:t xml:space="preserve"> </w:t>
      </w:r>
      <w:r w:rsidR="009800C5" w:rsidRPr="009800C5">
        <w:rPr>
          <w:rFonts w:cs="Arial"/>
        </w:rPr>
        <w:t xml:space="preserve">All appropriate MO HealthNet participants aged </w:t>
      </w:r>
      <w:r w:rsidR="008C1895" w:rsidRPr="008C1895">
        <w:rPr>
          <w:rFonts w:cs="Arial"/>
        </w:rPr>
        <w:t>1</w:t>
      </w:r>
      <w:r w:rsidR="009800C5" w:rsidRPr="008C1895">
        <w:rPr>
          <w:rFonts w:cs="Arial"/>
        </w:rPr>
        <w:t xml:space="preserve"> </w:t>
      </w:r>
      <w:r w:rsidR="009800C5" w:rsidRPr="009800C5">
        <w:rPr>
          <w:rFonts w:cs="Arial"/>
        </w:rPr>
        <w:t>year or older</w:t>
      </w:r>
    </w:p>
    <w:p w14:paraId="6E90DA45" w14:textId="03722BFE" w:rsidR="005328B2" w:rsidRPr="002C2C41" w:rsidRDefault="00F87551" w:rsidP="005328B2">
      <w:pPr>
        <w:rPr>
          <w:rFonts w:cs="Arial"/>
          <w:szCs w:val="20"/>
        </w:rPr>
      </w:pPr>
      <w:r>
        <w:rPr>
          <w:rFonts w:cs="Arial"/>
          <w:szCs w:val="20"/>
        </w:rPr>
        <w:br w:type="page"/>
      </w: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59370646" w14:textId="77777777" w:rsidR="00372449" w:rsidRPr="00372449" w:rsidRDefault="00372449" w:rsidP="00372449">
      <w:pPr>
        <w:numPr>
          <w:ilvl w:val="0"/>
          <w:numId w:val="16"/>
        </w:numPr>
        <w:contextualSpacing/>
        <w:rPr>
          <w:rFonts w:cs="Arial"/>
          <w:bCs/>
          <w:szCs w:val="20"/>
        </w:rPr>
      </w:pPr>
      <w:r w:rsidRPr="00372449">
        <w:rPr>
          <w:rFonts w:cs="Arial"/>
          <w:bCs/>
          <w:szCs w:val="20"/>
        </w:rPr>
        <w:t xml:space="preserve">Must meet </w:t>
      </w:r>
      <w:proofErr w:type="gramStart"/>
      <w:r w:rsidRPr="00372449">
        <w:rPr>
          <w:rFonts w:cs="Arial"/>
          <w:bCs/>
          <w:szCs w:val="20"/>
        </w:rPr>
        <w:t>all of</w:t>
      </w:r>
      <w:proofErr w:type="gramEnd"/>
      <w:r w:rsidRPr="00372449">
        <w:rPr>
          <w:rFonts w:cs="Arial"/>
          <w:bCs/>
          <w:szCs w:val="20"/>
        </w:rPr>
        <w:t xml:space="preserve"> the following:</w:t>
      </w:r>
    </w:p>
    <w:p w14:paraId="2EF883B2" w14:textId="029BD9CD" w:rsidR="00372449" w:rsidRPr="00372449" w:rsidRDefault="00372449" w:rsidP="00372449">
      <w:pPr>
        <w:numPr>
          <w:ilvl w:val="1"/>
          <w:numId w:val="16"/>
        </w:numPr>
        <w:ind w:left="720"/>
        <w:contextualSpacing/>
        <w:rPr>
          <w:rFonts w:cs="Arial"/>
          <w:bCs/>
          <w:szCs w:val="20"/>
        </w:rPr>
      </w:pPr>
      <w:r w:rsidRPr="00372449">
        <w:rPr>
          <w:rFonts w:cs="Arial"/>
          <w:bCs/>
          <w:szCs w:val="20"/>
        </w:rPr>
        <w:t xml:space="preserve">Participant is aged </w:t>
      </w:r>
      <w:r w:rsidR="00E44B46" w:rsidRPr="00E44B46">
        <w:rPr>
          <w:rFonts w:cs="Arial"/>
          <w:b/>
          <w:color w:val="1F497D" w:themeColor="text2"/>
          <w:szCs w:val="20"/>
        </w:rPr>
        <w:t xml:space="preserve">1 </w:t>
      </w:r>
      <w:r w:rsidRPr="00372449">
        <w:rPr>
          <w:rFonts w:cs="Arial"/>
          <w:b/>
          <w:strike/>
          <w:color w:val="1F497D" w:themeColor="text2"/>
          <w:szCs w:val="20"/>
        </w:rPr>
        <w:t>8</w:t>
      </w:r>
      <w:r w:rsidRPr="00372449">
        <w:rPr>
          <w:rFonts w:cs="Arial"/>
          <w:bCs/>
          <w:szCs w:val="20"/>
        </w:rPr>
        <w:t xml:space="preserve"> </w:t>
      </w:r>
      <w:proofErr w:type="gramStart"/>
      <w:r w:rsidRPr="00372449">
        <w:rPr>
          <w:rFonts w:cs="Arial"/>
          <w:bCs/>
          <w:szCs w:val="20"/>
        </w:rPr>
        <w:t>yea</w:t>
      </w:r>
      <w:r w:rsidR="00F87551">
        <w:rPr>
          <w:rFonts w:cs="Arial"/>
          <w:bCs/>
          <w:szCs w:val="20"/>
        </w:rPr>
        <w:t>r</w:t>
      </w:r>
      <w:proofErr w:type="gramEnd"/>
      <w:r w:rsidR="00F87551">
        <w:rPr>
          <w:rFonts w:cs="Arial"/>
          <w:bCs/>
          <w:szCs w:val="20"/>
        </w:rPr>
        <w:t xml:space="preserve"> </w:t>
      </w:r>
      <w:r w:rsidRPr="00372449">
        <w:rPr>
          <w:rFonts w:cs="Arial"/>
          <w:bCs/>
          <w:szCs w:val="20"/>
        </w:rPr>
        <w:t xml:space="preserve">or </w:t>
      </w:r>
      <w:proofErr w:type="gramStart"/>
      <w:r w:rsidRPr="00372449">
        <w:rPr>
          <w:rFonts w:cs="Arial"/>
          <w:bCs/>
          <w:szCs w:val="20"/>
        </w:rPr>
        <w:t>older;</w:t>
      </w:r>
      <w:proofErr w:type="gramEnd"/>
    </w:p>
    <w:p w14:paraId="0EE11C75" w14:textId="77777777" w:rsidR="00372449" w:rsidRPr="00372449" w:rsidRDefault="00372449" w:rsidP="00372449">
      <w:pPr>
        <w:numPr>
          <w:ilvl w:val="1"/>
          <w:numId w:val="16"/>
        </w:numPr>
        <w:ind w:left="720"/>
        <w:contextualSpacing/>
        <w:rPr>
          <w:rFonts w:cs="Arial"/>
          <w:bCs/>
          <w:szCs w:val="20"/>
        </w:rPr>
      </w:pPr>
      <w:r w:rsidRPr="00372449">
        <w:rPr>
          <w:rFonts w:cs="Arial"/>
          <w:bCs/>
          <w:szCs w:val="20"/>
        </w:rPr>
        <w:t xml:space="preserve">Prescribed by or in consultation with an endocrinologist or an appropriate specialist for the treated </w:t>
      </w:r>
      <w:proofErr w:type="gramStart"/>
      <w:r w:rsidRPr="00372449">
        <w:rPr>
          <w:rFonts w:cs="Arial"/>
          <w:bCs/>
          <w:szCs w:val="20"/>
        </w:rPr>
        <w:t>disease;</w:t>
      </w:r>
      <w:proofErr w:type="gramEnd"/>
    </w:p>
    <w:p w14:paraId="381D232E" w14:textId="77777777" w:rsidR="00E44B46" w:rsidRDefault="00372449" w:rsidP="00372449">
      <w:pPr>
        <w:numPr>
          <w:ilvl w:val="1"/>
          <w:numId w:val="16"/>
        </w:numPr>
        <w:ind w:left="720"/>
        <w:contextualSpacing/>
        <w:rPr>
          <w:rFonts w:cs="Arial"/>
          <w:bCs/>
          <w:szCs w:val="20"/>
        </w:rPr>
      </w:pPr>
      <w:r w:rsidRPr="00372449">
        <w:rPr>
          <w:rFonts w:cs="Arial"/>
          <w:bCs/>
          <w:szCs w:val="20"/>
        </w:rPr>
        <w:t xml:space="preserve">Documentation of complete blood count (CBC) and liver enzyme tests within the past 30 </w:t>
      </w:r>
      <w:proofErr w:type="gramStart"/>
      <w:r w:rsidRPr="00372449">
        <w:rPr>
          <w:rFonts w:cs="Arial"/>
          <w:bCs/>
          <w:szCs w:val="20"/>
        </w:rPr>
        <w:t>days;</w:t>
      </w:r>
      <w:proofErr w:type="gramEnd"/>
      <w:r w:rsidRPr="00372449">
        <w:rPr>
          <w:rFonts w:cs="Arial"/>
          <w:bCs/>
          <w:szCs w:val="20"/>
        </w:rPr>
        <w:t xml:space="preserve"> </w:t>
      </w:r>
    </w:p>
    <w:p w14:paraId="6D0D7158" w14:textId="428502F7" w:rsidR="00372449" w:rsidRPr="00372449" w:rsidRDefault="00AD2396" w:rsidP="00372449">
      <w:pPr>
        <w:numPr>
          <w:ilvl w:val="1"/>
          <w:numId w:val="16"/>
        </w:numPr>
        <w:ind w:left="720"/>
        <w:contextualSpacing/>
        <w:rPr>
          <w:rFonts w:cs="Arial"/>
          <w:bCs/>
          <w:szCs w:val="20"/>
        </w:rPr>
      </w:pPr>
      <w:r w:rsidRPr="00AD2396">
        <w:rPr>
          <w:rFonts w:cs="Arial"/>
          <w:b/>
          <w:color w:val="1F497D" w:themeColor="text2"/>
          <w:szCs w:val="20"/>
        </w:rPr>
        <w:t>Documentation of undetectable CMV and EBV viral load (PCR testing) within the past 30 days;</w:t>
      </w:r>
      <w:r w:rsidRPr="00AD2396">
        <w:rPr>
          <w:rFonts w:cs="Arial"/>
          <w:bCs/>
          <w:color w:val="1F497D" w:themeColor="text2"/>
          <w:szCs w:val="20"/>
        </w:rPr>
        <w:t xml:space="preserve"> </w:t>
      </w:r>
      <w:r w:rsidR="00372449" w:rsidRPr="00372449">
        <w:rPr>
          <w:rFonts w:cs="Arial"/>
          <w:b/>
          <w:szCs w:val="20"/>
        </w:rPr>
        <w:t>AND</w:t>
      </w:r>
    </w:p>
    <w:p w14:paraId="37C229B1" w14:textId="77777777" w:rsidR="00372449" w:rsidRPr="00372449" w:rsidRDefault="00372449" w:rsidP="00372449">
      <w:pPr>
        <w:numPr>
          <w:ilvl w:val="1"/>
          <w:numId w:val="16"/>
        </w:numPr>
        <w:ind w:left="720"/>
        <w:contextualSpacing/>
        <w:rPr>
          <w:rFonts w:cs="Arial"/>
          <w:bCs/>
          <w:szCs w:val="20"/>
        </w:rPr>
      </w:pPr>
      <w:r w:rsidRPr="00372449">
        <w:rPr>
          <w:rFonts w:cs="Arial"/>
          <w:bCs/>
          <w:szCs w:val="20"/>
        </w:rPr>
        <w:t xml:space="preserve">Diagnosis of Stage 2 type 1 diabetes documented by </w:t>
      </w:r>
      <w:proofErr w:type="gramStart"/>
      <w:r w:rsidRPr="00372449">
        <w:rPr>
          <w:rFonts w:cs="Arial"/>
          <w:bCs/>
          <w:szCs w:val="20"/>
        </w:rPr>
        <w:t>all of</w:t>
      </w:r>
      <w:proofErr w:type="gramEnd"/>
      <w:r w:rsidRPr="00372449">
        <w:rPr>
          <w:rFonts w:cs="Arial"/>
          <w:bCs/>
          <w:szCs w:val="20"/>
        </w:rPr>
        <w:t xml:space="preserve"> the following:</w:t>
      </w:r>
    </w:p>
    <w:p w14:paraId="2EC6345B" w14:textId="77777777" w:rsidR="00372449" w:rsidRPr="00372449" w:rsidRDefault="00372449" w:rsidP="00372449">
      <w:pPr>
        <w:numPr>
          <w:ilvl w:val="2"/>
          <w:numId w:val="16"/>
        </w:numPr>
        <w:ind w:left="1080"/>
        <w:contextualSpacing/>
        <w:rPr>
          <w:rFonts w:cs="Arial"/>
          <w:bCs/>
          <w:szCs w:val="20"/>
        </w:rPr>
      </w:pPr>
      <w:r w:rsidRPr="00372449">
        <w:rPr>
          <w:rFonts w:cs="Arial"/>
          <w:bCs/>
          <w:szCs w:val="20"/>
        </w:rPr>
        <w:t xml:space="preserve">Development </w:t>
      </w:r>
      <w:proofErr w:type="gramStart"/>
      <w:r w:rsidRPr="00372449">
        <w:rPr>
          <w:rFonts w:cs="Arial"/>
          <w:bCs/>
          <w:szCs w:val="20"/>
        </w:rPr>
        <w:t>of</w:t>
      </w:r>
      <w:proofErr w:type="gramEnd"/>
      <w:r w:rsidRPr="00372449">
        <w:rPr>
          <w:rFonts w:cs="Arial"/>
          <w:bCs/>
          <w:szCs w:val="20"/>
        </w:rPr>
        <w:t xml:space="preserve"> least 2 of the following positive pancreatic islet cell autoantibodies within 6 months:</w:t>
      </w:r>
    </w:p>
    <w:p w14:paraId="04D364B9"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 xml:space="preserve">Glutamic acid decarboxylase 65 (GAD) </w:t>
      </w:r>
      <w:proofErr w:type="gramStart"/>
      <w:r w:rsidRPr="00372449">
        <w:rPr>
          <w:rFonts w:cs="Arial"/>
          <w:bCs/>
          <w:szCs w:val="20"/>
        </w:rPr>
        <w:t>autoantibodies;</w:t>
      </w:r>
      <w:proofErr w:type="gramEnd"/>
    </w:p>
    <w:p w14:paraId="3CCBC2A2"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Insulin autoantibody (IAA</w:t>
      </w:r>
      <w:proofErr w:type="gramStart"/>
      <w:r w:rsidRPr="00372449">
        <w:rPr>
          <w:rFonts w:cs="Arial"/>
          <w:bCs/>
          <w:szCs w:val="20"/>
        </w:rPr>
        <w:t>);</w:t>
      </w:r>
      <w:proofErr w:type="gramEnd"/>
    </w:p>
    <w:p w14:paraId="6FF687E2"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Insulinoma-associated antigen 2 autoantibody (IA-2A</w:t>
      </w:r>
      <w:proofErr w:type="gramStart"/>
      <w:r w:rsidRPr="00372449">
        <w:rPr>
          <w:rFonts w:cs="Arial"/>
          <w:bCs/>
          <w:szCs w:val="20"/>
        </w:rPr>
        <w:t>);</w:t>
      </w:r>
      <w:proofErr w:type="gramEnd"/>
    </w:p>
    <w:p w14:paraId="5FC7CA6F"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 xml:space="preserve">Zinc transporter 8 autoantibody (ZnT8A); </w:t>
      </w:r>
      <w:r w:rsidRPr="00372449">
        <w:rPr>
          <w:rFonts w:cs="Arial"/>
          <w:b/>
          <w:szCs w:val="20"/>
        </w:rPr>
        <w:t>OR</w:t>
      </w:r>
    </w:p>
    <w:p w14:paraId="0EADDC5E"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 xml:space="preserve">Islet cell autoantibody (ICA); </w:t>
      </w:r>
      <w:r w:rsidRPr="00372449">
        <w:rPr>
          <w:rFonts w:cs="Arial"/>
          <w:b/>
          <w:szCs w:val="20"/>
        </w:rPr>
        <w:t>AND</w:t>
      </w:r>
    </w:p>
    <w:p w14:paraId="3EEBC609" w14:textId="77777777" w:rsidR="00372449" w:rsidRPr="00372449" w:rsidRDefault="00372449" w:rsidP="00372449">
      <w:pPr>
        <w:numPr>
          <w:ilvl w:val="2"/>
          <w:numId w:val="16"/>
        </w:numPr>
        <w:ind w:left="1080"/>
        <w:contextualSpacing/>
        <w:rPr>
          <w:rFonts w:cs="Arial"/>
          <w:bCs/>
          <w:szCs w:val="20"/>
        </w:rPr>
      </w:pPr>
      <w:r w:rsidRPr="00372449">
        <w:rPr>
          <w:rFonts w:cs="Arial"/>
          <w:bCs/>
          <w:szCs w:val="20"/>
        </w:rPr>
        <w:t xml:space="preserve">Evidence of abnormal glucose tolerance as confirmed by one or more of the following (within 7 weeks of baseline visit): </w:t>
      </w:r>
    </w:p>
    <w:p w14:paraId="76191079"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FPG greater than 100mg/dL and less than 126 mg/</w:t>
      </w:r>
      <w:proofErr w:type="gramStart"/>
      <w:r w:rsidRPr="00372449">
        <w:rPr>
          <w:rFonts w:cs="Arial"/>
          <w:bCs/>
          <w:szCs w:val="20"/>
        </w:rPr>
        <w:t>dL;</w:t>
      </w:r>
      <w:proofErr w:type="gramEnd"/>
    </w:p>
    <w:p w14:paraId="3A99DD8E"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 xml:space="preserve">Hemoglobin A1c ≥ 5.7% and &lt; </w:t>
      </w:r>
      <w:proofErr w:type="gramStart"/>
      <w:r w:rsidRPr="00372449">
        <w:rPr>
          <w:rFonts w:cs="Arial"/>
          <w:bCs/>
          <w:szCs w:val="20"/>
        </w:rPr>
        <w:t>6.5%;</w:t>
      </w:r>
      <w:proofErr w:type="gramEnd"/>
    </w:p>
    <w:p w14:paraId="3BD56422" w14:textId="77777777" w:rsidR="00372449" w:rsidRPr="00372449" w:rsidRDefault="00372449" w:rsidP="00372449">
      <w:pPr>
        <w:numPr>
          <w:ilvl w:val="3"/>
          <w:numId w:val="16"/>
        </w:numPr>
        <w:ind w:left="1440"/>
        <w:contextualSpacing/>
        <w:rPr>
          <w:rFonts w:cs="Arial"/>
          <w:bCs/>
          <w:szCs w:val="20"/>
        </w:rPr>
      </w:pPr>
      <w:r w:rsidRPr="00372449">
        <w:rPr>
          <w:rFonts w:cs="Arial"/>
          <w:bCs/>
          <w:szCs w:val="20"/>
        </w:rPr>
        <w:t xml:space="preserve">Hemoglobin A1c </w:t>
      </w:r>
      <w:proofErr w:type="gramStart"/>
      <w:r w:rsidRPr="00372449">
        <w:rPr>
          <w:rFonts w:cs="Arial"/>
          <w:bCs/>
          <w:szCs w:val="20"/>
        </w:rPr>
        <w:t>increase ≥</w:t>
      </w:r>
      <w:proofErr w:type="gramEnd"/>
      <w:r w:rsidRPr="00372449">
        <w:rPr>
          <w:rFonts w:cs="Arial"/>
          <w:bCs/>
          <w:szCs w:val="20"/>
        </w:rPr>
        <w:t xml:space="preserve"> 10% from </w:t>
      </w:r>
      <w:proofErr w:type="gramStart"/>
      <w:r w:rsidRPr="00372449">
        <w:rPr>
          <w:rFonts w:cs="Arial"/>
          <w:bCs/>
          <w:szCs w:val="20"/>
        </w:rPr>
        <w:t>baseline;</w:t>
      </w:r>
      <w:proofErr w:type="gramEnd"/>
    </w:p>
    <w:p w14:paraId="046F3423" w14:textId="77777777" w:rsidR="00372449" w:rsidRPr="00372449" w:rsidRDefault="00372449" w:rsidP="00372449">
      <w:pPr>
        <w:numPr>
          <w:ilvl w:val="1"/>
          <w:numId w:val="17"/>
        </w:numPr>
        <w:ind w:left="1440"/>
        <w:contextualSpacing/>
        <w:rPr>
          <w:rFonts w:cs="Arial"/>
          <w:bCs/>
          <w:szCs w:val="20"/>
        </w:rPr>
      </w:pPr>
      <w:proofErr w:type="gramStart"/>
      <w:r w:rsidRPr="00372449">
        <w:rPr>
          <w:rFonts w:cs="Arial"/>
          <w:bCs/>
          <w:szCs w:val="20"/>
        </w:rPr>
        <w:t>2 hour</w:t>
      </w:r>
      <w:proofErr w:type="gramEnd"/>
      <w:r w:rsidRPr="00372449">
        <w:rPr>
          <w:rFonts w:cs="Arial"/>
          <w:bCs/>
          <w:szCs w:val="20"/>
        </w:rPr>
        <w:t xml:space="preserve"> glucose greater or equal to 140 mg/dL and less than 200 mg/dL; </w:t>
      </w:r>
      <w:r w:rsidRPr="00372449">
        <w:rPr>
          <w:rFonts w:cs="Arial"/>
          <w:b/>
          <w:szCs w:val="20"/>
        </w:rPr>
        <w:t>OR</w:t>
      </w:r>
    </w:p>
    <w:p w14:paraId="392FD6A4" w14:textId="77777777" w:rsidR="00372449" w:rsidRPr="00372449" w:rsidRDefault="00372449" w:rsidP="00372449">
      <w:pPr>
        <w:numPr>
          <w:ilvl w:val="1"/>
          <w:numId w:val="16"/>
        </w:numPr>
        <w:ind w:left="1440"/>
        <w:contextualSpacing/>
        <w:rPr>
          <w:rFonts w:cs="Arial"/>
          <w:bCs/>
          <w:szCs w:val="20"/>
        </w:rPr>
      </w:pPr>
      <w:proofErr w:type="gramStart"/>
      <w:r w:rsidRPr="00372449">
        <w:rPr>
          <w:rFonts w:cs="Arial"/>
          <w:bCs/>
          <w:szCs w:val="20"/>
        </w:rPr>
        <w:t>30, 60, or 90 minute</w:t>
      </w:r>
      <w:proofErr w:type="gramEnd"/>
      <w:r w:rsidRPr="00372449">
        <w:rPr>
          <w:rFonts w:cs="Arial"/>
          <w:bCs/>
          <w:szCs w:val="20"/>
        </w:rPr>
        <w:t xml:space="preserve"> value on OGTT greater than or equal to 200 mg/dL</w:t>
      </w:r>
    </w:p>
    <w:p w14:paraId="7B4A26B2" w14:textId="77777777" w:rsidR="00372449" w:rsidRPr="00372449" w:rsidRDefault="00372449" w:rsidP="00372449">
      <w:pPr>
        <w:numPr>
          <w:ilvl w:val="0"/>
          <w:numId w:val="16"/>
        </w:numPr>
        <w:contextualSpacing/>
        <w:rPr>
          <w:rFonts w:cs="Arial"/>
          <w:bCs/>
          <w:szCs w:val="20"/>
        </w:rPr>
      </w:pPr>
      <w:r w:rsidRPr="00372449">
        <w:rPr>
          <w:rFonts w:cs="Arial"/>
          <w:bCs/>
          <w:szCs w:val="20"/>
        </w:rPr>
        <w:t>Approval is for a one-time course of therapy (14 days).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B9A5BE9" w14:textId="77777777" w:rsidR="00002A0E" w:rsidRPr="00002A0E" w:rsidRDefault="00002A0E" w:rsidP="00002A0E">
      <w:pPr>
        <w:numPr>
          <w:ilvl w:val="0"/>
          <w:numId w:val="18"/>
        </w:numPr>
        <w:contextualSpacing/>
        <w:rPr>
          <w:rFonts w:cs="Arial"/>
          <w:noProof/>
          <w:szCs w:val="20"/>
        </w:rPr>
      </w:pPr>
      <w:r w:rsidRPr="00002A0E">
        <w:rPr>
          <w:rFonts w:cs="Arial"/>
          <w:noProof/>
          <w:szCs w:val="20"/>
        </w:rPr>
        <w:t>Therapy will deny with presence of any of the following:</w:t>
      </w:r>
    </w:p>
    <w:p w14:paraId="4BC4D2A9" w14:textId="77777777" w:rsidR="00002A0E" w:rsidRPr="00002A0E" w:rsidRDefault="00002A0E" w:rsidP="00002A0E">
      <w:pPr>
        <w:numPr>
          <w:ilvl w:val="1"/>
          <w:numId w:val="18"/>
        </w:numPr>
        <w:contextualSpacing/>
        <w:rPr>
          <w:rFonts w:cs="Arial"/>
          <w:noProof/>
          <w:szCs w:val="20"/>
        </w:rPr>
      </w:pPr>
      <w:r w:rsidRPr="00002A0E">
        <w:rPr>
          <w:rFonts w:cs="Arial"/>
          <w:noProof/>
          <w:szCs w:val="20"/>
        </w:rPr>
        <w:t>Any approval criteria are not met;</w:t>
      </w:r>
    </w:p>
    <w:p w14:paraId="58D26F24" w14:textId="77777777" w:rsidR="00002A0E" w:rsidRPr="00002A0E" w:rsidRDefault="00002A0E" w:rsidP="00002A0E">
      <w:pPr>
        <w:numPr>
          <w:ilvl w:val="1"/>
          <w:numId w:val="18"/>
        </w:numPr>
        <w:contextualSpacing/>
        <w:rPr>
          <w:rFonts w:cs="Arial"/>
          <w:noProof/>
          <w:szCs w:val="20"/>
        </w:rPr>
      </w:pPr>
      <w:r w:rsidRPr="00002A0E">
        <w:rPr>
          <w:rFonts w:cs="Arial"/>
          <w:noProof/>
          <w:szCs w:val="20"/>
        </w:rPr>
        <w:t>Participant is in Stage 1 of type 1 diabetes (autoantibodies present but normoglycemic and presymptomatic);</w:t>
      </w:r>
    </w:p>
    <w:p w14:paraId="1BFE9870" w14:textId="77777777" w:rsidR="00002A0E" w:rsidRPr="00002A0E" w:rsidRDefault="00002A0E" w:rsidP="00002A0E">
      <w:pPr>
        <w:numPr>
          <w:ilvl w:val="1"/>
          <w:numId w:val="18"/>
        </w:numPr>
        <w:contextualSpacing/>
        <w:rPr>
          <w:rFonts w:cs="Arial"/>
          <w:noProof/>
          <w:szCs w:val="20"/>
        </w:rPr>
      </w:pPr>
      <w:r w:rsidRPr="00002A0E">
        <w:rPr>
          <w:rFonts w:cs="Arial"/>
          <w:noProof/>
          <w:szCs w:val="20"/>
        </w:rPr>
        <w:t>Participant is in Stage 3 of type 1 diabetes (overt hperglycemia, symptomatic, receiving anti-diabetic therapy);</w:t>
      </w:r>
    </w:p>
    <w:p w14:paraId="112ACACB" w14:textId="77777777" w:rsidR="00002A0E" w:rsidRPr="00002A0E" w:rsidRDefault="00002A0E" w:rsidP="00002A0E">
      <w:pPr>
        <w:numPr>
          <w:ilvl w:val="1"/>
          <w:numId w:val="18"/>
        </w:numPr>
        <w:contextualSpacing/>
        <w:rPr>
          <w:rFonts w:cs="Arial"/>
          <w:noProof/>
          <w:szCs w:val="20"/>
        </w:rPr>
      </w:pPr>
      <w:r w:rsidRPr="00002A0E">
        <w:rPr>
          <w:rFonts w:cs="Arial"/>
          <w:noProof/>
          <w:szCs w:val="20"/>
        </w:rPr>
        <w:t>Documented history of type 2 diabetes;</w:t>
      </w:r>
    </w:p>
    <w:p w14:paraId="31B299E0" w14:textId="77777777" w:rsidR="00002A0E" w:rsidRPr="00002A0E" w:rsidRDefault="00002A0E" w:rsidP="00002A0E">
      <w:pPr>
        <w:numPr>
          <w:ilvl w:val="1"/>
          <w:numId w:val="18"/>
        </w:numPr>
        <w:contextualSpacing/>
        <w:rPr>
          <w:rFonts w:cs="Arial"/>
          <w:noProof/>
          <w:szCs w:val="20"/>
        </w:rPr>
      </w:pPr>
      <w:r w:rsidRPr="00002A0E">
        <w:rPr>
          <w:rFonts w:cs="Arial"/>
          <w:noProof/>
          <w:szCs w:val="20"/>
        </w:rPr>
        <w:t>Participant is currently pregnant;</w:t>
      </w:r>
    </w:p>
    <w:p w14:paraId="2BC5EED5" w14:textId="77777777" w:rsidR="00002A0E" w:rsidRPr="00002A0E" w:rsidRDefault="00002A0E" w:rsidP="00002A0E">
      <w:pPr>
        <w:numPr>
          <w:ilvl w:val="1"/>
          <w:numId w:val="18"/>
        </w:numPr>
        <w:contextualSpacing/>
        <w:rPr>
          <w:rFonts w:cs="Arial"/>
          <w:noProof/>
          <w:szCs w:val="20"/>
        </w:rPr>
      </w:pPr>
      <w:r w:rsidRPr="00002A0E">
        <w:rPr>
          <w:rFonts w:cs="Arial"/>
          <w:noProof/>
          <w:szCs w:val="20"/>
        </w:rPr>
        <w:t xml:space="preserve">Documented previous treatment with teplizumab; </w:t>
      </w:r>
      <w:r w:rsidRPr="00002A0E">
        <w:rPr>
          <w:rFonts w:cs="Arial"/>
          <w:b/>
          <w:bCs/>
          <w:noProof/>
          <w:szCs w:val="20"/>
        </w:rPr>
        <w:t>OR</w:t>
      </w:r>
    </w:p>
    <w:p w14:paraId="63682DA7" w14:textId="77777777" w:rsidR="00002A0E" w:rsidRPr="00002A0E" w:rsidRDefault="00002A0E" w:rsidP="00002A0E">
      <w:pPr>
        <w:numPr>
          <w:ilvl w:val="1"/>
          <w:numId w:val="18"/>
        </w:numPr>
        <w:contextualSpacing/>
        <w:rPr>
          <w:rFonts w:cs="Arial"/>
          <w:noProof/>
          <w:szCs w:val="20"/>
        </w:rPr>
      </w:pPr>
      <w:r w:rsidRPr="00002A0E">
        <w:rPr>
          <w:rFonts w:cs="Arial"/>
          <w:noProof/>
          <w:szCs w:val="20"/>
        </w:rPr>
        <w:t>Documented previous treatment with insulin.</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2B07485B" w14:textId="77777777" w:rsidR="00006269" w:rsidRPr="00006269" w:rsidRDefault="00343D6B" w:rsidP="00006269">
      <w:pPr>
        <w:rPr>
          <w:rFonts w:cs="Arial"/>
          <w:szCs w:val="20"/>
        </w:rPr>
      </w:pPr>
      <w:r w:rsidRPr="00696E3A">
        <w:rPr>
          <w:b/>
          <w:bCs/>
        </w:rPr>
        <w:t>Default Approval Period:</w:t>
      </w:r>
      <w:r w:rsidR="00973BD6">
        <w:t xml:space="preserve"> </w:t>
      </w:r>
      <w:r w:rsidR="00006269" w:rsidRPr="00006269">
        <w:rPr>
          <w:rFonts w:cs="Arial"/>
          <w:szCs w:val="20"/>
        </w:rPr>
        <w:t>3 months</w:t>
      </w:r>
    </w:p>
    <w:p w14:paraId="5D43D3D3" w14:textId="516F9C94" w:rsidR="00343D6B" w:rsidRPr="00C02553" w:rsidRDefault="00343D6B" w:rsidP="00696E3A"/>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8565270" w14:textId="7E71B39B" w:rsidR="009F0D0F" w:rsidRPr="00F75BE4" w:rsidRDefault="009F0D0F" w:rsidP="009F0D0F">
      <w:pPr>
        <w:pStyle w:val="Header"/>
        <w:numPr>
          <w:ilvl w:val="0"/>
          <w:numId w:val="19"/>
        </w:numPr>
        <w:tabs>
          <w:tab w:val="clear" w:pos="4320"/>
          <w:tab w:val="clear" w:pos="8640"/>
        </w:tabs>
        <w:rPr>
          <w:rFonts w:cs="Arial"/>
          <w:sz w:val="18"/>
          <w:szCs w:val="18"/>
        </w:rPr>
      </w:pPr>
      <w:proofErr w:type="spellStart"/>
      <w:r w:rsidRPr="00F75BE4">
        <w:rPr>
          <w:rFonts w:cs="Arial"/>
          <w:sz w:val="18"/>
          <w:szCs w:val="18"/>
          <w:shd w:val="clear" w:color="auto" w:fill="FFFFFF"/>
        </w:rPr>
        <w:t>Tzield</w:t>
      </w:r>
      <w:proofErr w:type="spellEnd"/>
      <w:r w:rsidRPr="00F75BE4">
        <w:rPr>
          <w:rFonts w:cs="Arial"/>
          <w:sz w:val="18"/>
          <w:szCs w:val="18"/>
          <w:shd w:val="clear" w:color="auto" w:fill="FFFFFF"/>
        </w:rPr>
        <w:t xml:space="preserve"> (teplizumab-</w:t>
      </w:r>
      <w:proofErr w:type="spellStart"/>
      <w:r w:rsidRPr="00F75BE4">
        <w:rPr>
          <w:rFonts w:cs="Arial"/>
          <w:sz w:val="18"/>
          <w:szCs w:val="18"/>
          <w:shd w:val="clear" w:color="auto" w:fill="FFFFFF"/>
        </w:rPr>
        <w:t>mzwv</w:t>
      </w:r>
      <w:proofErr w:type="spellEnd"/>
      <w:r w:rsidRPr="00F75BE4">
        <w:rPr>
          <w:rFonts w:cs="Arial"/>
          <w:sz w:val="18"/>
          <w:szCs w:val="18"/>
          <w:shd w:val="clear" w:color="auto" w:fill="FFFFFF"/>
        </w:rPr>
        <w:t xml:space="preserve">) [package insert]. Red Bank, NJ: </w:t>
      </w:r>
      <w:proofErr w:type="spellStart"/>
      <w:r w:rsidRPr="00F75BE4">
        <w:rPr>
          <w:rFonts w:cs="Arial"/>
          <w:sz w:val="18"/>
          <w:szCs w:val="18"/>
          <w:shd w:val="clear" w:color="auto" w:fill="FFFFFF"/>
        </w:rPr>
        <w:t>Provention</w:t>
      </w:r>
      <w:proofErr w:type="spellEnd"/>
      <w:r w:rsidRPr="00F75BE4">
        <w:rPr>
          <w:rFonts w:cs="Arial"/>
          <w:sz w:val="18"/>
          <w:szCs w:val="18"/>
          <w:shd w:val="clear" w:color="auto" w:fill="FFFFFF"/>
        </w:rPr>
        <w:t xml:space="preserve"> Bio, Inc; </w:t>
      </w:r>
      <w:r w:rsidR="00032339">
        <w:rPr>
          <w:rFonts w:cs="Arial"/>
          <w:sz w:val="18"/>
          <w:szCs w:val="18"/>
          <w:shd w:val="clear" w:color="auto" w:fill="FFFFFF"/>
        </w:rPr>
        <w:t xml:space="preserve">April </w:t>
      </w:r>
      <w:r>
        <w:rPr>
          <w:rFonts w:cs="Arial"/>
          <w:sz w:val="18"/>
          <w:szCs w:val="18"/>
          <w:shd w:val="clear" w:color="auto" w:fill="FFFFFF"/>
        </w:rPr>
        <w:t>202</w:t>
      </w:r>
      <w:r w:rsidR="00032339">
        <w:rPr>
          <w:rFonts w:cs="Arial"/>
          <w:sz w:val="18"/>
          <w:szCs w:val="18"/>
          <w:shd w:val="clear" w:color="auto" w:fill="FFFFFF"/>
        </w:rPr>
        <w:t>6</w:t>
      </w:r>
      <w:r>
        <w:rPr>
          <w:rFonts w:cs="Arial"/>
          <w:sz w:val="18"/>
          <w:szCs w:val="18"/>
          <w:shd w:val="clear" w:color="auto" w:fill="FFFFFF"/>
        </w:rPr>
        <w:t>.</w:t>
      </w:r>
    </w:p>
    <w:p w14:paraId="52A5822E" w14:textId="77777777" w:rsidR="009F0D0F" w:rsidRDefault="009F0D0F" w:rsidP="009F0D0F">
      <w:pPr>
        <w:pStyle w:val="Header"/>
        <w:numPr>
          <w:ilvl w:val="0"/>
          <w:numId w:val="19"/>
        </w:numPr>
        <w:tabs>
          <w:tab w:val="clear" w:pos="4320"/>
          <w:tab w:val="clear" w:pos="8640"/>
        </w:tabs>
        <w:rPr>
          <w:rFonts w:cs="Arial"/>
          <w:sz w:val="18"/>
          <w:szCs w:val="18"/>
        </w:rPr>
      </w:pPr>
      <w:r w:rsidRPr="00F75BE4">
        <w:rPr>
          <w:rFonts w:cs="Arial"/>
          <w:sz w:val="18"/>
          <w:szCs w:val="18"/>
        </w:rPr>
        <w:t xml:space="preserve">Divers J, Mayer-Davis EJ, et.al. Trends in Incidence of Type 1 and Type 2 Diabetes Among Youths - Selected Counties and Indian Reservations, United States, 2002-2015. MMWR </w:t>
      </w:r>
      <w:proofErr w:type="spellStart"/>
      <w:r w:rsidRPr="00F75BE4">
        <w:rPr>
          <w:rFonts w:cs="Arial"/>
          <w:sz w:val="18"/>
          <w:szCs w:val="18"/>
        </w:rPr>
        <w:t>Morb</w:t>
      </w:r>
      <w:proofErr w:type="spellEnd"/>
      <w:r w:rsidRPr="00F75BE4">
        <w:rPr>
          <w:rFonts w:cs="Arial"/>
          <w:sz w:val="18"/>
          <w:szCs w:val="18"/>
        </w:rPr>
        <w:t xml:space="preserve"> Mortal </w:t>
      </w:r>
      <w:proofErr w:type="spellStart"/>
      <w:r w:rsidRPr="00F75BE4">
        <w:rPr>
          <w:rFonts w:cs="Arial"/>
          <w:sz w:val="18"/>
          <w:szCs w:val="18"/>
        </w:rPr>
        <w:t>Wkly</w:t>
      </w:r>
      <w:proofErr w:type="spellEnd"/>
      <w:r w:rsidRPr="00F75BE4">
        <w:rPr>
          <w:rFonts w:cs="Arial"/>
          <w:sz w:val="18"/>
          <w:szCs w:val="18"/>
        </w:rPr>
        <w:t xml:space="preserve"> Rep. 2020 Feb 14;69(6):161-165. </w:t>
      </w:r>
      <w:proofErr w:type="spellStart"/>
      <w:r w:rsidRPr="00F75BE4">
        <w:rPr>
          <w:rFonts w:cs="Arial"/>
          <w:sz w:val="18"/>
          <w:szCs w:val="18"/>
        </w:rPr>
        <w:t>doi</w:t>
      </w:r>
      <w:proofErr w:type="spellEnd"/>
      <w:r w:rsidRPr="00F75BE4">
        <w:rPr>
          <w:rFonts w:cs="Arial"/>
          <w:sz w:val="18"/>
          <w:szCs w:val="18"/>
        </w:rPr>
        <w:t>: 10.15585/mmwr.mm6906a3. PMID: 32053581; PMCID: PMC7017961.</w:t>
      </w:r>
    </w:p>
    <w:p w14:paraId="32800357" w14:textId="77777777" w:rsidR="009F0D0F" w:rsidRDefault="009F0D0F" w:rsidP="009F0D0F">
      <w:pPr>
        <w:pStyle w:val="Header"/>
        <w:numPr>
          <w:ilvl w:val="0"/>
          <w:numId w:val="19"/>
        </w:numPr>
        <w:tabs>
          <w:tab w:val="clear" w:pos="4320"/>
          <w:tab w:val="clear" w:pos="8640"/>
        </w:tabs>
        <w:rPr>
          <w:rFonts w:cs="Arial"/>
          <w:sz w:val="18"/>
          <w:szCs w:val="18"/>
        </w:rPr>
      </w:pPr>
      <w:r w:rsidRPr="00C47857">
        <w:rPr>
          <w:rFonts w:cs="Arial"/>
          <w:sz w:val="18"/>
          <w:szCs w:val="18"/>
        </w:rPr>
        <w:lastRenderedPageBreak/>
        <w:t xml:space="preserve">Sims EK, Bundy BN, et.al. Teplizumab improves and stabilizes beta cell function in antibody-positive high-risk individuals. Sci </w:t>
      </w:r>
      <w:proofErr w:type="spellStart"/>
      <w:r w:rsidRPr="00C47857">
        <w:rPr>
          <w:rFonts w:cs="Arial"/>
          <w:sz w:val="18"/>
          <w:szCs w:val="18"/>
        </w:rPr>
        <w:t>Transl</w:t>
      </w:r>
      <w:proofErr w:type="spellEnd"/>
      <w:r w:rsidRPr="00C47857">
        <w:rPr>
          <w:rFonts w:cs="Arial"/>
          <w:sz w:val="18"/>
          <w:szCs w:val="18"/>
        </w:rPr>
        <w:t xml:space="preserve"> Med. 2021 Mar 3;13(583</w:t>
      </w:r>
      <w:proofErr w:type="gramStart"/>
      <w:r w:rsidRPr="00C47857">
        <w:rPr>
          <w:rFonts w:cs="Arial"/>
          <w:sz w:val="18"/>
          <w:szCs w:val="18"/>
        </w:rPr>
        <w:t>):eabc</w:t>
      </w:r>
      <w:proofErr w:type="gramEnd"/>
      <w:r w:rsidRPr="00C47857">
        <w:rPr>
          <w:rFonts w:cs="Arial"/>
          <w:sz w:val="18"/>
          <w:szCs w:val="18"/>
        </w:rPr>
        <w:t xml:space="preserve">8980. </w:t>
      </w:r>
      <w:proofErr w:type="spellStart"/>
      <w:r w:rsidRPr="00C47857">
        <w:rPr>
          <w:rFonts w:cs="Arial"/>
          <w:sz w:val="18"/>
          <w:szCs w:val="18"/>
        </w:rPr>
        <w:t>doi</w:t>
      </w:r>
      <w:proofErr w:type="spellEnd"/>
      <w:r w:rsidRPr="00C47857">
        <w:rPr>
          <w:rFonts w:cs="Arial"/>
          <w:sz w:val="18"/>
          <w:szCs w:val="18"/>
        </w:rPr>
        <w:t>: 10.1126/scitranslmed.abc8980. PMID: 33658358; PMCID: PMC8610022.</w:t>
      </w:r>
    </w:p>
    <w:p w14:paraId="740CF845" w14:textId="77777777" w:rsidR="009F0D0F" w:rsidRDefault="009F0D0F" w:rsidP="009F0D0F">
      <w:pPr>
        <w:pStyle w:val="Header"/>
        <w:numPr>
          <w:ilvl w:val="0"/>
          <w:numId w:val="19"/>
        </w:numPr>
        <w:tabs>
          <w:tab w:val="clear" w:pos="4320"/>
          <w:tab w:val="clear" w:pos="8640"/>
        </w:tabs>
        <w:rPr>
          <w:rFonts w:cs="Arial"/>
          <w:sz w:val="18"/>
          <w:szCs w:val="18"/>
        </w:rPr>
      </w:pPr>
      <w:proofErr w:type="spellStart"/>
      <w:r>
        <w:rPr>
          <w:rFonts w:cs="Arial"/>
          <w:sz w:val="18"/>
          <w:szCs w:val="18"/>
        </w:rPr>
        <w:t>N</w:t>
      </w:r>
      <w:r w:rsidRPr="00BD73CD">
        <w:rPr>
          <w:rFonts w:cs="Arial"/>
          <w:sz w:val="18"/>
          <w:szCs w:val="18"/>
        </w:rPr>
        <w:t>ourelden</w:t>
      </w:r>
      <w:proofErr w:type="spellEnd"/>
      <w:r w:rsidRPr="00BD73CD">
        <w:rPr>
          <w:rFonts w:cs="Arial"/>
          <w:sz w:val="18"/>
          <w:szCs w:val="18"/>
        </w:rPr>
        <w:t xml:space="preserve"> AZ, </w:t>
      </w:r>
      <w:proofErr w:type="spellStart"/>
      <w:r w:rsidRPr="00BD73CD">
        <w:rPr>
          <w:rFonts w:cs="Arial"/>
          <w:sz w:val="18"/>
          <w:szCs w:val="18"/>
        </w:rPr>
        <w:t>Elshanbary</w:t>
      </w:r>
      <w:proofErr w:type="spellEnd"/>
      <w:r w:rsidRPr="00BD73CD">
        <w:rPr>
          <w:rFonts w:cs="Arial"/>
          <w:sz w:val="18"/>
          <w:szCs w:val="18"/>
        </w:rPr>
        <w:t xml:space="preserve"> AA, et.al. Safety and Efficacy of Teplizumab for Treatment of Type One Diabetes Mellitus: A Systematic Review and Meta-Analysis. </w:t>
      </w:r>
      <w:proofErr w:type="spellStart"/>
      <w:r w:rsidRPr="00BD73CD">
        <w:rPr>
          <w:rFonts w:cs="Arial"/>
          <w:sz w:val="18"/>
          <w:szCs w:val="18"/>
        </w:rPr>
        <w:t>Endocr</w:t>
      </w:r>
      <w:proofErr w:type="spellEnd"/>
      <w:r w:rsidRPr="00BD73CD">
        <w:rPr>
          <w:rFonts w:cs="Arial"/>
          <w:sz w:val="18"/>
          <w:szCs w:val="18"/>
        </w:rPr>
        <w:t xml:space="preserve"> </w:t>
      </w:r>
      <w:proofErr w:type="spellStart"/>
      <w:r w:rsidRPr="00BD73CD">
        <w:rPr>
          <w:rFonts w:cs="Arial"/>
          <w:sz w:val="18"/>
          <w:szCs w:val="18"/>
        </w:rPr>
        <w:t>Metab</w:t>
      </w:r>
      <w:proofErr w:type="spellEnd"/>
      <w:r w:rsidRPr="00BD73CD">
        <w:rPr>
          <w:rFonts w:cs="Arial"/>
          <w:sz w:val="18"/>
          <w:szCs w:val="18"/>
        </w:rPr>
        <w:t xml:space="preserve"> Immune </w:t>
      </w:r>
      <w:proofErr w:type="spellStart"/>
      <w:r w:rsidRPr="00BD73CD">
        <w:rPr>
          <w:rFonts w:cs="Arial"/>
          <w:sz w:val="18"/>
          <w:szCs w:val="18"/>
        </w:rPr>
        <w:t>Disord</w:t>
      </w:r>
      <w:proofErr w:type="spellEnd"/>
      <w:r w:rsidRPr="00BD73CD">
        <w:rPr>
          <w:rFonts w:cs="Arial"/>
          <w:sz w:val="18"/>
          <w:szCs w:val="18"/>
        </w:rPr>
        <w:t xml:space="preserve"> Drug Targets. 2021;21(10):1895-1904. </w:t>
      </w:r>
      <w:proofErr w:type="spellStart"/>
      <w:r w:rsidRPr="00BD73CD">
        <w:rPr>
          <w:rFonts w:cs="Arial"/>
          <w:sz w:val="18"/>
          <w:szCs w:val="18"/>
        </w:rPr>
        <w:t>doi</w:t>
      </w:r>
      <w:proofErr w:type="spellEnd"/>
      <w:r w:rsidRPr="00BD73CD">
        <w:rPr>
          <w:rFonts w:cs="Arial"/>
          <w:sz w:val="18"/>
          <w:szCs w:val="18"/>
        </w:rPr>
        <w:t>: 10.2174/1871530320999201209222921. PMID: 33302842.</w:t>
      </w:r>
    </w:p>
    <w:p w14:paraId="309D5CD6" w14:textId="77777777" w:rsidR="009F0D0F" w:rsidRPr="00837A1D" w:rsidRDefault="009F0D0F" w:rsidP="009F0D0F">
      <w:pPr>
        <w:pStyle w:val="Header"/>
        <w:numPr>
          <w:ilvl w:val="0"/>
          <w:numId w:val="19"/>
        </w:numPr>
        <w:tabs>
          <w:tab w:val="clear" w:pos="4320"/>
          <w:tab w:val="clear" w:pos="8640"/>
        </w:tabs>
        <w:rPr>
          <w:rFonts w:cs="Arial"/>
          <w:sz w:val="18"/>
          <w:szCs w:val="18"/>
        </w:rPr>
      </w:pPr>
      <w:r w:rsidRPr="00837A1D">
        <w:rPr>
          <w:rFonts w:cs="Arial"/>
          <w:sz w:val="18"/>
          <w:szCs w:val="18"/>
        </w:rPr>
        <w:t>Hirsch, I. Pathogenesis of type 1 diabetes mellitus. Up To Date. Available from https://www.uptodate.com/contents/pathogenesis-of-type-1- diabetes-mellitus?search=type%201%20diabetes&amp;topicRef=5816&amp;source=see_link. Updated 8 June 2022. Accessed 26 January 2022.</w:t>
      </w:r>
    </w:p>
    <w:p w14:paraId="1FFF5BA1" w14:textId="77777777" w:rsidR="009F0D0F" w:rsidRPr="00837A1D" w:rsidRDefault="009F0D0F" w:rsidP="009F0D0F">
      <w:pPr>
        <w:pStyle w:val="Header"/>
        <w:numPr>
          <w:ilvl w:val="0"/>
          <w:numId w:val="19"/>
        </w:numPr>
        <w:tabs>
          <w:tab w:val="clear" w:pos="4320"/>
          <w:tab w:val="clear" w:pos="8640"/>
        </w:tabs>
        <w:rPr>
          <w:rFonts w:cs="Arial"/>
          <w:sz w:val="18"/>
          <w:szCs w:val="18"/>
        </w:rPr>
      </w:pPr>
      <w:r w:rsidRPr="00837A1D">
        <w:rPr>
          <w:rFonts w:cs="Arial"/>
          <w:sz w:val="18"/>
          <w:szCs w:val="18"/>
        </w:rPr>
        <w:t xml:space="preserve">American Diabetes Association Professional Practice Committee. </w:t>
      </w:r>
      <w:hyperlink r:id="rId11" w:history="1">
        <w:r w:rsidRPr="00837A1D">
          <w:rPr>
            <w:rStyle w:val="Hyperlink"/>
            <w:rFonts w:cs="Arial"/>
            <w:sz w:val="18"/>
            <w:szCs w:val="18"/>
          </w:rPr>
          <w:t>2. Diagnosis and Classification of Diabetes: Standards of Care in Diabetes-2024</w:t>
        </w:r>
      </w:hyperlink>
      <w:r w:rsidRPr="00837A1D">
        <w:rPr>
          <w:rFonts w:cs="Arial"/>
          <w:sz w:val="18"/>
          <w:szCs w:val="18"/>
        </w:rPr>
        <w:t>. Diabetes Care. 2024 Jan 1;47(Suppl 1</w:t>
      </w:r>
      <w:proofErr w:type="gramStart"/>
      <w:r w:rsidRPr="00837A1D">
        <w:rPr>
          <w:rFonts w:cs="Arial"/>
          <w:sz w:val="18"/>
          <w:szCs w:val="18"/>
        </w:rPr>
        <w:t>):S</w:t>
      </w:r>
      <w:proofErr w:type="gramEnd"/>
      <w:r w:rsidRPr="00837A1D">
        <w:rPr>
          <w:rFonts w:cs="Arial"/>
          <w:sz w:val="18"/>
          <w:szCs w:val="18"/>
        </w:rPr>
        <w:t xml:space="preserve">20-S42. </w:t>
      </w:r>
      <w:proofErr w:type="spellStart"/>
      <w:r w:rsidRPr="00837A1D">
        <w:rPr>
          <w:rFonts w:cs="Arial"/>
          <w:sz w:val="18"/>
          <w:szCs w:val="18"/>
        </w:rPr>
        <w:t>doi</w:t>
      </w:r>
      <w:proofErr w:type="spellEnd"/>
      <w:r w:rsidRPr="00837A1D">
        <w:rPr>
          <w:rFonts w:cs="Arial"/>
          <w:sz w:val="18"/>
          <w:szCs w:val="18"/>
        </w:rPr>
        <w:t>: 10.2337/dc24-S002. PMID: 38078589; PMCID: PMC10725812.</w:t>
      </w:r>
    </w:p>
    <w:p w14:paraId="3FA1E7DB" w14:textId="291A12F7" w:rsidR="00777CA4" w:rsidRDefault="00777CA4" w:rsidP="009F0D0F">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7161" w14:textId="77777777" w:rsidR="00953CBA" w:rsidRPr="00C02553" w:rsidRDefault="00953CBA" w:rsidP="00AE77DB">
      <w:r w:rsidRPr="00C02553">
        <w:separator/>
      </w:r>
    </w:p>
  </w:endnote>
  <w:endnote w:type="continuationSeparator" w:id="0">
    <w:p w14:paraId="785F6E41" w14:textId="77777777" w:rsidR="00953CBA" w:rsidRPr="00C02553" w:rsidRDefault="00953CBA" w:rsidP="00AE77DB">
      <w:r w:rsidRPr="00C02553">
        <w:continuationSeparator/>
      </w:r>
    </w:p>
  </w:endnote>
  <w:endnote w:type="continuationNotice" w:id="1">
    <w:p w14:paraId="5BF0A70D" w14:textId="77777777" w:rsidR="00953CBA" w:rsidRPr="00C02553" w:rsidRDefault="00953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25AF" w14:textId="77777777" w:rsidR="00953CBA" w:rsidRPr="00C02553" w:rsidRDefault="00953CBA" w:rsidP="00AE77DB">
      <w:r w:rsidRPr="00C02553">
        <w:separator/>
      </w:r>
    </w:p>
  </w:footnote>
  <w:footnote w:type="continuationSeparator" w:id="0">
    <w:p w14:paraId="5E34394E" w14:textId="77777777" w:rsidR="00953CBA" w:rsidRPr="00C02553" w:rsidRDefault="00953CBA" w:rsidP="00AE77DB">
      <w:r w:rsidRPr="00C02553">
        <w:continuationSeparator/>
      </w:r>
    </w:p>
  </w:footnote>
  <w:footnote w:type="continuationNotice" w:id="1">
    <w:p w14:paraId="2735A8FE" w14:textId="77777777" w:rsidR="00953CBA" w:rsidRPr="00C02553" w:rsidRDefault="00953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0AC806"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0A86C9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3CC84AE"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0BA29A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713AE2"/>
    <w:multiLevelType w:val="hybridMultilevel"/>
    <w:tmpl w:val="CB6685F6"/>
    <w:lvl w:ilvl="0" w:tplc="04090001">
      <w:start w:val="1"/>
      <w:numFmt w:val="bullet"/>
      <w:lvlText w:val=""/>
      <w:lvlJc w:val="left"/>
      <w:pPr>
        <w:ind w:left="360" w:hanging="360"/>
      </w:pPr>
      <w:rPr>
        <w:rFonts w:ascii="Symbol" w:hAnsi="Symbol" w:hint="default"/>
        <w:color w:val="333333"/>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097DD2"/>
    <w:multiLevelType w:val="hybridMultilevel"/>
    <w:tmpl w:val="31EC7D0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1"/>
  </w:num>
  <w:num w:numId="15" w16cid:durableId="1911186802">
    <w:abstractNumId w:val="6"/>
  </w:num>
  <w:num w:numId="16" w16cid:durableId="76177146">
    <w:abstractNumId w:val="12"/>
  </w:num>
  <w:num w:numId="17" w16cid:durableId="683945790">
    <w:abstractNumId w:val="18"/>
  </w:num>
  <w:num w:numId="18" w16cid:durableId="69162268">
    <w:abstractNumId w:val="16"/>
  </w:num>
  <w:num w:numId="19" w16cid:durableId="9580300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Jv3+uiFdM5gdDr3VaYM+L8gb+pTtF+wgw0Pw2iqIXiZI2ah5HzNJRlBEVyKztaR2hhdcICz8jxroFNNMKbsjA==" w:salt="T4aOctwoN0H02kVQH+otl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2A0E"/>
    <w:rsid w:val="0000390A"/>
    <w:rsid w:val="0000457E"/>
    <w:rsid w:val="00006269"/>
    <w:rsid w:val="00006A61"/>
    <w:rsid w:val="0001446E"/>
    <w:rsid w:val="00017CBA"/>
    <w:rsid w:val="000276D9"/>
    <w:rsid w:val="00032339"/>
    <w:rsid w:val="000344C5"/>
    <w:rsid w:val="00040AD3"/>
    <w:rsid w:val="0005266C"/>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B4C93"/>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2DAA"/>
    <w:rsid w:val="0015636A"/>
    <w:rsid w:val="00172053"/>
    <w:rsid w:val="00177A80"/>
    <w:rsid w:val="001808B8"/>
    <w:rsid w:val="00193D7F"/>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4223"/>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5059"/>
    <w:rsid w:val="002F690F"/>
    <w:rsid w:val="0030301F"/>
    <w:rsid w:val="00303B21"/>
    <w:rsid w:val="003073F8"/>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62069"/>
    <w:rsid w:val="00372449"/>
    <w:rsid w:val="003878C1"/>
    <w:rsid w:val="00396C0B"/>
    <w:rsid w:val="003A211F"/>
    <w:rsid w:val="003A630F"/>
    <w:rsid w:val="003A7359"/>
    <w:rsid w:val="003B3958"/>
    <w:rsid w:val="003B4820"/>
    <w:rsid w:val="003B5F4B"/>
    <w:rsid w:val="003B682F"/>
    <w:rsid w:val="003C53FC"/>
    <w:rsid w:val="003C7013"/>
    <w:rsid w:val="003D191C"/>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540E3"/>
    <w:rsid w:val="00460B5D"/>
    <w:rsid w:val="0046618B"/>
    <w:rsid w:val="0048608C"/>
    <w:rsid w:val="00496E57"/>
    <w:rsid w:val="004B3E10"/>
    <w:rsid w:val="004B6E00"/>
    <w:rsid w:val="004C0F5D"/>
    <w:rsid w:val="004C2B30"/>
    <w:rsid w:val="004C375A"/>
    <w:rsid w:val="004C3F40"/>
    <w:rsid w:val="004C4954"/>
    <w:rsid w:val="004C5767"/>
    <w:rsid w:val="004D0080"/>
    <w:rsid w:val="004D5322"/>
    <w:rsid w:val="004D78B0"/>
    <w:rsid w:val="004E611F"/>
    <w:rsid w:val="004F2A79"/>
    <w:rsid w:val="004F4D37"/>
    <w:rsid w:val="004F7FEA"/>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0C09"/>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0B3"/>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6F34E8"/>
    <w:rsid w:val="007068A4"/>
    <w:rsid w:val="00706D67"/>
    <w:rsid w:val="00713052"/>
    <w:rsid w:val="00721367"/>
    <w:rsid w:val="007231FA"/>
    <w:rsid w:val="00725031"/>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43F8"/>
    <w:rsid w:val="007A527E"/>
    <w:rsid w:val="007A53E7"/>
    <w:rsid w:val="007A78F7"/>
    <w:rsid w:val="007B3333"/>
    <w:rsid w:val="007B379F"/>
    <w:rsid w:val="007B37D6"/>
    <w:rsid w:val="007B41A3"/>
    <w:rsid w:val="007B5D30"/>
    <w:rsid w:val="007C1FDE"/>
    <w:rsid w:val="007C64E9"/>
    <w:rsid w:val="007D2920"/>
    <w:rsid w:val="007D42DD"/>
    <w:rsid w:val="007E6A37"/>
    <w:rsid w:val="007F1774"/>
    <w:rsid w:val="007F593C"/>
    <w:rsid w:val="00811A70"/>
    <w:rsid w:val="0081406E"/>
    <w:rsid w:val="00824254"/>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3838"/>
    <w:rsid w:val="008A5D88"/>
    <w:rsid w:val="008B2851"/>
    <w:rsid w:val="008C000E"/>
    <w:rsid w:val="008C1895"/>
    <w:rsid w:val="008D0F2F"/>
    <w:rsid w:val="008D237F"/>
    <w:rsid w:val="008D3FD8"/>
    <w:rsid w:val="008D6B05"/>
    <w:rsid w:val="008E7D2D"/>
    <w:rsid w:val="008F44C0"/>
    <w:rsid w:val="008F5999"/>
    <w:rsid w:val="00903AD6"/>
    <w:rsid w:val="00904D7A"/>
    <w:rsid w:val="00906245"/>
    <w:rsid w:val="00915332"/>
    <w:rsid w:val="009164D6"/>
    <w:rsid w:val="009204BB"/>
    <w:rsid w:val="00933E44"/>
    <w:rsid w:val="00935918"/>
    <w:rsid w:val="00935EC3"/>
    <w:rsid w:val="00951097"/>
    <w:rsid w:val="00953C1E"/>
    <w:rsid w:val="00953CBA"/>
    <w:rsid w:val="0096210F"/>
    <w:rsid w:val="00962633"/>
    <w:rsid w:val="00963187"/>
    <w:rsid w:val="00963ACF"/>
    <w:rsid w:val="00963D1C"/>
    <w:rsid w:val="00964284"/>
    <w:rsid w:val="0097028A"/>
    <w:rsid w:val="00973BD6"/>
    <w:rsid w:val="009800C5"/>
    <w:rsid w:val="0098055A"/>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0D0F"/>
    <w:rsid w:val="009F518A"/>
    <w:rsid w:val="00A02AF6"/>
    <w:rsid w:val="00A05B60"/>
    <w:rsid w:val="00A13266"/>
    <w:rsid w:val="00A14FA6"/>
    <w:rsid w:val="00A15D64"/>
    <w:rsid w:val="00A20575"/>
    <w:rsid w:val="00A24BBD"/>
    <w:rsid w:val="00A32452"/>
    <w:rsid w:val="00A325CC"/>
    <w:rsid w:val="00A32BBF"/>
    <w:rsid w:val="00A37444"/>
    <w:rsid w:val="00A4281A"/>
    <w:rsid w:val="00A459CF"/>
    <w:rsid w:val="00A5014D"/>
    <w:rsid w:val="00A53E96"/>
    <w:rsid w:val="00A56F18"/>
    <w:rsid w:val="00A628F8"/>
    <w:rsid w:val="00A62BAA"/>
    <w:rsid w:val="00A66172"/>
    <w:rsid w:val="00A744C3"/>
    <w:rsid w:val="00A76710"/>
    <w:rsid w:val="00AA70AB"/>
    <w:rsid w:val="00AB0B9F"/>
    <w:rsid w:val="00AB1713"/>
    <w:rsid w:val="00AB63BE"/>
    <w:rsid w:val="00AC1EBC"/>
    <w:rsid w:val="00AC2599"/>
    <w:rsid w:val="00AC2DE9"/>
    <w:rsid w:val="00AC3CD9"/>
    <w:rsid w:val="00AD2396"/>
    <w:rsid w:val="00AD2C5F"/>
    <w:rsid w:val="00AE1481"/>
    <w:rsid w:val="00AE27F9"/>
    <w:rsid w:val="00AE7410"/>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497"/>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97BA6"/>
    <w:rsid w:val="00CA1735"/>
    <w:rsid w:val="00CA207E"/>
    <w:rsid w:val="00CA3C4B"/>
    <w:rsid w:val="00CA4AD4"/>
    <w:rsid w:val="00CA7252"/>
    <w:rsid w:val="00CB2C5A"/>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65510"/>
    <w:rsid w:val="00D70D50"/>
    <w:rsid w:val="00D71917"/>
    <w:rsid w:val="00D80C33"/>
    <w:rsid w:val="00D95E68"/>
    <w:rsid w:val="00DA3A0F"/>
    <w:rsid w:val="00DA4E62"/>
    <w:rsid w:val="00DA6990"/>
    <w:rsid w:val="00DB27BA"/>
    <w:rsid w:val="00DB3009"/>
    <w:rsid w:val="00DB337A"/>
    <w:rsid w:val="00DC034A"/>
    <w:rsid w:val="00DC51CB"/>
    <w:rsid w:val="00DD3EA5"/>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44B46"/>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03FC7"/>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551"/>
    <w:rsid w:val="00F87CCE"/>
    <w:rsid w:val="00F903BE"/>
    <w:rsid w:val="00F943C5"/>
    <w:rsid w:val="00F95D04"/>
    <w:rsid w:val="00FA16EC"/>
    <w:rsid w:val="00FA2811"/>
    <w:rsid w:val="00FA4837"/>
    <w:rsid w:val="00FB1D33"/>
    <w:rsid w:val="00FB5E96"/>
    <w:rsid w:val="00FC05A0"/>
    <w:rsid w:val="00FC6758"/>
    <w:rsid w:val="00FD34EA"/>
    <w:rsid w:val="00FE1DAF"/>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betesjournals.org/care/article/47/Supplement_1/S20/153954/2-Diagnosis-and-Classification-of-Diabe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7F6D47B4-A3EA-45F5-A336-D97F9997B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5eefb00-5952-4f7e-8cf8-96f81cfadd01"/>
    <ds:schemaRef ds:uri="http://schemas.microsoft.com/sharepoint/v3"/>
    <ds:schemaRef ds:uri="aba01ddc-ae9a-4c9e-819c-7140b4239cde"/>
    <ds:schemaRef ds:uri="http://www.w3.org/XML/1998/namespace"/>
    <ds:schemaRef ds:uri="http://purl.org/dc/dcmityp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4904</Characters>
  <Application>Microsoft Office Word</Application>
  <DocSecurity>10</DocSecurity>
  <Lines>40</Lines>
  <Paragraphs>11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3</cp:revision>
  <cp:lastPrinted>2018-10-31T18:17:00Z</cp:lastPrinted>
  <dcterms:created xsi:type="dcterms:W3CDTF">2026-05-13T17:10:00Z</dcterms:created>
  <dcterms:modified xsi:type="dcterms:W3CDTF">2026-05-13T17:10:00Z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