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2C6825">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6908CBDC" w:rsidR="004C5767" w:rsidRPr="008859E1" w:rsidRDefault="004C5767" w:rsidP="00D27533">
      <w:pPr>
        <w:pStyle w:val="tbody"/>
        <w:rPr>
          <w:b w:val="0"/>
          <w:bCs/>
        </w:rPr>
      </w:pPr>
      <w:r w:rsidRPr="00C02553">
        <w:t>Drug/Drug Class:</w:t>
      </w:r>
      <w:r w:rsidR="003B4820" w:rsidRPr="00573856">
        <w:rPr>
          <w:b w:val="0"/>
          <w:bCs/>
        </w:rPr>
        <w:t xml:space="preserve"> </w:t>
      </w:r>
      <w:r w:rsidR="009366A2" w:rsidRPr="009366A2">
        <w:rPr>
          <w:b w:val="0"/>
          <w:bCs/>
        </w:rPr>
        <w:t>Complement Inhibitors, Systemic PDL Edit</w:t>
      </w:r>
    </w:p>
    <w:p w14:paraId="7AD7FFCE" w14:textId="05571779" w:rsidR="004C5767" w:rsidRPr="00C02553" w:rsidRDefault="004C5767" w:rsidP="00D27533">
      <w:pPr>
        <w:pStyle w:val="tbody"/>
      </w:pPr>
      <w:r w:rsidRPr="00C02553">
        <w:t>First Implementation Date:</w:t>
      </w:r>
      <w:r w:rsidRPr="00573856">
        <w:rPr>
          <w:b w:val="0"/>
          <w:bCs/>
        </w:rPr>
        <w:t xml:space="preserve"> </w:t>
      </w:r>
      <w:r w:rsidR="007D25F0" w:rsidRPr="007D25F0">
        <w:rPr>
          <w:b w:val="0"/>
          <w:bCs/>
        </w:rPr>
        <w:t>October 3, 2024</w:t>
      </w:r>
    </w:p>
    <w:p w14:paraId="4B7D760D" w14:textId="42DE2784" w:rsidR="004C5767" w:rsidRPr="00057F84" w:rsidRDefault="00F41F69" w:rsidP="70E341D6">
      <w:pPr>
        <w:pStyle w:val="tbody"/>
        <w:rPr>
          <w:b w:val="0"/>
        </w:rPr>
      </w:pPr>
      <w:r>
        <w:t>Pro</w:t>
      </w:r>
      <w:r w:rsidR="00FA2CFB">
        <w:t>posed</w:t>
      </w:r>
      <w:r w:rsidR="004C5767">
        <w:t xml:space="preserve"> Date:</w:t>
      </w:r>
      <w:r w:rsidR="00065C22">
        <w:t xml:space="preserve"> </w:t>
      </w:r>
      <w:r w:rsidR="00B04A72">
        <w:rPr>
          <w:b w:val="0"/>
          <w:bCs/>
        </w:rPr>
        <w:t>July</w:t>
      </w:r>
      <w:r w:rsidR="00BD4DC4" w:rsidRPr="00BD4DC4">
        <w:rPr>
          <w:b w:val="0"/>
          <w:bCs/>
        </w:rPr>
        <w:t xml:space="preserve">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F2585AE" w:rsidR="004C5767" w:rsidRPr="00D27533" w:rsidRDefault="004C5767" w:rsidP="00D27533">
      <w:pPr>
        <w:pStyle w:val="tbody"/>
        <w:rPr>
          <w:b w:val="0"/>
          <w:bCs/>
          <w:spacing w:val="-3"/>
        </w:rPr>
      </w:pPr>
      <w:r w:rsidRPr="00C02553">
        <w:t xml:space="preserve">Criteria Status: </w:t>
      </w:r>
      <w:r w:rsidR="00566BE4" w:rsidRPr="009162AE">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C847327" w14:textId="77777777" w:rsidR="005F77E4" w:rsidRDefault="005F77E4" w:rsidP="005F77E4">
      <w:pPr>
        <w:pStyle w:val="Header"/>
        <w:rPr>
          <w:rFonts w:cs="Arial"/>
          <w:spacing w:val="-3"/>
          <w:sz w:val="20"/>
        </w:rPr>
      </w:pPr>
      <w:r>
        <w:rPr>
          <w:rFonts w:cs="Arial"/>
          <w:spacing w:val="-3"/>
          <w:sz w:val="20"/>
        </w:rPr>
        <w:t>The complement system, or cascade, is a major component of the immune system which enhances destruction of pathogens and induces a series of inflammatory responses to fight infection. The system includes many plasma proteins that form three major pathways of complement activation (classical, lectin, and alternative). The major components of the cascade include the C1 complex, C2b and C4b fragments, C3 convertase, C3a and C3b fragments, C5a and C5b fragments, and the membrane attack complex comprised of C5b, C6, C7, C8, and C9. Each component plays a role in clearing foreign microbes or initiating inflammatory responses.</w:t>
      </w:r>
    </w:p>
    <w:p w14:paraId="30428DFD" w14:textId="77777777" w:rsidR="005F77E4" w:rsidRDefault="005F77E4" w:rsidP="005F77E4">
      <w:pPr>
        <w:pStyle w:val="Header"/>
        <w:rPr>
          <w:rFonts w:cs="Arial"/>
          <w:spacing w:val="-3"/>
          <w:sz w:val="20"/>
        </w:rPr>
      </w:pPr>
    </w:p>
    <w:p w14:paraId="044DEF44" w14:textId="77777777" w:rsidR="005F77E4" w:rsidRDefault="005F77E4" w:rsidP="005F77E4">
      <w:pPr>
        <w:pStyle w:val="Header"/>
        <w:rPr>
          <w:rFonts w:cs="Arial"/>
          <w:spacing w:val="-3"/>
          <w:sz w:val="20"/>
        </w:rPr>
      </w:pPr>
      <w:r w:rsidRPr="009F5BB6">
        <w:rPr>
          <w:rFonts w:cs="Arial"/>
          <w:spacing w:val="-3"/>
          <w:sz w:val="20"/>
        </w:rPr>
        <w:t xml:space="preserve">Current complement inhibitors cover various pathways within the complement system and are FDA indicated to treat a variety of diseases including </w:t>
      </w:r>
      <w:r>
        <w:rPr>
          <w:rFonts w:cs="Arial"/>
          <w:spacing w:val="-3"/>
          <w:sz w:val="20"/>
        </w:rPr>
        <w:t>atypical hemolytic uremic syndrome (aHUS),</w:t>
      </w:r>
      <w:r w:rsidRPr="009F5BB6">
        <w:rPr>
          <w:rFonts w:cs="Arial"/>
          <w:spacing w:val="-3"/>
          <w:sz w:val="20"/>
        </w:rPr>
        <w:t xml:space="preserve"> ANCA-associated vasculitis</w:t>
      </w:r>
      <w:r>
        <w:rPr>
          <w:rFonts w:cs="Arial"/>
          <w:spacing w:val="-3"/>
          <w:sz w:val="20"/>
        </w:rPr>
        <w:t xml:space="preserve"> (AAV)</w:t>
      </w:r>
      <w:r w:rsidRPr="009F5BB6">
        <w:rPr>
          <w:rFonts w:cs="Arial"/>
          <w:spacing w:val="-3"/>
          <w:sz w:val="20"/>
        </w:rPr>
        <w:t xml:space="preserve">, </w:t>
      </w:r>
      <w:r>
        <w:rPr>
          <w:rFonts w:cs="Arial"/>
          <w:spacing w:val="-3"/>
          <w:sz w:val="20"/>
        </w:rPr>
        <w:t>Cold Agglutinin Disease (CAD)</w:t>
      </w:r>
      <w:r w:rsidRPr="009F5BB6">
        <w:rPr>
          <w:rFonts w:cs="Arial"/>
          <w:spacing w:val="-3"/>
          <w:sz w:val="20"/>
        </w:rPr>
        <w:t xml:space="preserve">, </w:t>
      </w:r>
      <w:r w:rsidRPr="00B13700">
        <w:rPr>
          <w:rFonts w:cs="Arial"/>
          <w:spacing w:val="-3"/>
          <w:sz w:val="20"/>
        </w:rPr>
        <w:t>complement hyperactivation, angiopathic thrombosis, and protein-losing enteropathy (CHAPLE) diseas</w:t>
      </w:r>
      <w:r>
        <w:rPr>
          <w:rFonts w:cs="Arial"/>
          <w:spacing w:val="-3"/>
          <w:sz w:val="20"/>
        </w:rPr>
        <w:t>e</w:t>
      </w:r>
      <w:r w:rsidRPr="009F5BB6">
        <w:rPr>
          <w:rFonts w:cs="Arial"/>
          <w:spacing w:val="-3"/>
          <w:sz w:val="20"/>
        </w:rPr>
        <w:t>,</w:t>
      </w:r>
      <w:r>
        <w:rPr>
          <w:rFonts w:ascii="Times New Roman" w:hAnsi="Times New Roman"/>
          <w:sz w:val="24"/>
          <w:szCs w:val="24"/>
        </w:rPr>
        <w:t xml:space="preserve"> </w:t>
      </w:r>
      <w:r w:rsidRPr="00D268B9">
        <w:rPr>
          <w:rFonts w:cs="Arial"/>
          <w:spacing w:val="-3"/>
          <w:sz w:val="20"/>
        </w:rPr>
        <w:t>complement 3 glomerulopathy (C3G),</w:t>
      </w:r>
      <w:r w:rsidRPr="009F5BB6">
        <w:rPr>
          <w:rFonts w:cs="Arial"/>
          <w:spacing w:val="-3"/>
          <w:sz w:val="20"/>
        </w:rPr>
        <w:t xml:space="preserve"> </w:t>
      </w:r>
      <w:r>
        <w:rPr>
          <w:rFonts w:cs="Arial"/>
          <w:spacing w:val="-3"/>
          <w:sz w:val="20"/>
        </w:rPr>
        <w:t>generalized myasthenia gravis (gMG)</w:t>
      </w:r>
      <w:r w:rsidRPr="009F5BB6">
        <w:rPr>
          <w:rFonts w:cs="Arial"/>
          <w:spacing w:val="-3"/>
          <w:sz w:val="20"/>
        </w:rPr>
        <w:t xml:space="preserve">, </w:t>
      </w:r>
      <w:r>
        <w:rPr>
          <w:rFonts w:cs="Arial"/>
          <w:spacing w:val="-3"/>
          <w:sz w:val="20"/>
        </w:rPr>
        <w:t>neuromyelitis optica spectrum disorder (NMOSD)</w:t>
      </w:r>
      <w:r w:rsidRPr="009F5BB6">
        <w:rPr>
          <w:rFonts w:cs="Arial"/>
          <w:spacing w:val="-3"/>
          <w:sz w:val="20"/>
        </w:rPr>
        <w:t xml:space="preserve">, </w:t>
      </w:r>
      <w:r>
        <w:rPr>
          <w:rFonts w:cs="Arial"/>
          <w:spacing w:val="-3"/>
          <w:sz w:val="20"/>
        </w:rPr>
        <w:t>paroxysmal nocturnal hemoglobinuria (PNH),</w:t>
      </w:r>
      <w:r w:rsidRPr="00501A10">
        <w:rPr>
          <w:rFonts w:cs="Arial"/>
          <w:spacing w:val="-3"/>
          <w:sz w:val="20"/>
        </w:rPr>
        <w:t xml:space="preserve"> </w:t>
      </w:r>
      <w:r w:rsidRPr="00155931">
        <w:rPr>
          <w:rFonts w:cs="Arial"/>
          <w:spacing w:val="-3"/>
          <w:sz w:val="20"/>
        </w:rPr>
        <w:t>primary immune-complex membranoproliferative glomerulonephritis (IC-MPGN),</w:t>
      </w:r>
      <w:r>
        <w:rPr>
          <w:rFonts w:cs="Arial"/>
          <w:b/>
          <w:bCs/>
          <w:spacing w:val="-3"/>
          <w:sz w:val="20"/>
        </w:rPr>
        <w:t xml:space="preserve"> </w:t>
      </w:r>
      <w:r>
        <w:rPr>
          <w:rFonts w:cs="Arial"/>
          <w:spacing w:val="-3"/>
          <w:sz w:val="20"/>
        </w:rPr>
        <w:t xml:space="preserve">and </w:t>
      </w:r>
      <w:r w:rsidRPr="00501A10">
        <w:rPr>
          <w:rFonts w:cs="Arial"/>
          <w:spacing w:val="-3"/>
          <w:sz w:val="20"/>
        </w:rPr>
        <w:t>primary immunoglobulin A nephropathy (IgAN)</w:t>
      </w:r>
      <w:r>
        <w:rPr>
          <w:rFonts w:cs="Arial"/>
          <w:spacing w:val="-3"/>
          <w:sz w:val="20"/>
        </w:rPr>
        <w:t>.</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78627D2E" w14:textId="77777777" w:rsidR="00254439" w:rsidRPr="00254439" w:rsidRDefault="00254439" w:rsidP="00254439">
      <w:pPr>
        <w:numPr>
          <w:ilvl w:val="0"/>
          <w:numId w:val="15"/>
        </w:numPr>
        <w:contextualSpacing/>
        <w:rPr>
          <w:rFonts w:cs="Arial"/>
          <w:b/>
          <w:bCs/>
          <w:color w:val="1F497D" w:themeColor="text2"/>
          <w:spacing w:val="-3"/>
          <w:szCs w:val="20"/>
        </w:rPr>
      </w:pPr>
      <w:r w:rsidRPr="00254439">
        <w:rPr>
          <w:rFonts w:cs="Arial"/>
          <w:b/>
          <w:bCs/>
          <w:color w:val="1F497D" w:themeColor="text2"/>
          <w:spacing w:val="-3"/>
          <w:szCs w:val="20"/>
        </w:rPr>
        <w:t>Epysqli</w:t>
      </w:r>
      <w:r w:rsidRPr="00254439">
        <w:rPr>
          <w:rFonts w:cs="Arial"/>
          <w:b/>
          <w:bCs/>
          <w:color w:val="1F497D" w:themeColor="text2"/>
          <w:spacing w:val="-3"/>
          <w:vertAlign w:val="superscript"/>
        </w:rPr>
        <w:t>®</w:t>
      </w:r>
    </w:p>
    <w:p w14:paraId="7C95D7F5" w14:textId="77777777" w:rsidR="00B42BDC" w:rsidRDefault="00B42BDC" w:rsidP="00846FA4">
      <w:pPr>
        <w:rPr>
          <w:b/>
          <w:bCs/>
        </w:rPr>
      </w:pPr>
    </w:p>
    <w:p w14:paraId="56404718" w14:textId="3CAAB95C" w:rsidR="00846FA4" w:rsidRDefault="00846FA4" w:rsidP="00846FA4">
      <w:pPr>
        <w:rPr>
          <w:b/>
          <w:bCs/>
        </w:rPr>
      </w:pPr>
      <w:r>
        <w:rPr>
          <w:b/>
          <w:bCs/>
        </w:rPr>
        <w:t>Non-Preferred Agents:</w:t>
      </w:r>
    </w:p>
    <w:p w14:paraId="6188D4E9" w14:textId="77777777" w:rsidR="004A17F6" w:rsidRPr="004A17F6" w:rsidRDefault="004A17F6" w:rsidP="004A17F6">
      <w:pPr>
        <w:pStyle w:val="ListParagraph"/>
        <w:numPr>
          <w:ilvl w:val="0"/>
          <w:numId w:val="16"/>
        </w:numPr>
        <w:rPr>
          <w:rFonts w:cs="Arial"/>
          <w:spacing w:val="-3"/>
          <w:szCs w:val="20"/>
        </w:rPr>
      </w:pPr>
      <w:r w:rsidRPr="004A17F6">
        <w:rPr>
          <w:rFonts w:cs="Arial"/>
          <w:spacing w:val="-3"/>
          <w:szCs w:val="20"/>
        </w:rPr>
        <w:t>Bkemv</w:t>
      </w:r>
      <w:r w:rsidRPr="004A17F6">
        <w:rPr>
          <w:rFonts w:cs="Arial"/>
          <w:spacing w:val="-3"/>
          <w:szCs w:val="20"/>
          <w:vertAlign w:val="superscript"/>
        </w:rPr>
        <w:t>™</w:t>
      </w:r>
    </w:p>
    <w:p w14:paraId="595CCC74" w14:textId="77777777" w:rsidR="004A17F6" w:rsidRPr="004A17F6" w:rsidRDefault="004A17F6" w:rsidP="004A17F6">
      <w:pPr>
        <w:pStyle w:val="ListParagraph"/>
        <w:numPr>
          <w:ilvl w:val="0"/>
          <w:numId w:val="16"/>
        </w:numPr>
        <w:rPr>
          <w:rFonts w:cs="Arial"/>
          <w:spacing w:val="-3"/>
          <w:szCs w:val="20"/>
        </w:rPr>
      </w:pPr>
      <w:r w:rsidRPr="004A17F6">
        <w:rPr>
          <w:rFonts w:cs="Arial"/>
          <w:spacing w:val="-3"/>
          <w:szCs w:val="20"/>
        </w:rPr>
        <w:t>Empaveli</w:t>
      </w:r>
      <w:r w:rsidRPr="004A17F6">
        <w:rPr>
          <w:rFonts w:cs="Arial"/>
          <w:spacing w:val="-3"/>
          <w:szCs w:val="20"/>
          <w:vertAlign w:val="superscript"/>
        </w:rPr>
        <w:t>®</w:t>
      </w:r>
    </w:p>
    <w:p w14:paraId="581C67DD" w14:textId="77777777" w:rsidR="004A17F6" w:rsidRPr="004A17F6" w:rsidRDefault="004A17F6" w:rsidP="004A17F6">
      <w:pPr>
        <w:numPr>
          <w:ilvl w:val="0"/>
          <w:numId w:val="15"/>
        </w:numPr>
        <w:contextualSpacing/>
        <w:rPr>
          <w:rFonts w:cs="Arial"/>
          <w:spacing w:val="-3"/>
          <w:szCs w:val="20"/>
        </w:rPr>
      </w:pPr>
      <w:r w:rsidRPr="004A17F6">
        <w:rPr>
          <w:rFonts w:cs="Arial"/>
          <w:spacing w:val="-3"/>
          <w:szCs w:val="20"/>
        </w:rPr>
        <w:t>Enjaymo</w:t>
      </w:r>
      <w:r w:rsidRPr="004A17F6">
        <w:rPr>
          <w:rFonts w:cs="Arial"/>
          <w:spacing w:val="-3"/>
          <w:szCs w:val="20"/>
          <w:vertAlign w:val="superscript"/>
        </w:rPr>
        <w:t>®</w:t>
      </w:r>
    </w:p>
    <w:p w14:paraId="4E9EA0C5" w14:textId="77777777" w:rsidR="004A17F6" w:rsidRPr="004A17F6" w:rsidRDefault="004A17F6" w:rsidP="004A17F6">
      <w:pPr>
        <w:numPr>
          <w:ilvl w:val="0"/>
          <w:numId w:val="15"/>
        </w:numPr>
        <w:contextualSpacing/>
        <w:rPr>
          <w:rFonts w:cs="Arial"/>
          <w:spacing w:val="-3"/>
          <w:szCs w:val="20"/>
        </w:rPr>
      </w:pPr>
      <w:r w:rsidRPr="004A17F6">
        <w:rPr>
          <w:rFonts w:cs="Arial"/>
          <w:spacing w:val="-3"/>
          <w:szCs w:val="20"/>
        </w:rPr>
        <w:t>Fabhalta</w:t>
      </w:r>
      <w:r w:rsidRPr="004A17F6">
        <w:rPr>
          <w:rFonts w:cs="Arial"/>
          <w:spacing w:val="-3"/>
          <w:szCs w:val="20"/>
          <w:vertAlign w:val="superscript"/>
        </w:rPr>
        <w:t>®</w:t>
      </w:r>
    </w:p>
    <w:p w14:paraId="368A767D" w14:textId="77777777" w:rsidR="004A17F6" w:rsidRPr="004A17F6" w:rsidRDefault="004A17F6" w:rsidP="004A17F6">
      <w:pPr>
        <w:numPr>
          <w:ilvl w:val="0"/>
          <w:numId w:val="15"/>
        </w:numPr>
        <w:contextualSpacing/>
        <w:rPr>
          <w:rFonts w:cs="Arial"/>
          <w:spacing w:val="-3"/>
          <w:szCs w:val="20"/>
        </w:rPr>
      </w:pPr>
      <w:r w:rsidRPr="004A17F6">
        <w:rPr>
          <w:rFonts w:cs="Arial"/>
          <w:spacing w:val="-3"/>
        </w:rPr>
        <w:t>Piasky</w:t>
      </w:r>
      <w:r w:rsidRPr="004A17F6">
        <w:rPr>
          <w:rFonts w:cs="Arial"/>
          <w:spacing w:val="-3"/>
          <w:vertAlign w:val="superscript"/>
        </w:rPr>
        <w:t>®</w:t>
      </w:r>
    </w:p>
    <w:p w14:paraId="78F079D7" w14:textId="77777777" w:rsidR="004A17F6" w:rsidRPr="004A17F6" w:rsidRDefault="004A17F6" w:rsidP="004A17F6">
      <w:pPr>
        <w:numPr>
          <w:ilvl w:val="0"/>
          <w:numId w:val="15"/>
        </w:numPr>
        <w:contextualSpacing/>
        <w:rPr>
          <w:rFonts w:cs="Arial"/>
          <w:spacing w:val="-3"/>
          <w:szCs w:val="20"/>
        </w:rPr>
      </w:pPr>
      <w:r w:rsidRPr="004A17F6">
        <w:rPr>
          <w:rFonts w:cs="Arial"/>
          <w:spacing w:val="-3"/>
          <w:szCs w:val="20"/>
        </w:rPr>
        <w:t>Soliris</w:t>
      </w:r>
      <w:r w:rsidRPr="004A17F6">
        <w:rPr>
          <w:rFonts w:cs="Arial"/>
          <w:spacing w:val="-3"/>
          <w:szCs w:val="20"/>
          <w:vertAlign w:val="superscript"/>
        </w:rPr>
        <w:t xml:space="preserve">® </w:t>
      </w:r>
    </w:p>
    <w:p w14:paraId="3C7F248B" w14:textId="77777777" w:rsidR="004A17F6" w:rsidRPr="004A17F6" w:rsidRDefault="004A17F6" w:rsidP="004A17F6">
      <w:pPr>
        <w:numPr>
          <w:ilvl w:val="0"/>
          <w:numId w:val="15"/>
        </w:numPr>
        <w:contextualSpacing/>
        <w:rPr>
          <w:rFonts w:cs="Arial"/>
          <w:spacing w:val="-3"/>
          <w:szCs w:val="20"/>
        </w:rPr>
      </w:pPr>
      <w:r w:rsidRPr="004A17F6">
        <w:rPr>
          <w:rFonts w:cs="Arial"/>
          <w:spacing w:val="-3"/>
          <w:szCs w:val="20"/>
        </w:rPr>
        <w:t>Tavneos</w:t>
      </w:r>
      <w:r w:rsidRPr="004A17F6">
        <w:rPr>
          <w:rFonts w:cs="Arial"/>
          <w:spacing w:val="-3"/>
          <w:szCs w:val="20"/>
          <w:vertAlign w:val="superscript"/>
        </w:rPr>
        <w:t>®</w:t>
      </w:r>
    </w:p>
    <w:p w14:paraId="009C17BE" w14:textId="77777777" w:rsidR="00665B9F" w:rsidRPr="00F5468E" w:rsidRDefault="00665B9F" w:rsidP="00665B9F">
      <w:pPr>
        <w:numPr>
          <w:ilvl w:val="0"/>
          <w:numId w:val="15"/>
        </w:numPr>
        <w:rPr>
          <w:rFonts w:cs="Arial"/>
          <w:b/>
          <w:bCs/>
          <w:color w:val="1F497D" w:themeColor="text2"/>
          <w:spacing w:val="-3"/>
          <w:szCs w:val="20"/>
        </w:rPr>
      </w:pPr>
      <w:r w:rsidRPr="00F5468E">
        <w:rPr>
          <w:rFonts w:cs="Arial"/>
          <w:b/>
          <w:bCs/>
          <w:color w:val="1F497D" w:themeColor="text2"/>
          <w:spacing w:val="-3"/>
          <w:szCs w:val="20"/>
        </w:rPr>
        <w:t>Ultomiris</w:t>
      </w:r>
      <w:r w:rsidRPr="00F5468E">
        <w:rPr>
          <w:rFonts w:cs="Arial"/>
          <w:b/>
          <w:bCs/>
          <w:color w:val="1F497D" w:themeColor="text2"/>
          <w:spacing w:val="-3"/>
          <w:szCs w:val="20"/>
          <w:vertAlign w:val="superscript"/>
        </w:rPr>
        <w:t xml:space="preserve">® </w:t>
      </w:r>
    </w:p>
    <w:p w14:paraId="0A65B174" w14:textId="77777777" w:rsidR="004A17F6" w:rsidRPr="004A17F6" w:rsidRDefault="004A17F6" w:rsidP="004A17F6">
      <w:pPr>
        <w:numPr>
          <w:ilvl w:val="0"/>
          <w:numId w:val="15"/>
        </w:numPr>
        <w:contextualSpacing/>
        <w:rPr>
          <w:rFonts w:cs="Arial"/>
          <w:spacing w:val="-3"/>
        </w:rPr>
      </w:pPr>
      <w:r w:rsidRPr="004A17F6">
        <w:rPr>
          <w:rFonts w:cs="Arial"/>
          <w:spacing w:val="-3"/>
        </w:rPr>
        <w:t>Veopoz</w:t>
      </w:r>
      <w:r w:rsidRPr="004A17F6">
        <w:rPr>
          <w:rFonts w:cs="Arial"/>
          <w:spacing w:val="-3"/>
          <w:vertAlign w:val="superscript"/>
        </w:rPr>
        <w:t>™</w:t>
      </w:r>
    </w:p>
    <w:p w14:paraId="6D696800" w14:textId="0A3E12D8" w:rsidR="00E23EC0" w:rsidRPr="00075C25" w:rsidRDefault="004A17F6" w:rsidP="004A17F6">
      <w:pPr>
        <w:numPr>
          <w:ilvl w:val="0"/>
          <w:numId w:val="15"/>
        </w:numPr>
        <w:contextualSpacing/>
        <w:rPr>
          <w:rFonts w:cs="Arial"/>
          <w:spacing w:val="-3"/>
        </w:rPr>
      </w:pPr>
      <w:r w:rsidRPr="004A17F6">
        <w:rPr>
          <w:rFonts w:cs="Arial"/>
          <w:spacing w:val="-3"/>
        </w:rPr>
        <w:t>Voydeya</w:t>
      </w:r>
      <w:r w:rsidRPr="004A17F6">
        <w:rPr>
          <w:rFonts w:cs="Arial"/>
          <w:spacing w:val="-3"/>
          <w:vertAlign w:val="superscript"/>
        </w:rPr>
        <w:t>™</w:t>
      </w:r>
    </w:p>
    <w:p w14:paraId="5ADC9F85" w14:textId="77777777" w:rsidR="00665B9F" w:rsidRPr="00F5468E" w:rsidRDefault="00665B9F" w:rsidP="00665B9F">
      <w:pPr>
        <w:numPr>
          <w:ilvl w:val="0"/>
          <w:numId w:val="15"/>
        </w:numPr>
        <w:rPr>
          <w:rFonts w:cs="Arial"/>
          <w:b/>
          <w:bCs/>
          <w:color w:val="1F497D" w:themeColor="text2"/>
          <w:spacing w:val="-3"/>
          <w:szCs w:val="20"/>
        </w:rPr>
      </w:pPr>
      <w:r w:rsidRPr="00F5468E">
        <w:rPr>
          <w:rFonts w:cs="Arial"/>
          <w:b/>
          <w:bCs/>
          <w:color w:val="1F497D" w:themeColor="text2"/>
          <w:spacing w:val="-3"/>
        </w:rPr>
        <w:t>Zilbrysq</w:t>
      </w:r>
      <w:r w:rsidRPr="00F5468E">
        <w:rPr>
          <w:rFonts w:cs="Arial"/>
          <w:b/>
          <w:bCs/>
          <w:color w:val="1F497D" w:themeColor="text2"/>
          <w:spacing w:val="-3"/>
          <w:vertAlign w:val="superscript"/>
        </w:rPr>
        <w:t>®</w:t>
      </w:r>
    </w:p>
    <w:p w14:paraId="6569DE1E" w14:textId="77777777" w:rsidR="00075C25" w:rsidRPr="004A17F6" w:rsidRDefault="00075C25" w:rsidP="00075C25">
      <w:pPr>
        <w:ind w:left="360"/>
        <w:contextualSpacing/>
        <w:rPr>
          <w:rFonts w:cs="Arial"/>
          <w:spacing w:val="-3"/>
        </w:rPr>
      </w:pPr>
    </w:p>
    <w:p w14:paraId="6413C027" w14:textId="18F824F6" w:rsidR="00AE77DB" w:rsidRPr="00C02553" w:rsidRDefault="00AE77DB" w:rsidP="00E354AA">
      <w:pPr>
        <w:pStyle w:val="Heading1"/>
        <w:rPr>
          <w:lang w:val="en-US"/>
        </w:rPr>
      </w:pPr>
      <w:r w:rsidRPr="00C02553">
        <w:rPr>
          <w:lang w:val="en-US"/>
        </w:rPr>
        <w:lastRenderedPageBreak/>
        <w:t xml:space="preserve">Setting &amp; Population </w:t>
      </w:r>
    </w:p>
    <w:p w14:paraId="04B7FBFB" w14:textId="009A7813" w:rsidR="0097028A" w:rsidRPr="0079438F" w:rsidRDefault="0097028A" w:rsidP="00696E3A">
      <w:pPr>
        <w:rPr>
          <w:b/>
        </w:rPr>
      </w:pPr>
      <w:r w:rsidRPr="00696E3A">
        <w:rPr>
          <w:b/>
          <w:bCs/>
        </w:rPr>
        <w:t>Drug class for review:</w:t>
      </w:r>
      <w:r w:rsidRPr="00C02553">
        <w:t xml:space="preserve"> </w:t>
      </w:r>
      <w:r w:rsidR="00D60AAF">
        <w:rPr>
          <w:rFonts w:cs="Arial"/>
          <w:szCs w:val="20"/>
        </w:rPr>
        <w:t>Complement Inhibitors, Systemic</w:t>
      </w:r>
    </w:p>
    <w:p w14:paraId="0921E698" w14:textId="77777777" w:rsidR="00F314C3" w:rsidRPr="0069277D" w:rsidRDefault="0097028A" w:rsidP="0069277D">
      <w:pPr>
        <w:ind w:left="360" w:hanging="360"/>
        <w:rPr>
          <w:rFonts w:cs="Arial"/>
          <w:szCs w:val="20"/>
        </w:rPr>
      </w:pPr>
      <w:r w:rsidRPr="0069277D">
        <w:rPr>
          <w:b/>
          <w:bCs/>
        </w:rPr>
        <w:t>Age range:</w:t>
      </w:r>
      <w:r w:rsidRPr="00C02553">
        <w:t xml:space="preserve"> </w:t>
      </w:r>
      <w:r w:rsidR="00551668" w:rsidRPr="0069277D">
        <w:rPr>
          <w:rFonts w:cs="Arial"/>
        </w:rPr>
        <w:t>All appropriate MO HealthNet participants</w:t>
      </w:r>
      <w:r w:rsidR="00F314C3" w:rsidRPr="0069277D">
        <w:rPr>
          <w:rFonts w:cs="Arial"/>
        </w:rPr>
        <w:t xml:space="preserve"> </w:t>
      </w:r>
      <w:r w:rsidR="00F314C3" w:rsidRPr="0069277D">
        <w:rPr>
          <w:rFonts w:cs="Arial"/>
          <w:szCs w:val="20"/>
        </w:rPr>
        <w:t>aged 18 years or older unless otherwise indicated</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6BBD8BF7" w14:textId="77777777" w:rsidR="00C90F7B" w:rsidRDefault="00C90F7B" w:rsidP="00C90F7B">
      <w:pPr>
        <w:pStyle w:val="ListParagraph"/>
        <w:numPr>
          <w:ilvl w:val="0"/>
          <w:numId w:val="18"/>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61AF68C8" w14:textId="77777777" w:rsidR="00C90F7B" w:rsidRDefault="00C90F7B" w:rsidP="00C90F7B">
      <w:pPr>
        <w:pStyle w:val="ListParagraph"/>
        <w:numPr>
          <w:ilvl w:val="1"/>
          <w:numId w:val="18"/>
        </w:numPr>
        <w:rPr>
          <w:rFonts w:cs="Arial"/>
          <w:bCs/>
          <w:szCs w:val="20"/>
        </w:rPr>
      </w:pPr>
      <w:r>
        <w:rPr>
          <w:rFonts w:cs="Arial"/>
          <w:bCs/>
          <w:szCs w:val="20"/>
        </w:rPr>
        <w:t xml:space="preserve">Prescribed by or in consultation with an appropriate specialist in the treated disease state; </w:t>
      </w:r>
      <w:r w:rsidRPr="00B42F8D">
        <w:rPr>
          <w:rFonts w:cs="Arial"/>
          <w:b/>
          <w:szCs w:val="20"/>
        </w:rPr>
        <w:t>AND</w:t>
      </w:r>
    </w:p>
    <w:p w14:paraId="2153A9C8" w14:textId="77777777" w:rsidR="00C90F7B" w:rsidRPr="00487940" w:rsidRDefault="00C90F7B" w:rsidP="00C90F7B">
      <w:pPr>
        <w:pStyle w:val="ListParagraph"/>
        <w:numPr>
          <w:ilvl w:val="1"/>
          <w:numId w:val="18"/>
        </w:numPr>
        <w:rPr>
          <w:rFonts w:cs="Arial"/>
          <w:bCs/>
          <w:szCs w:val="20"/>
        </w:rPr>
      </w:pPr>
      <w:r w:rsidRPr="00487940">
        <w:rPr>
          <w:rFonts w:cs="Arial"/>
          <w:bCs/>
          <w:szCs w:val="20"/>
        </w:rPr>
        <w:t>Documentation of appropriate diagnosis and participant age range for requested agent - see below criteria and Appendix A</w:t>
      </w:r>
      <w:r>
        <w:rPr>
          <w:rFonts w:cs="Arial"/>
          <w:bCs/>
          <w:szCs w:val="20"/>
        </w:rPr>
        <w:t>.</w:t>
      </w:r>
    </w:p>
    <w:p w14:paraId="64033EB7" w14:textId="77777777" w:rsidR="00BE4F6F" w:rsidRDefault="00BE4F6F" w:rsidP="00BE4F6F">
      <w:pPr>
        <w:pStyle w:val="ListParagraph"/>
        <w:numPr>
          <w:ilvl w:val="0"/>
          <w:numId w:val="0"/>
        </w:numPr>
        <w:ind w:left="360"/>
        <w:rPr>
          <w:rFonts w:cs="Arial"/>
          <w:bCs/>
          <w:szCs w:val="20"/>
        </w:rPr>
      </w:pPr>
    </w:p>
    <w:p w14:paraId="21A5316E" w14:textId="6B89D0F6" w:rsidR="00C90F7B" w:rsidRDefault="00C90F7B" w:rsidP="00C90F7B">
      <w:pPr>
        <w:pStyle w:val="ListParagraph"/>
        <w:numPr>
          <w:ilvl w:val="0"/>
          <w:numId w:val="18"/>
        </w:numPr>
        <w:rPr>
          <w:rFonts w:cs="Arial"/>
          <w:bCs/>
          <w:szCs w:val="20"/>
        </w:rPr>
      </w:pPr>
      <w:r w:rsidRPr="00996A62">
        <w:rPr>
          <w:rFonts w:cs="Arial"/>
          <w:bCs/>
          <w:szCs w:val="20"/>
        </w:rPr>
        <w:t>For a documented diagnosis of PNH</w:t>
      </w:r>
      <w:r w:rsidR="00BE4F6F">
        <w:rPr>
          <w:rFonts w:cs="Arial"/>
          <w:bCs/>
          <w:szCs w:val="20"/>
        </w:rPr>
        <w:t>:</w:t>
      </w:r>
    </w:p>
    <w:p w14:paraId="5965FF48" w14:textId="77777777" w:rsidR="00C90F7B" w:rsidRPr="00996A62" w:rsidRDefault="00C90F7B" w:rsidP="00C90F7B">
      <w:pPr>
        <w:pStyle w:val="ListParagraph"/>
        <w:numPr>
          <w:ilvl w:val="1"/>
          <w:numId w:val="18"/>
        </w:numPr>
        <w:rPr>
          <w:rFonts w:cs="Arial"/>
          <w:bCs/>
          <w:szCs w:val="20"/>
        </w:rPr>
      </w:pPr>
      <w:r>
        <w:rPr>
          <w:rFonts w:cs="Arial"/>
          <w:bCs/>
          <w:szCs w:val="20"/>
        </w:rPr>
        <w:t>Must meet one of the following:</w:t>
      </w:r>
    </w:p>
    <w:p w14:paraId="38FF6172" w14:textId="77777777" w:rsidR="00C90F7B" w:rsidRPr="00996A62" w:rsidRDefault="00C90F7B" w:rsidP="00C90F7B">
      <w:pPr>
        <w:pStyle w:val="ListParagraph"/>
        <w:numPr>
          <w:ilvl w:val="2"/>
          <w:numId w:val="18"/>
        </w:numPr>
        <w:rPr>
          <w:rFonts w:cs="Arial"/>
          <w:bCs/>
          <w:szCs w:val="20"/>
        </w:rPr>
      </w:pPr>
      <w:r w:rsidRPr="00996A62">
        <w:rPr>
          <w:rFonts w:cs="Arial"/>
          <w:bCs/>
          <w:szCs w:val="20"/>
        </w:rPr>
        <w:t xml:space="preserve">Claim is for a preferred </w:t>
      </w:r>
      <w:proofErr w:type="gramStart"/>
      <w:r w:rsidRPr="00996A62">
        <w:rPr>
          <w:rFonts w:cs="Arial"/>
          <w:bCs/>
          <w:szCs w:val="20"/>
        </w:rPr>
        <w:t>agent;</w:t>
      </w:r>
      <w:proofErr w:type="gramEnd"/>
    </w:p>
    <w:p w14:paraId="384A28A8" w14:textId="77777777" w:rsidR="00C90F7B" w:rsidRPr="00996A62" w:rsidRDefault="00C90F7B" w:rsidP="00C90F7B">
      <w:pPr>
        <w:pStyle w:val="ListParagraph"/>
        <w:numPr>
          <w:ilvl w:val="2"/>
          <w:numId w:val="18"/>
        </w:numPr>
        <w:rPr>
          <w:rFonts w:cs="Arial"/>
          <w:bCs/>
          <w:szCs w:val="20"/>
        </w:rPr>
      </w:pPr>
      <w:r w:rsidRPr="00996A62">
        <w:rPr>
          <w:rFonts w:cs="Arial"/>
          <w:bCs/>
          <w:szCs w:val="20"/>
        </w:rPr>
        <w:t xml:space="preserve">Documented compliance on current therapy regimen; </w:t>
      </w:r>
      <w:r w:rsidRPr="001B68D2">
        <w:rPr>
          <w:rFonts w:cs="Arial"/>
          <w:b/>
          <w:strike/>
          <w:color w:val="1F497D" w:themeColor="text2"/>
          <w:szCs w:val="20"/>
        </w:rPr>
        <w:t>OR</w:t>
      </w:r>
    </w:p>
    <w:p w14:paraId="549E3961" w14:textId="685E711B" w:rsidR="001B68D2" w:rsidRPr="00996A62" w:rsidRDefault="00F75292" w:rsidP="00C90F7B">
      <w:pPr>
        <w:pStyle w:val="ListParagraph"/>
        <w:numPr>
          <w:ilvl w:val="2"/>
          <w:numId w:val="18"/>
        </w:numPr>
        <w:rPr>
          <w:rFonts w:cs="Arial"/>
          <w:bCs/>
          <w:szCs w:val="20"/>
        </w:rPr>
      </w:pPr>
      <w:r>
        <w:rPr>
          <w:rFonts w:cs="Arial"/>
          <w:b/>
          <w:color w:val="1F497D" w:themeColor="text2"/>
          <w:szCs w:val="20"/>
        </w:rPr>
        <w:t>Participant is aged &lt; 18 years of age and claim is for Ultomiris; OR</w:t>
      </w:r>
    </w:p>
    <w:p w14:paraId="1006917F" w14:textId="7B23B17F" w:rsidR="00C90F7B" w:rsidRPr="00996A62" w:rsidRDefault="00C90F7B" w:rsidP="00C90F7B">
      <w:pPr>
        <w:pStyle w:val="ListParagraph"/>
        <w:numPr>
          <w:ilvl w:val="2"/>
          <w:numId w:val="18"/>
        </w:numPr>
        <w:rPr>
          <w:rFonts w:cs="Arial"/>
          <w:bCs/>
          <w:szCs w:val="20"/>
        </w:rPr>
      </w:pPr>
      <w:r w:rsidRPr="00996A62">
        <w:rPr>
          <w:rFonts w:cs="Arial"/>
          <w:bCs/>
          <w:szCs w:val="20"/>
        </w:rPr>
        <w:t>Failure to achieve desired therapeutic outcomes with trial o</w:t>
      </w:r>
      <w:r w:rsidR="00EA5440">
        <w:rPr>
          <w:rFonts w:cs="Arial"/>
          <w:bCs/>
          <w:szCs w:val="20"/>
        </w:rPr>
        <w:t>f</w:t>
      </w:r>
      <w:r w:rsidRPr="00996A62">
        <w:rPr>
          <w:rFonts w:cs="Arial"/>
          <w:bCs/>
          <w:szCs w:val="20"/>
        </w:rPr>
        <w:t xml:space="preserve"> 1 or more</w:t>
      </w:r>
      <w:r w:rsidRPr="00A35C60">
        <w:rPr>
          <w:rFonts w:cs="Arial"/>
          <w:b/>
          <w:strike/>
          <w:szCs w:val="20"/>
        </w:rPr>
        <w:t xml:space="preserve"> </w:t>
      </w:r>
      <w:r w:rsidRPr="00996A62">
        <w:rPr>
          <w:rFonts w:cs="Arial"/>
          <w:bCs/>
          <w:szCs w:val="20"/>
        </w:rPr>
        <w:t>preferred agents:</w:t>
      </w:r>
    </w:p>
    <w:p w14:paraId="67086E28" w14:textId="77777777" w:rsidR="00C90F7B" w:rsidRPr="00996A62" w:rsidRDefault="00C90F7B" w:rsidP="00C90F7B">
      <w:pPr>
        <w:pStyle w:val="ListParagraph"/>
        <w:numPr>
          <w:ilvl w:val="3"/>
          <w:numId w:val="18"/>
        </w:numPr>
        <w:rPr>
          <w:rFonts w:cs="Arial"/>
          <w:bCs/>
          <w:szCs w:val="20"/>
        </w:rPr>
      </w:pPr>
      <w:r w:rsidRPr="00996A62">
        <w:rPr>
          <w:rFonts w:cs="Arial"/>
          <w:bCs/>
          <w:szCs w:val="20"/>
        </w:rPr>
        <w:t xml:space="preserve">Documented trial period for preferred agents; </w:t>
      </w:r>
      <w:r w:rsidRPr="00996A62">
        <w:rPr>
          <w:rFonts w:cs="Arial"/>
          <w:b/>
          <w:szCs w:val="20"/>
        </w:rPr>
        <w:t>OR</w:t>
      </w:r>
    </w:p>
    <w:p w14:paraId="4976D723" w14:textId="77777777" w:rsidR="00C90F7B" w:rsidRPr="00996A62" w:rsidRDefault="00C90F7B" w:rsidP="00C90F7B">
      <w:pPr>
        <w:pStyle w:val="ListParagraph"/>
        <w:numPr>
          <w:ilvl w:val="3"/>
          <w:numId w:val="18"/>
        </w:numPr>
        <w:rPr>
          <w:rFonts w:cs="Arial"/>
          <w:bCs/>
          <w:szCs w:val="20"/>
        </w:rPr>
      </w:pPr>
      <w:r w:rsidRPr="00996A62">
        <w:rPr>
          <w:rFonts w:cs="Arial"/>
          <w:bCs/>
          <w:szCs w:val="20"/>
        </w:rPr>
        <w:t>Documented ADE/ADR to preferred agents</w:t>
      </w:r>
      <w:r>
        <w:rPr>
          <w:rFonts w:cs="Arial"/>
          <w:bCs/>
          <w:szCs w:val="20"/>
        </w:rPr>
        <w:t xml:space="preserve">; </w:t>
      </w:r>
      <w:r w:rsidRPr="00F770D1">
        <w:rPr>
          <w:rFonts w:cs="Arial"/>
          <w:b/>
          <w:szCs w:val="20"/>
        </w:rPr>
        <w:t>AND</w:t>
      </w:r>
    </w:p>
    <w:p w14:paraId="6F28350D" w14:textId="77777777" w:rsidR="00C90F7B" w:rsidRDefault="00C90F7B" w:rsidP="00C90F7B">
      <w:pPr>
        <w:pStyle w:val="ListParagraph"/>
        <w:numPr>
          <w:ilvl w:val="1"/>
          <w:numId w:val="18"/>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74881DAB" w14:textId="6F0DCF41" w:rsidR="00C90F7B" w:rsidRPr="00BC1045" w:rsidRDefault="00C90F7B" w:rsidP="00C90F7B">
      <w:pPr>
        <w:pStyle w:val="ListParagraph"/>
        <w:numPr>
          <w:ilvl w:val="2"/>
          <w:numId w:val="18"/>
        </w:numPr>
        <w:rPr>
          <w:rFonts w:cs="Arial"/>
          <w:bCs/>
          <w:szCs w:val="20"/>
        </w:rPr>
      </w:pPr>
      <w:r w:rsidRPr="00744D07">
        <w:rPr>
          <w:rFonts w:cs="Arial"/>
          <w:bCs/>
          <w:szCs w:val="20"/>
        </w:rPr>
        <w:t xml:space="preserve">Claim is for Empaveli, </w:t>
      </w:r>
      <w:proofErr w:type="spellStart"/>
      <w:r w:rsidRPr="00744D07">
        <w:rPr>
          <w:rFonts w:cs="Arial"/>
          <w:bCs/>
          <w:szCs w:val="20"/>
        </w:rPr>
        <w:t>Fabhalta</w:t>
      </w:r>
      <w:proofErr w:type="spellEnd"/>
      <w:r>
        <w:rPr>
          <w:rFonts w:cs="Arial"/>
          <w:bCs/>
          <w:szCs w:val="20"/>
        </w:rPr>
        <w:t xml:space="preserve">, </w:t>
      </w:r>
      <w:proofErr w:type="spellStart"/>
      <w:r w:rsidRPr="00A17B8F">
        <w:rPr>
          <w:rFonts w:cs="Arial"/>
          <w:spacing w:val="-3"/>
        </w:rPr>
        <w:t>Piasky</w:t>
      </w:r>
      <w:proofErr w:type="spellEnd"/>
      <w:r w:rsidRPr="00A17B8F">
        <w:rPr>
          <w:rFonts w:cs="Arial"/>
          <w:spacing w:val="-3"/>
        </w:rPr>
        <w:t>,</w:t>
      </w:r>
      <w:r w:rsidRPr="00A17B8F">
        <w:rPr>
          <w:rFonts w:cs="Arial"/>
          <w:szCs w:val="20"/>
        </w:rPr>
        <w:t xml:space="preserve"> eculizumab, </w:t>
      </w:r>
      <w:proofErr w:type="spellStart"/>
      <w:r w:rsidRPr="00A17B8F">
        <w:rPr>
          <w:rFonts w:cs="Arial"/>
          <w:szCs w:val="20"/>
        </w:rPr>
        <w:t>Ultomiris</w:t>
      </w:r>
      <w:proofErr w:type="spellEnd"/>
      <w:r w:rsidRPr="00A17B8F">
        <w:rPr>
          <w:rFonts w:cs="Arial"/>
          <w:szCs w:val="20"/>
        </w:rPr>
        <w:t xml:space="preserve">, or </w:t>
      </w:r>
      <w:proofErr w:type="spellStart"/>
      <w:proofErr w:type="gramStart"/>
      <w:r w:rsidRPr="00A17B8F">
        <w:rPr>
          <w:rFonts w:cs="Arial"/>
          <w:szCs w:val="20"/>
        </w:rPr>
        <w:t>Voydeya</w:t>
      </w:r>
      <w:proofErr w:type="spellEnd"/>
      <w:r w:rsidRPr="00A17B8F">
        <w:rPr>
          <w:rFonts w:cs="Arial"/>
          <w:szCs w:val="20"/>
        </w:rPr>
        <w:t>;</w:t>
      </w:r>
      <w:proofErr w:type="gramEnd"/>
    </w:p>
    <w:p w14:paraId="24E72355" w14:textId="77777777" w:rsidR="00C90F7B" w:rsidRDefault="00C90F7B" w:rsidP="00C90F7B">
      <w:pPr>
        <w:pStyle w:val="ListParagraph"/>
        <w:numPr>
          <w:ilvl w:val="2"/>
          <w:numId w:val="18"/>
        </w:numPr>
        <w:rPr>
          <w:rFonts w:cs="Arial"/>
          <w:bCs/>
          <w:szCs w:val="20"/>
        </w:rPr>
      </w:pPr>
      <w:r>
        <w:rPr>
          <w:rFonts w:cs="Arial"/>
          <w:bCs/>
          <w:szCs w:val="20"/>
        </w:rPr>
        <w:t xml:space="preserve">Diagnosis confirmed by laboratory findings (i.e., flow cytometry, lactate dehydrogenase level of 1.5 times the upper limit of normal, bone marrow aspirate and biopsy); </w:t>
      </w:r>
      <w:r w:rsidRPr="00BC1045">
        <w:rPr>
          <w:rFonts w:cs="Arial"/>
          <w:b/>
          <w:szCs w:val="20"/>
        </w:rPr>
        <w:t>AND</w:t>
      </w:r>
    </w:p>
    <w:p w14:paraId="5243313F" w14:textId="77777777" w:rsidR="00C90F7B" w:rsidRDefault="00C90F7B" w:rsidP="00C90F7B">
      <w:pPr>
        <w:pStyle w:val="ListParagraph"/>
        <w:numPr>
          <w:ilvl w:val="2"/>
          <w:numId w:val="18"/>
        </w:numPr>
        <w:rPr>
          <w:rFonts w:cs="Arial"/>
          <w:bCs/>
          <w:szCs w:val="20"/>
        </w:rPr>
      </w:pPr>
      <w:r>
        <w:rPr>
          <w:rFonts w:cs="Arial"/>
          <w:bCs/>
          <w:szCs w:val="20"/>
        </w:rPr>
        <w:t>Must meet one of the following:</w:t>
      </w:r>
    </w:p>
    <w:p w14:paraId="76C50EA8" w14:textId="77777777" w:rsidR="00C90F7B" w:rsidRDefault="00C90F7B" w:rsidP="00C90F7B">
      <w:pPr>
        <w:pStyle w:val="ListParagraph"/>
        <w:numPr>
          <w:ilvl w:val="3"/>
          <w:numId w:val="18"/>
        </w:numPr>
        <w:rPr>
          <w:rFonts w:cs="Arial"/>
          <w:bCs/>
          <w:szCs w:val="20"/>
        </w:rPr>
      </w:pPr>
      <w:r>
        <w:rPr>
          <w:rFonts w:cs="Arial"/>
          <w:bCs/>
          <w:szCs w:val="20"/>
        </w:rPr>
        <w:t xml:space="preserve">Participant is transfusion-dependent (Hb ≤ 7 g/dL or Hb ≤ 9 g/dL and experiencing symptoms of anemia); </w:t>
      </w:r>
      <w:r w:rsidRPr="00B35130">
        <w:rPr>
          <w:rFonts w:cs="Arial"/>
          <w:b/>
          <w:szCs w:val="20"/>
        </w:rPr>
        <w:t>OR</w:t>
      </w:r>
    </w:p>
    <w:p w14:paraId="00D03BE5" w14:textId="77777777" w:rsidR="00C90F7B" w:rsidRDefault="00C90F7B" w:rsidP="00C90F7B">
      <w:pPr>
        <w:pStyle w:val="ListParagraph"/>
        <w:numPr>
          <w:ilvl w:val="3"/>
          <w:numId w:val="18"/>
        </w:numPr>
        <w:rPr>
          <w:rFonts w:cs="Arial"/>
          <w:bCs/>
          <w:szCs w:val="20"/>
        </w:rPr>
      </w:pPr>
      <w:r>
        <w:rPr>
          <w:rFonts w:cs="Arial"/>
          <w:bCs/>
          <w:szCs w:val="20"/>
        </w:rPr>
        <w:t>D</w:t>
      </w:r>
      <w:r w:rsidRPr="009F11E1">
        <w:rPr>
          <w:rFonts w:cs="Arial"/>
          <w:bCs/>
          <w:szCs w:val="20"/>
        </w:rPr>
        <w:t>ocumentation of symptomatic thromboembolic complications (e.g., abdominal pain, shortness of breath, chest pain, end-organ damage)</w:t>
      </w:r>
      <w:r>
        <w:rPr>
          <w:rFonts w:cs="Arial"/>
          <w:bCs/>
          <w:szCs w:val="20"/>
        </w:rPr>
        <w:t>.</w:t>
      </w:r>
    </w:p>
    <w:p w14:paraId="4F967338" w14:textId="77777777" w:rsidR="00C90F7B" w:rsidRPr="00375F2A" w:rsidRDefault="00C90F7B" w:rsidP="00C90F7B">
      <w:pPr>
        <w:pStyle w:val="ListParagraph"/>
        <w:numPr>
          <w:ilvl w:val="2"/>
          <w:numId w:val="18"/>
        </w:numPr>
        <w:rPr>
          <w:rFonts w:cs="Arial"/>
          <w:bCs/>
          <w:szCs w:val="20"/>
        </w:rPr>
      </w:pPr>
      <w:r w:rsidRPr="00375F2A">
        <w:rPr>
          <w:rFonts w:cs="Arial"/>
          <w:bCs/>
          <w:szCs w:val="20"/>
        </w:rPr>
        <w:t xml:space="preserve">Additional approval criteria for Voydeya – must meet </w:t>
      </w:r>
      <w:proofErr w:type="gramStart"/>
      <w:r w:rsidRPr="00375F2A">
        <w:rPr>
          <w:rFonts w:cs="Arial"/>
          <w:bCs/>
          <w:szCs w:val="20"/>
        </w:rPr>
        <w:t>all of</w:t>
      </w:r>
      <w:proofErr w:type="gramEnd"/>
      <w:r w:rsidRPr="00375F2A">
        <w:rPr>
          <w:rFonts w:cs="Arial"/>
          <w:bCs/>
          <w:szCs w:val="20"/>
        </w:rPr>
        <w:t xml:space="preserve"> the following:</w:t>
      </w:r>
    </w:p>
    <w:p w14:paraId="59CEF992" w14:textId="77777777" w:rsidR="00C90F7B" w:rsidRPr="00375F2A" w:rsidRDefault="00C90F7B" w:rsidP="00C90F7B">
      <w:pPr>
        <w:pStyle w:val="ListParagraph"/>
        <w:numPr>
          <w:ilvl w:val="3"/>
          <w:numId w:val="18"/>
        </w:numPr>
        <w:rPr>
          <w:rFonts w:cs="Arial"/>
          <w:bCs/>
          <w:szCs w:val="20"/>
        </w:rPr>
      </w:pPr>
      <w:r w:rsidRPr="00375F2A">
        <w:rPr>
          <w:rFonts w:cs="Arial"/>
          <w:bCs/>
          <w:szCs w:val="20"/>
        </w:rPr>
        <w:t>Documented diagnosis of clinically significant extravascular hemolysis in the setting of PNH, defined by:</w:t>
      </w:r>
    </w:p>
    <w:p w14:paraId="74492D41" w14:textId="77777777" w:rsidR="00C90F7B" w:rsidRPr="00375F2A" w:rsidRDefault="00C90F7B" w:rsidP="00C90F7B">
      <w:pPr>
        <w:pStyle w:val="ListParagraph"/>
        <w:numPr>
          <w:ilvl w:val="4"/>
          <w:numId w:val="18"/>
        </w:numPr>
        <w:rPr>
          <w:rFonts w:cs="Arial"/>
          <w:bCs/>
          <w:szCs w:val="20"/>
        </w:rPr>
      </w:pPr>
      <w:r w:rsidRPr="00375F2A">
        <w:rPr>
          <w:rFonts w:cs="Arial"/>
          <w:bCs/>
          <w:szCs w:val="20"/>
        </w:rPr>
        <w:t xml:space="preserve">Hemoglobin ≤ 9.5 g/dL with absolute reticulocyte count ≥ 120 × 109 /L; </w:t>
      </w:r>
      <w:r w:rsidRPr="00375F2A">
        <w:rPr>
          <w:rFonts w:cs="Arial"/>
          <w:b/>
          <w:szCs w:val="20"/>
        </w:rPr>
        <w:t>AND</w:t>
      </w:r>
    </w:p>
    <w:p w14:paraId="365A00F0" w14:textId="77777777" w:rsidR="00C90F7B" w:rsidRPr="00375F2A" w:rsidRDefault="00C90F7B" w:rsidP="00C90F7B">
      <w:pPr>
        <w:pStyle w:val="ListParagraph"/>
        <w:numPr>
          <w:ilvl w:val="4"/>
          <w:numId w:val="18"/>
        </w:numPr>
        <w:rPr>
          <w:rFonts w:cs="Arial"/>
          <w:bCs/>
          <w:szCs w:val="20"/>
        </w:rPr>
      </w:pPr>
      <w:r w:rsidRPr="00375F2A">
        <w:rPr>
          <w:rFonts w:cs="Arial"/>
          <w:bCs/>
          <w:szCs w:val="20"/>
        </w:rPr>
        <w:t xml:space="preserve">Participant must be on a stable dose of eculizumab or Ultomiris for the previous 6 months and continuing therapy while on Voydeya; </w:t>
      </w:r>
      <w:r w:rsidRPr="00375F2A">
        <w:rPr>
          <w:rFonts w:cs="Arial"/>
          <w:b/>
          <w:szCs w:val="20"/>
        </w:rPr>
        <w:t>AND</w:t>
      </w:r>
    </w:p>
    <w:p w14:paraId="35E2C770" w14:textId="77777777" w:rsidR="00C90F7B" w:rsidRPr="00375F2A" w:rsidRDefault="00C90F7B" w:rsidP="00C90F7B">
      <w:pPr>
        <w:pStyle w:val="ListParagraph"/>
        <w:numPr>
          <w:ilvl w:val="3"/>
          <w:numId w:val="18"/>
        </w:numPr>
        <w:rPr>
          <w:rFonts w:cs="Arial"/>
          <w:bCs/>
          <w:szCs w:val="20"/>
        </w:rPr>
      </w:pPr>
      <w:r w:rsidRPr="00375F2A">
        <w:rPr>
          <w:rFonts w:cs="Arial"/>
          <w:bCs/>
          <w:szCs w:val="20"/>
        </w:rPr>
        <w:t>Documentation of baseline liver function tests.</w:t>
      </w:r>
    </w:p>
    <w:p w14:paraId="411A287A" w14:textId="77777777" w:rsidR="00BE4F6F" w:rsidRDefault="00BE4F6F" w:rsidP="00BE4F6F">
      <w:pPr>
        <w:pStyle w:val="ListParagraph"/>
        <w:numPr>
          <w:ilvl w:val="0"/>
          <w:numId w:val="0"/>
        </w:numPr>
        <w:ind w:left="360"/>
        <w:rPr>
          <w:rFonts w:cs="Arial"/>
          <w:bCs/>
          <w:szCs w:val="20"/>
        </w:rPr>
      </w:pPr>
    </w:p>
    <w:p w14:paraId="5809DBC4" w14:textId="21226F72" w:rsidR="00C90F7B" w:rsidRDefault="00C90F7B" w:rsidP="00C90F7B">
      <w:pPr>
        <w:pStyle w:val="ListParagraph"/>
        <w:numPr>
          <w:ilvl w:val="0"/>
          <w:numId w:val="18"/>
        </w:numPr>
        <w:rPr>
          <w:rFonts w:cs="Arial"/>
          <w:bCs/>
          <w:szCs w:val="20"/>
        </w:rPr>
      </w:pPr>
      <w:r>
        <w:rPr>
          <w:rFonts w:cs="Arial"/>
          <w:bCs/>
          <w:szCs w:val="20"/>
        </w:rPr>
        <w:t>F</w:t>
      </w:r>
      <w:r w:rsidRPr="00A95344">
        <w:rPr>
          <w:rFonts w:cs="Arial"/>
          <w:bCs/>
          <w:szCs w:val="20"/>
        </w:rPr>
        <w:t>or a documented diagnosis of gMG</w:t>
      </w:r>
    </w:p>
    <w:p w14:paraId="0D40E45E" w14:textId="77777777" w:rsidR="00C90F7B" w:rsidRPr="00996A62" w:rsidRDefault="00C90F7B" w:rsidP="00C90F7B">
      <w:pPr>
        <w:pStyle w:val="ListParagraph"/>
        <w:numPr>
          <w:ilvl w:val="1"/>
          <w:numId w:val="18"/>
        </w:numPr>
        <w:rPr>
          <w:rFonts w:cs="Arial"/>
          <w:bCs/>
          <w:szCs w:val="20"/>
        </w:rPr>
      </w:pPr>
      <w:r>
        <w:rPr>
          <w:rFonts w:cs="Arial"/>
          <w:bCs/>
          <w:szCs w:val="20"/>
        </w:rPr>
        <w:t>M</w:t>
      </w:r>
      <w:r w:rsidRPr="00996A62">
        <w:rPr>
          <w:rFonts w:cs="Arial"/>
          <w:bCs/>
          <w:szCs w:val="20"/>
        </w:rPr>
        <w:t>ust meet one of the following:</w:t>
      </w:r>
    </w:p>
    <w:p w14:paraId="0D85AEC9" w14:textId="77777777" w:rsidR="00C90F7B" w:rsidRPr="00996A62" w:rsidRDefault="00C90F7B" w:rsidP="00C90F7B">
      <w:pPr>
        <w:pStyle w:val="ListParagraph"/>
        <w:numPr>
          <w:ilvl w:val="2"/>
          <w:numId w:val="18"/>
        </w:numPr>
        <w:rPr>
          <w:rFonts w:cs="Arial"/>
          <w:bCs/>
          <w:szCs w:val="20"/>
        </w:rPr>
      </w:pPr>
      <w:r w:rsidRPr="00996A62">
        <w:rPr>
          <w:rFonts w:cs="Arial"/>
          <w:bCs/>
          <w:szCs w:val="20"/>
        </w:rPr>
        <w:t>Claim is for a preferred agent;</w:t>
      </w:r>
    </w:p>
    <w:p w14:paraId="5C8F172E" w14:textId="77777777" w:rsidR="00C90F7B" w:rsidRDefault="00C90F7B" w:rsidP="00C90F7B">
      <w:pPr>
        <w:pStyle w:val="ListParagraph"/>
        <w:numPr>
          <w:ilvl w:val="2"/>
          <w:numId w:val="18"/>
        </w:numPr>
        <w:rPr>
          <w:rFonts w:cs="Arial"/>
          <w:bCs/>
          <w:szCs w:val="20"/>
        </w:rPr>
      </w:pPr>
      <w:r w:rsidRPr="00996A62">
        <w:rPr>
          <w:rFonts w:cs="Arial"/>
          <w:bCs/>
          <w:szCs w:val="20"/>
        </w:rPr>
        <w:t>Documented compliance on current therapy regimen;</w:t>
      </w:r>
    </w:p>
    <w:p w14:paraId="78792875" w14:textId="77777777" w:rsidR="00C90F7B" w:rsidRPr="00473DE2" w:rsidRDefault="00C90F7B" w:rsidP="00C90F7B">
      <w:pPr>
        <w:pStyle w:val="ListParagraph"/>
        <w:numPr>
          <w:ilvl w:val="2"/>
          <w:numId w:val="18"/>
        </w:numPr>
        <w:rPr>
          <w:rFonts w:cs="Arial"/>
          <w:b/>
          <w:strike/>
          <w:color w:val="1F497D" w:themeColor="text2"/>
          <w:szCs w:val="20"/>
        </w:rPr>
      </w:pPr>
      <w:r w:rsidRPr="00473DE2">
        <w:rPr>
          <w:rFonts w:cs="Arial"/>
          <w:b/>
          <w:strike/>
          <w:color w:val="1F497D" w:themeColor="text2"/>
          <w:szCs w:val="20"/>
        </w:rPr>
        <w:t>Participant is greater than 6 years of age and less than 18 years of age and claim is for eculizumab; OR</w:t>
      </w:r>
    </w:p>
    <w:p w14:paraId="5B120E28" w14:textId="77777777" w:rsidR="00C90F7B" w:rsidRPr="00996A62" w:rsidRDefault="00C90F7B" w:rsidP="00C90F7B">
      <w:pPr>
        <w:pStyle w:val="ListParagraph"/>
        <w:numPr>
          <w:ilvl w:val="2"/>
          <w:numId w:val="18"/>
        </w:numPr>
        <w:rPr>
          <w:rFonts w:cs="Arial"/>
          <w:bCs/>
          <w:szCs w:val="20"/>
        </w:rPr>
      </w:pPr>
      <w:r w:rsidRPr="00996A62">
        <w:rPr>
          <w:rFonts w:cs="Arial"/>
          <w:bCs/>
          <w:szCs w:val="20"/>
        </w:rPr>
        <w:t>Failure to achieve desired therapeutic outcomes with trial on 1 or more preferred agents:</w:t>
      </w:r>
    </w:p>
    <w:p w14:paraId="5EB605E5" w14:textId="77777777" w:rsidR="00C90F7B" w:rsidRPr="00996A62" w:rsidRDefault="00C90F7B" w:rsidP="00C90F7B">
      <w:pPr>
        <w:pStyle w:val="ListParagraph"/>
        <w:numPr>
          <w:ilvl w:val="3"/>
          <w:numId w:val="18"/>
        </w:numPr>
        <w:rPr>
          <w:rFonts w:cs="Arial"/>
          <w:bCs/>
          <w:szCs w:val="20"/>
        </w:rPr>
      </w:pPr>
      <w:r w:rsidRPr="00996A62">
        <w:rPr>
          <w:rFonts w:cs="Arial"/>
          <w:bCs/>
          <w:szCs w:val="20"/>
        </w:rPr>
        <w:t xml:space="preserve">Documented trial period for preferred agents; </w:t>
      </w:r>
      <w:r w:rsidRPr="00996A62">
        <w:rPr>
          <w:rFonts w:cs="Arial"/>
          <w:b/>
          <w:szCs w:val="20"/>
        </w:rPr>
        <w:t>OR</w:t>
      </w:r>
    </w:p>
    <w:p w14:paraId="080D1B94" w14:textId="77777777" w:rsidR="00C90F7B" w:rsidRPr="00A95344" w:rsidRDefault="00C90F7B" w:rsidP="00C90F7B">
      <w:pPr>
        <w:pStyle w:val="ListParagraph"/>
        <w:numPr>
          <w:ilvl w:val="3"/>
          <w:numId w:val="18"/>
        </w:numPr>
        <w:rPr>
          <w:rFonts w:cs="Arial"/>
          <w:bCs/>
          <w:szCs w:val="20"/>
        </w:rPr>
      </w:pPr>
      <w:r w:rsidRPr="00996A62">
        <w:rPr>
          <w:rFonts w:cs="Arial"/>
          <w:bCs/>
          <w:szCs w:val="20"/>
        </w:rPr>
        <w:t>Documented ADE/ADR to preferred agents</w:t>
      </w:r>
      <w:r>
        <w:rPr>
          <w:rFonts w:cs="Arial"/>
          <w:bCs/>
          <w:szCs w:val="20"/>
        </w:rPr>
        <w:t xml:space="preserve">; </w:t>
      </w:r>
      <w:r w:rsidRPr="007166E9">
        <w:rPr>
          <w:rFonts w:cs="Arial"/>
          <w:b/>
          <w:szCs w:val="20"/>
        </w:rPr>
        <w:t>AND</w:t>
      </w:r>
    </w:p>
    <w:p w14:paraId="79E7BA21" w14:textId="77777777" w:rsidR="00C90F7B" w:rsidRDefault="00C90F7B" w:rsidP="00C90F7B">
      <w:pPr>
        <w:pStyle w:val="ListParagraph"/>
        <w:numPr>
          <w:ilvl w:val="1"/>
          <w:numId w:val="18"/>
        </w:numPr>
        <w:rPr>
          <w:rFonts w:cs="Arial"/>
          <w:bCs/>
          <w:szCs w:val="20"/>
        </w:rPr>
      </w:pPr>
      <w:r>
        <w:rPr>
          <w:rFonts w:cs="Arial"/>
          <w:bCs/>
          <w:szCs w:val="20"/>
        </w:rPr>
        <w:t>Must meet all of the following:</w:t>
      </w:r>
    </w:p>
    <w:p w14:paraId="49DC7B20" w14:textId="77777777" w:rsidR="00C90F7B" w:rsidRPr="00BC1045" w:rsidRDefault="00C90F7B" w:rsidP="00C90F7B">
      <w:pPr>
        <w:pStyle w:val="ListParagraph"/>
        <w:numPr>
          <w:ilvl w:val="3"/>
          <w:numId w:val="18"/>
        </w:numPr>
        <w:rPr>
          <w:rFonts w:cs="Arial"/>
          <w:bCs/>
          <w:szCs w:val="20"/>
        </w:rPr>
      </w:pPr>
      <w:r>
        <w:rPr>
          <w:rFonts w:cs="Arial"/>
          <w:bCs/>
          <w:szCs w:val="20"/>
        </w:rPr>
        <w:t>Claim is for eculizumab, Ultomiris, or Zilbrysq;</w:t>
      </w:r>
    </w:p>
    <w:p w14:paraId="2A6C4D46" w14:textId="77777777" w:rsidR="00C90F7B" w:rsidRPr="00904742" w:rsidRDefault="00C90F7B" w:rsidP="00C90F7B">
      <w:pPr>
        <w:pStyle w:val="ListParagraph"/>
        <w:numPr>
          <w:ilvl w:val="3"/>
          <w:numId w:val="18"/>
        </w:numPr>
        <w:rPr>
          <w:rFonts w:cs="Arial"/>
          <w:bCs/>
          <w:szCs w:val="20"/>
        </w:rPr>
      </w:pPr>
      <w:r>
        <w:rPr>
          <w:rFonts w:cs="Arial"/>
          <w:bCs/>
          <w:szCs w:val="20"/>
        </w:rPr>
        <w:t>Myasthenia Gravis Foundation of America clinical classification of class II, III, or IV;</w:t>
      </w:r>
    </w:p>
    <w:p w14:paraId="17DD3752" w14:textId="77777777" w:rsidR="00C90F7B" w:rsidRDefault="00C90F7B" w:rsidP="00C90F7B">
      <w:pPr>
        <w:pStyle w:val="ListParagraph"/>
        <w:numPr>
          <w:ilvl w:val="3"/>
          <w:numId w:val="18"/>
        </w:numPr>
        <w:rPr>
          <w:rFonts w:cs="Arial"/>
          <w:bCs/>
          <w:szCs w:val="20"/>
        </w:rPr>
      </w:pPr>
      <w:r>
        <w:rPr>
          <w:rFonts w:cs="Arial"/>
          <w:bCs/>
          <w:szCs w:val="20"/>
        </w:rPr>
        <w:t>Documented positive anti-acetylcholine receptor (AchR) antibody test;</w:t>
      </w:r>
    </w:p>
    <w:p w14:paraId="4BB50ED5" w14:textId="669FDF02" w:rsidR="00B56A16" w:rsidRPr="00D33078" w:rsidRDefault="00B56A16" w:rsidP="00D33078">
      <w:pPr>
        <w:pStyle w:val="ListParagraph"/>
        <w:numPr>
          <w:ilvl w:val="3"/>
          <w:numId w:val="18"/>
        </w:numPr>
        <w:rPr>
          <w:rFonts w:cs="Arial"/>
          <w:b/>
          <w:color w:val="1F497D" w:themeColor="text2"/>
          <w:szCs w:val="20"/>
        </w:rPr>
      </w:pPr>
      <w:r w:rsidRPr="00A33BDA">
        <w:rPr>
          <w:rFonts w:cs="Arial"/>
          <w:b/>
          <w:color w:val="1F497D" w:themeColor="text2"/>
          <w:szCs w:val="20"/>
        </w:rPr>
        <w:t>Documented therapeutic trial of Uplizna;</w:t>
      </w:r>
      <w:r w:rsidR="00D33078" w:rsidRPr="00A33BDA">
        <w:rPr>
          <w:color w:val="1F497D" w:themeColor="text2"/>
        </w:rPr>
        <w:t xml:space="preserve"> </w:t>
      </w:r>
      <w:r w:rsidR="00D33078" w:rsidRPr="00A33BDA">
        <w:rPr>
          <w:rFonts w:cs="Arial"/>
          <w:b/>
          <w:color w:val="1F497D" w:themeColor="text2"/>
          <w:szCs w:val="20"/>
        </w:rPr>
        <w:t xml:space="preserve">criteria for Uplizna can be found in the TIMs, Generalized Myasthenia Gravis (gMG) Agents PDL Edit located here </w:t>
      </w:r>
      <w:hyperlink r:id="rId11" w:tooltip="Pharmacy Clinical Edits and Preferred Drug Lists | mydss.mo.gov." w:history="1">
        <w:r w:rsidR="00D33078" w:rsidRPr="00DC02DB">
          <w:rPr>
            <w:rStyle w:val="Hyperlink"/>
            <w:rFonts w:cs="Arial"/>
            <w:b/>
            <w:szCs w:val="20"/>
          </w:rPr>
          <w:t>Pharmacy Clinical Edits and Preferred Drug Lists | mydss.mo.gov.</w:t>
        </w:r>
      </w:hyperlink>
    </w:p>
    <w:p w14:paraId="1CA003CE" w14:textId="77777777" w:rsidR="00C90F7B" w:rsidRPr="003573E7" w:rsidRDefault="00C90F7B" w:rsidP="00C90F7B">
      <w:pPr>
        <w:pStyle w:val="ListParagraph"/>
        <w:numPr>
          <w:ilvl w:val="3"/>
          <w:numId w:val="18"/>
        </w:numPr>
        <w:rPr>
          <w:rFonts w:cs="Arial"/>
          <w:b/>
          <w:strike/>
          <w:color w:val="1F497D" w:themeColor="text2"/>
          <w:szCs w:val="20"/>
        </w:rPr>
      </w:pPr>
      <w:r w:rsidRPr="003573E7">
        <w:rPr>
          <w:rFonts w:cs="Arial"/>
          <w:b/>
          <w:strike/>
          <w:color w:val="1F497D" w:themeColor="text2"/>
          <w:szCs w:val="20"/>
        </w:rPr>
        <w:lastRenderedPageBreak/>
        <w:t>Adequate therapeutic trial of 2 immunosuppressants (e.g., glucocorticoids, azathioprine, mycophenolate, tacrolimus, cyclosporine, methotrexate) (90/120 days); AND</w:t>
      </w:r>
    </w:p>
    <w:p w14:paraId="41BEC676" w14:textId="77777777" w:rsidR="00C90F7B" w:rsidRPr="00A704BC" w:rsidRDefault="00C90F7B" w:rsidP="00C90F7B">
      <w:pPr>
        <w:pStyle w:val="ListParagraph"/>
        <w:numPr>
          <w:ilvl w:val="3"/>
          <w:numId w:val="18"/>
        </w:numPr>
        <w:rPr>
          <w:rFonts w:cs="Arial"/>
          <w:bCs/>
          <w:szCs w:val="20"/>
        </w:rPr>
      </w:pPr>
      <w:r w:rsidRPr="00A704BC">
        <w:rPr>
          <w:rFonts w:cs="Arial"/>
          <w:bCs/>
          <w:szCs w:val="20"/>
        </w:rPr>
        <w:t>Documented baseline Myasthenia Gravis-Activities of Daily Living Score (MG-ADL) greater than or equal to 6</w:t>
      </w:r>
      <w:r>
        <w:rPr>
          <w:rFonts w:cs="Arial"/>
          <w:bCs/>
          <w:szCs w:val="20"/>
        </w:rPr>
        <w:t xml:space="preserve"> or </w:t>
      </w:r>
      <w:r w:rsidRPr="00A704BC">
        <w:rPr>
          <w:rFonts w:cs="Arial"/>
          <w:bCs/>
          <w:szCs w:val="20"/>
        </w:rPr>
        <w:t>Documented baseline Quantitative Myasthenia Gravis (QMG) score of greater than or equal to 12</w:t>
      </w:r>
      <w:r>
        <w:rPr>
          <w:rFonts w:cs="Arial"/>
          <w:bCs/>
          <w:szCs w:val="20"/>
        </w:rPr>
        <w:t>.</w:t>
      </w:r>
    </w:p>
    <w:p w14:paraId="6B16729B" w14:textId="77777777" w:rsidR="007571EB" w:rsidRDefault="007571EB" w:rsidP="007571EB">
      <w:pPr>
        <w:pStyle w:val="ListParagraph"/>
        <w:numPr>
          <w:ilvl w:val="0"/>
          <w:numId w:val="0"/>
        </w:numPr>
        <w:ind w:left="360"/>
        <w:rPr>
          <w:rFonts w:cs="Arial"/>
          <w:bCs/>
          <w:szCs w:val="20"/>
        </w:rPr>
      </w:pPr>
    </w:p>
    <w:p w14:paraId="4ED0616D" w14:textId="0A8D5584" w:rsidR="00C90F7B" w:rsidRDefault="00C90F7B" w:rsidP="00C90F7B">
      <w:pPr>
        <w:pStyle w:val="ListParagraph"/>
        <w:numPr>
          <w:ilvl w:val="0"/>
          <w:numId w:val="18"/>
        </w:numPr>
        <w:rPr>
          <w:rFonts w:cs="Arial"/>
          <w:bCs/>
          <w:szCs w:val="20"/>
        </w:rPr>
      </w:pPr>
      <w:r w:rsidRPr="00996A62">
        <w:rPr>
          <w:rFonts w:cs="Arial"/>
          <w:bCs/>
          <w:szCs w:val="20"/>
        </w:rPr>
        <w:t>For a documented diagnosis</w:t>
      </w:r>
      <w:r>
        <w:rPr>
          <w:rFonts w:cs="Arial"/>
          <w:bCs/>
          <w:szCs w:val="20"/>
        </w:rPr>
        <w:t xml:space="preserve"> of</w:t>
      </w:r>
      <w:r w:rsidRPr="00996A62">
        <w:rPr>
          <w:rFonts w:cs="Arial"/>
          <w:bCs/>
          <w:szCs w:val="20"/>
        </w:rPr>
        <w:t xml:space="preserve"> NMOSD</w:t>
      </w:r>
    </w:p>
    <w:p w14:paraId="2B367428" w14:textId="77777777" w:rsidR="00C90F7B" w:rsidRPr="00996A62" w:rsidRDefault="00C90F7B" w:rsidP="00C90F7B">
      <w:pPr>
        <w:pStyle w:val="ListParagraph"/>
        <w:numPr>
          <w:ilvl w:val="1"/>
          <w:numId w:val="18"/>
        </w:numPr>
        <w:rPr>
          <w:rFonts w:cs="Arial"/>
          <w:bCs/>
          <w:szCs w:val="20"/>
        </w:rPr>
      </w:pPr>
      <w:r>
        <w:rPr>
          <w:rFonts w:cs="Arial"/>
          <w:bCs/>
          <w:szCs w:val="20"/>
        </w:rPr>
        <w:t>Must meet one of the following:</w:t>
      </w:r>
    </w:p>
    <w:p w14:paraId="6312E909" w14:textId="77777777" w:rsidR="00C90F7B" w:rsidRPr="00996A62" w:rsidRDefault="00C90F7B" w:rsidP="00C90F7B">
      <w:pPr>
        <w:pStyle w:val="ListParagraph"/>
        <w:numPr>
          <w:ilvl w:val="2"/>
          <w:numId w:val="18"/>
        </w:numPr>
        <w:rPr>
          <w:rFonts w:cs="Arial"/>
          <w:bCs/>
          <w:szCs w:val="20"/>
        </w:rPr>
      </w:pPr>
      <w:r w:rsidRPr="00996A62">
        <w:rPr>
          <w:rFonts w:cs="Arial"/>
          <w:bCs/>
          <w:szCs w:val="20"/>
        </w:rPr>
        <w:t>Claim is for a preferred agent;</w:t>
      </w:r>
    </w:p>
    <w:p w14:paraId="6782FB8C" w14:textId="77777777" w:rsidR="00C90F7B" w:rsidRPr="00996A62" w:rsidRDefault="00C90F7B" w:rsidP="00C90F7B">
      <w:pPr>
        <w:pStyle w:val="ListParagraph"/>
        <w:numPr>
          <w:ilvl w:val="2"/>
          <w:numId w:val="18"/>
        </w:numPr>
        <w:rPr>
          <w:rFonts w:cs="Arial"/>
          <w:bCs/>
          <w:szCs w:val="20"/>
        </w:rPr>
      </w:pPr>
      <w:r w:rsidRPr="00996A62">
        <w:rPr>
          <w:rFonts w:cs="Arial"/>
          <w:bCs/>
          <w:szCs w:val="20"/>
        </w:rPr>
        <w:t xml:space="preserve">Documented compliance on current therapy regimen; </w:t>
      </w:r>
      <w:r w:rsidRPr="00996A62">
        <w:rPr>
          <w:rFonts w:cs="Arial"/>
          <w:b/>
          <w:szCs w:val="20"/>
        </w:rPr>
        <w:t>OR</w:t>
      </w:r>
    </w:p>
    <w:p w14:paraId="26F91EAD" w14:textId="77777777" w:rsidR="00C90F7B" w:rsidRPr="00996A62" w:rsidRDefault="00C90F7B" w:rsidP="00C90F7B">
      <w:pPr>
        <w:pStyle w:val="ListParagraph"/>
        <w:numPr>
          <w:ilvl w:val="2"/>
          <w:numId w:val="18"/>
        </w:numPr>
        <w:rPr>
          <w:rFonts w:cs="Arial"/>
          <w:bCs/>
          <w:szCs w:val="20"/>
        </w:rPr>
      </w:pPr>
      <w:r w:rsidRPr="00996A62">
        <w:rPr>
          <w:rFonts w:cs="Arial"/>
          <w:bCs/>
          <w:szCs w:val="20"/>
        </w:rPr>
        <w:t>Failure to achieve desired therapeutic outcomes with trial on 1 or more preferred agents:</w:t>
      </w:r>
    </w:p>
    <w:p w14:paraId="3E1A8D24" w14:textId="77777777" w:rsidR="00C90F7B" w:rsidRPr="00996A62" w:rsidRDefault="00C90F7B" w:rsidP="00C90F7B">
      <w:pPr>
        <w:pStyle w:val="ListParagraph"/>
        <w:numPr>
          <w:ilvl w:val="3"/>
          <w:numId w:val="18"/>
        </w:numPr>
        <w:rPr>
          <w:rFonts w:cs="Arial"/>
          <w:bCs/>
          <w:szCs w:val="20"/>
        </w:rPr>
      </w:pPr>
      <w:r w:rsidRPr="00996A62">
        <w:rPr>
          <w:rFonts w:cs="Arial"/>
          <w:bCs/>
          <w:szCs w:val="20"/>
        </w:rPr>
        <w:t xml:space="preserve">Documented trial period for preferred agents; </w:t>
      </w:r>
      <w:r w:rsidRPr="00996A62">
        <w:rPr>
          <w:rFonts w:cs="Arial"/>
          <w:b/>
          <w:szCs w:val="20"/>
        </w:rPr>
        <w:t>OR</w:t>
      </w:r>
    </w:p>
    <w:p w14:paraId="1BA5840F" w14:textId="77777777" w:rsidR="00C90F7B" w:rsidRPr="00F37079" w:rsidRDefault="00C90F7B" w:rsidP="00C90F7B">
      <w:pPr>
        <w:pStyle w:val="ListParagraph"/>
        <w:numPr>
          <w:ilvl w:val="3"/>
          <w:numId w:val="18"/>
        </w:numPr>
        <w:rPr>
          <w:rFonts w:cs="Arial"/>
          <w:bCs/>
          <w:szCs w:val="20"/>
        </w:rPr>
      </w:pPr>
      <w:r w:rsidRPr="00996A62">
        <w:rPr>
          <w:rFonts w:cs="Arial"/>
          <w:bCs/>
          <w:szCs w:val="20"/>
        </w:rPr>
        <w:t>Documented ADE/ADR to preferred agents</w:t>
      </w:r>
      <w:r>
        <w:rPr>
          <w:rFonts w:cs="Arial"/>
          <w:bCs/>
          <w:szCs w:val="20"/>
        </w:rPr>
        <w:t xml:space="preserve">; </w:t>
      </w:r>
      <w:r w:rsidRPr="00903A29">
        <w:rPr>
          <w:rFonts w:cs="Arial"/>
          <w:b/>
          <w:szCs w:val="20"/>
        </w:rPr>
        <w:t>AND</w:t>
      </w:r>
    </w:p>
    <w:p w14:paraId="37C7EF18" w14:textId="77777777" w:rsidR="00C90F7B" w:rsidRPr="00591B25" w:rsidRDefault="00C90F7B" w:rsidP="00C90F7B">
      <w:pPr>
        <w:pStyle w:val="ListParagraph"/>
        <w:numPr>
          <w:ilvl w:val="1"/>
          <w:numId w:val="18"/>
        </w:numPr>
        <w:rPr>
          <w:rFonts w:cs="Arial"/>
          <w:bCs/>
          <w:szCs w:val="20"/>
        </w:rPr>
      </w:pPr>
      <w:r>
        <w:rPr>
          <w:rFonts w:cs="Arial"/>
          <w:bCs/>
          <w:szCs w:val="20"/>
        </w:rPr>
        <w:t>Must meet all of the following:</w:t>
      </w:r>
    </w:p>
    <w:p w14:paraId="0C2C35AD" w14:textId="77777777" w:rsidR="00C90F7B" w:rsidRDefault="00C90F7B" w:rsidP="00C90F7B">
      <w:pPr>
        <w:pStyle w:val="ListParagraph"/>
        <w:numPr>
          <w:ilvl w:val="2"/>
          <w:numId w:val="18"/>
        </w:numPr>
        <w:rPr>
          <w:rFonts w:cs="Arial"/>
          <w:bCs/>
          <w:szCs w:val="20"/>
        </w:rPr>
      </w:pPr>
      <w:r w:rsidRPr="002D2F13">
        <w:rPr>
          <w:rFonts w:cs="Arial"/>
          <w:bCs/>
          <w:szCs w:val="20"/>
        </w:rPr>
        <w:t>Claim is for</w:t>
      </w:r>
      <w:r>
        <w:rPr>
          <w:rFonts w:cs="Arial"/>
          <w:bCs/>
          <w:szCs w:val="20"/>
        </w:rPr>
        <w:t xml:space="preserve"> eculizumab or Ultomiris;</w:t>
      </w:r>
    </w:p>
    <w:p w14:paraId="1713EC0A" w14:textId="77777777" w:rsidR="00C90F7B" w:rsidRDefault="00C90F7B" w:rsidP="00C90F7B">
      <w:pPr>
        <w:pStyle w:val="ListParagraph"/>
        <w:numPr>
          <w:ilvl w:val="2"/>
          <w:numId w:val="18"/>
        </w:numPr>
        <w:rPr>
          <w:rFonts w:cs="Arial"/>
          <w:bCs/>
          <w:szCs w:val="20"/>
        </w:rPr>
      </w:pPr>
      <w:r>
        <w:rPr>
          <w:rFonts w:cs="Arial"/>
          <w:bCs/>
          <w:szCs w:val="20"/>
        </w:rPr>
        <w:t>Participant is seropositive for anti-aquaporin-4 (AQP4) antibodies;</w:t>
      </w:r>
    </w:p>
    <w:p w14:paraId="72530C54" w14:textId="77777777" w:rsidR="00C90F7B" w:rsidRPr="00EE5E00" w:rsidRDefault="00C90F7B" w:rsidP="00C90F7B">
      <w:pPr>
        <w:pStyle w:val="ListParagraph"/>
        <w:numPr>
          <w:ilvl w:val="2"/>
          <w:numId w:val="18"/>
        </w:numPr>
        <w:rPr>
          <w:rFonts w:cs="Arial"/>
          <w:bCs/>
          <w:szCs w:val="20"/>
        </w:rPr>
      </w:pPr>
      <w:r>
        <w:rPr>
          <w:rFonts w:cs="Arial"/>
          <w:bCs/>
          <w:szCs w:val="20"/>
        </w:rPr>
        <w:t xml:space="preserve">Documented baseline number and frequency of acute attacks; </w:t>
      </w:r>
      <w:r w:rsidRPr="00EE5E00">
        <w:rPr>
          <w:rFonts w:cs="Arial"/>
          <w:b/>
          <w:szCs w:val="20"/>
        </w:rPr>
        <w:t>AND</w:t>
      </w:r>
    </w:p>
    <w:p w14:paraId="770CE467" w14:textId="5D8251B9" w:rsidR="00C90F7B" w:rsidRPr="0014411B" w:rsidRDefault="00C90F7B" w:rsidP="00C90F7B">
      <w:pPr>
        <w:pStyle w:val="ListParagraph"/>
        <w:numPr>
          <w:ilvl w:val="2"/>
          <w:numId w:val="18"/>
        </w:numPr>
        <w:rPr>
          <w:rFonts w:cs="Arial"/>
          <w:b/>
          <w:color w:val="1F497D" w:themeColor="text2"/>
          <w:szCs w:val="20"/>
        </w:rPr>
      </w:pPr>
      <w:r w:rsidRPr="002D2F13">
        <w:rPr>
          <w:rFonts w:cs="Arial"/>
          <w:bCs/>
          <w:szCs w:val="20"/>
        </w:rPr>
        <w:t>Documented adequate therapeutic trial of Enspryng and Uplizna (trial defined as at least 6 months of therapy for each agent</w:t>
      </w:r>
      <w:r w:rsidR="000275B4">
        <w:rPr>
          <w:rFonts w:cs="Arial"/>
          <w:bCs/>
          <w:szCs w:val="20"/>
        </w:rPr>
        <w:t>)</w:t>
      </w:r>
      <w:r>
        <w:rPr>
          <w:rFonts w:cs="Arial"/>
          <w:bCs/>
          <w:szCs w:val="20"/>
        </w:rPr>
        <w:t xml:space="preserve">; </w:t>
      </w:r>
      <w:r w:rsidR="00785C93" w:rsidRPr="0014411B">
        <w:rPr>
          <w:rFonts w:cs="Arial"/>
          <w:b/>
          <w:color w:val="1F497D" w:themeColor="text2"/>
          <w:szCs w:val="20"/>
        </w:rPr>
        <w:t xml:space="preserve">criteria for Enspryng </w:t>
      </w:r>
      <w:r w:rsidR="006532F1" w:rsidRPr="0014411B">
        <w:rPr>
          <w:rFonts w:cs="Arial"/>
          <w:b/>
          <w:color w:val="1F497D" w:themeColor="text2"/>
          <w:szCs w:val="20"/>
        </w:rPr>
        <w:t>can be found in the</w:t>
      </w:r>
      <w:r w:rsidR="006532F1" w:rsidRPr="0014411B">
        <w:rPr>
          <w:b/>
          <w:color w:val="1F497D" w:themeColor="text2"/>
        </w:rPr>
        <w:t xml:space="preserve"> </w:t>
      </w:r>
      <w:r w:rsidR="006532F1" w:rsidRPr="0014411B">
        <w:rPr>
          <w:rFonts w:cs="Arial"/>
          <w:b/>
          <w:color w:val="1F497D" w:themeColor="text2"/>
          <w:szCs w:val="20"/>
        </w:rPr>
        <w:t xml:space="preserve">TIMs, Interleukin (IL)-6 Receptor Inhibitors PDL Edit </w:t>
      </w:r>
      <w:r w:rsidR="00785C93" w:rsidRPr="0014411B">
        <w:rPr>
          <w:rFonts w:cs="Arial"/>
          <w:b/>
          <w:color w:val="1F497D" w:themeColor="text2"/>
          <w:szCs w:val="20"/>
        </w:rPr>
        <w:t xml:space="preserve">and </w:t>
      </w:r>
      <w:r w:rsidR="0014411B" w:rsidRPr="0014411B">
        <w:rPr>
          <w:rFonts w:cs="Arial"/>
          <w:b/>
          <w:color w:val="1F497D" w:themeColor="text2"/>
          <w:szCs w:val="20"/>
        </w:rPr>
        <w:t xml:space="preserve">criteria for </w:t>
      </w:r>
      <w:r w:rsidR="00785C93" w:rsidRPr="0014411B">
        <w:rPr>
          <w:rFonts w:cs="Arial"/>
          <w:b/>
          <w:color w:val="1F497D" w:themeColor="text2"/>
          <w:szCs w:val="20"/>
        </w:rPr>
        <w:t>Uplizna can be found</w:t>
      </w:r>
      <w:r w:rsidR="00B8676B" w:rsidRPr="0014411B">
        <w:rPr>
          <w:rFonts w:cs="Arial"/>
          <w:b/>
          <w:color w:val="1F497D" w:themeColor="text2"/>
          <w:szCs w:val="20"/>
        </w:rPr>
        <w:t xml:space="preserve"> in the </w:t>
      </w:r>
      <w:r w:rsidR="00D148AD" w:rsidRPr="0014411B">
        <w:rPr>
          <w:rFonts w:cs="Arial"/>
          <w:b/>
          <w:color w:val="1F497D" w:themeColor="text2"/>
          <w:szCs w:val="20"/>
        </w:rPr>
        <w:t>TIMs, Generalized Myasthenia Gravis (gMG) Agents PDL Edit</w:t>
      </w:r>
      <w:r w:rsidR="006532F1" w:rsidRPr="0014411B">
        <w:rPr>
          <w:rFonts w:cs="Arial"/>
          <w:b/>
          <w:color w:val="1F497D" w:themeColor="text2"/>
          <w:szCs w:val="20"/>
        </w:rPr>
        <w:t>, both are</w:t>
      </w:r>
      <w:r w:rsidR="00D148AD" w:rsidRPr="0014411B">
        <w:rPr>
          <w:rFonts w:cs="Arial"/>
          <w:b/>
          <w:color w:val="1F497D" w:themeColor="text2"/>
          <w:szCs w:val="20"/>
        </w:rPr>
        <w:t xml:space="preserve"> </w:t>
      </w:r>
      <w:r w:rsidR="00B8676B" w:rsidRPr="0014411B">
        <w:rPr>
          <w:rFonts w:cs="Arial"/>
          <w:b/>
          <w:color w:val="1F497D" w:themeColor="text2"/>
          <w:szCs w:val="20"/>
        </w:rPr>
        <w:t xml:space="preserve">located here </w:t>
      </w:r>
      <w:hyperlink r:id="rId12" w:tooltip="Pharmacy Clinical Edits and Preferred Drug Lists | mydss.mo.gov" w:history="1">
        <w:r w:rsidR="00A7097D" w:rsidRPr="0014411B">
          <w:rPr>
            <w:rStyle w:val="Hyperlink"/>
            <w:rFonts w:cs="Arial"/>
            <w:b/>
            <w:color w:val="1F497D" w:themeColor="text2"/>
            <w:szCs w:val="20"/>
          </w:rPr>
          <w:t>Pharmacy Clinical Edits and Preferred Drug Lists | mydss.mo.gov</w:t>
        </w:r>
      </w:hyperlink>
      <w:r w:rsidR="00A7097D" w:rsidRPr="0014411B">
        <w:rPr>
          <w:b/>
          <w:color w:val="1F497D" w:themeColor="text2"/>
        </w:rPr>
        <w:t>.</w:t>
      </w:r>
    </w:p>
    <w:p w14:paraId="28897FDB" w14:textId="77777777" w:rsidR="003B5559" w:rsidRDefault="003B5559" w:rsidP="003B5559">
      <w:pPr>
        <w:pStyle w:val="ListParagraph"/>
        <w:numPr>
          <w:ilvl w:val="0"/>
          <w:numId w:val="0"/>
        </w:numPr>
        <w:ind w:left="360"/>
        <w:rPr>
          <w:rFonts w:cs="Arial"/>
          <w:bCs/>
          <w:szCs w:val="20"/>
        </w:rPr>
      </w:pPr>
    </w:p>
    <w:p w14:paraId="44A34738" w14:textId="7A083942" w:rsidR="00C90F7B" w:rsidRDefault="00C90F7B" w:rsidP="00C90F7B">
      <w:pPr>
        <w:pStyle w:val="ListParagraph"/>
        <w:numPr>
          <w:ilvl w:val="0"/>
          <w:numId w:val="18"/>
        </w:numPr>
        <w:rPr>
          <w:rFonts w:cs="Arial"/>
          <w:bCs/>
          <w:szCs w:val="20"/>
        </w:rPr>
      </w:pPr>
      <w:r w:rsidRPr="00996A62">
        <w:rPr>
          <w:rFonts w:cs="Arial"/>
          <w:bCs/>
          <w:szCs w:val="20"/>
        </w:rPr>
        <w:t>For a documented diagnosis</w:t>
      </w:r>
      <w:r>
        <w:rPr>
          <w:rFonts w:cs="Arial"/>
          <w:bCs/>
          <w:szCs w:val="20"/>
        </w:rPr>
        <w:t xml:space="preserve"> of</w:t>
      </w:r>
      <w:r w:rsidRPr="00996A62">
        <w:rPr>
          <w:rFonts w:cs="Arial"/>
          <w:bCs/>
          <w:szCs w:val="20"/>
        </w:rPr>
        <w:t xml:space="preserve"> </w:t>
      </w:r>
      <w:r>
        <w:rPr>
          <w:rFonts w:cs="Arial"/>
          <w:bCs/>
          <w:szCs w:val="20"/>
        </w:rPr>
        <w:t>aHUS</w:t>
      </w:r>
    </w:p>
    <w:p w14:paraId="46EFF64D" w14:textId="77777777" w:rsidR="00C90F7B" w:rsidRPr="00996A62" w:rsidRDefault="00C90F7B" w:rsidP="00C90F7B">
      <w:pPr>
        <w:pStyle w:val="ListParagraph"/>
        <w:numPr>
          <w:ilvl w:val="1"/>
          <w:numId w:val="18"/>
        </w:numPr>
        <w:rPr>
          <w:rFonts w:cs="Arial"/>
          <w:bCs/>
          <w:szCs w:val="20"/>
        </w:rPr>
      </w:pPr>
      <w:r>
        <w:rPr>
          <w:rFonts w:cs="Arial"/>
          <w:bCs/>
          <w:szCs w:val="20"/>
        </w:rPr>
        <w:t>Must meet one of the following:</w:t>
      </w:r>
    </w:p>
    <w:p w14:paraId="7EC8C255" w14:textId="77777777" w:rsidR="00C90F7B" w:rsidRPr="00996A62" w:rsidRDefault="00C90F7B" w:rsidP="00C90F7B">
      <w:pPr>
        <w:pStyle w:val="ListParagraph"/>
        <w:numPr>
          <w:ilvl w:val="2"/>
          <w:numId w:val="18"/>
        </w:numPr>
        <w:rPr>
          <w:rFonts w:cs="Arial"/>
          <w:bCs/>
          <w:szCs w:val="20"/>
        </w:rPr>
      </w:pPr>
      <w:r w:rsidRPr="00996A62">
        <w:rPr>
          <w:rFonts w:cs="Arial"/>
          <w:bCs/>
          <w:szCs w:val="20"/>
        </w:rPr>
        <w:t>Claim is for a preferred agent;</w:t>
      </w:r>
    </w:p>
    <w:p w14:paraId="76D43953" w14:textId="77777777" w:rsidR="00C90F7B" w:rsidRPr="00996A62" w:rsidRDefault="00C90F7B" w:rsidP="00C90F7B">
      <w:pPr>
        <w:pStyle w:val="ListParagraph"/>
        <w:numPr>
          <w:ilvl w:val="2"/>
          <w:numId w:val="18"/>
        </w:numPr>
        <w:rPr>
          <w:rFonts w:cs="Arial"/>
          <w:bCs/>
          <w:szCs w:val="20"/>
        </w:rPr>
      </w:pPr>
      <w:r w:rsidRPr="00996A62">
        <w:rPr>
          <w:rFonts w:cs="Arial"/>
          <w:bCs/>
          <w:szCs w:val="20"/>
        </w:rPr>
        <w:t xml:space="preserve">Documented compliance on current therapy regimen; </w:t>
      </w:r>
      <w:r w:rsidRPr="00996A62">
        <w:rPr>
          <w:rFonts w:cs="Arial"/>
          <w:b/>
          <w:szCs w:val="20"/>
        </w:rPr>
        <w:t>OR</w:t>
      </w:r>
    </w:p>
    <w:p w14:paraId="46A82E7F" w14:textId="77777777" w:rsidR="00C90F7B" w:rsidRPr="00996A62" w:rsidRDefault="00C90F7B" w:rsidP="00C90F7B">
      <w:pPr>
        <w:pStyle w:val="ListParagraph"/>
        <w:numPr>
          <w:ilvl w:val="2"/>
          <w:numId w:val="18"/>
        </w:numPr>
        <w:rPr>
          <w:rFonts w:cs="Arial"/>
          <w:bCs/>
          <w:szCs w:val="20"/>
        </w:rPr>
      </w:pPr>
      <w:r w:rsidRPr="00996A62">
        <w:rPr>
          <w:rFonts w:cs="Arial"/>
          <w:bCs/>
          <w:szCs w:val="20"/>
        </w:rPr>
        <w:t>Failure to achieve desired therapeutic outcomes with trial on 1 or more preferred agents:</w:t>
      </w:r>
    </w:p>
    <w:p w14:paraId="3D0C9607" w14:textId="77777777" w:rsidR="00C90F7B" w:rsidRPr="00996A62" w:rsidRDefault="00C90F7B" w:rsidP="00C90F7B">
      <w:pPr>
        <w:pStyle w:val="ListParagraph"/>
        <w:numPr>
          <w:ilvl w:val="3"/>
          <w:numId w:val="18"/>
        </w:numPr>
        <w:rPr>
          <w:rFonts w:cs="Arial"/>
          <w:bCs/>
          <w:szCs w:val="20"/>
        </w:rPr>
      </w:pPr>
      <w:r w:rsidRPr="00996A62">
        <w:rPr>
          <w:rFonts w:cs="Arial"/>
          <w:bCs/>
          <w:szCs w:val="20"/>
        </w:rPr>
        <w:t xml:space="preserve">Documented trial period for preferred agents; </w:t>
      </w:r>
      <w:r w:rsidRPr="00996A62">
        <w:rPr>
          <w:rFonts w:cs="Arial"/>
          <w:b/>
          <w:szCs w:val="20"/>
        </w:rPr>
        <w:t>OR</w:t>
      </w:r>
    </w:p>
    <w:p w14:paraId="26E466DB" w14:textId="77777777" w:rsidR="00C90F7B" w:rsidRPr="007F570F" w:rsidRDefault="00C90F7B" w:rsidP="00C90F7B">
      <w:pPr>
        <w:pStyle w:val="ListParagraph"/>
        <w:numPr>
          <w:ilvl w:val="3"/>
          <w:numId w:val="18"/>
        </w:numPr>
        <w:rPr>
          <w:rFonts w:cs="Arial"/>
          <w:bCs/>
          <w:szCs w:val="20"/>
        </w:rPr>
      </w:pPr>
      <w:r w:rsidRPr="00996A62">
        <w:rPr>
          <w:rFonts w:cs="Arial"/>
          <w:bCs/>
          <w:szCs w:val="20"/>
        </w:rPr>
        <w:t>Documented ADE/ADR to preferred agents</w:t>
      </w:r>
      <w:r>
        <w:rPr>
          <w:rFonts w:cs="Arial"/>
          <w:bCs/>
          <w:szCs w:val="20"/>
        </w:rPr>
        <w:t xml:space="preserve">; </w:t>
      </w:r>
      <w:r w:rsidRPr="00903A29">
        <w:rPr>
          <w:rFonts w:cs="Arial"/>
          <w:b/>
          <w:szCs w:val="20"/>
        </w:rPr>
        <w:t>AND</w:t>
      </w:r>
    </w:p>
    <w:p w14:paraId="234AB102" w14:textId="77777777" w:rsidR="00C90F7B" w:rsidRPr="00706A3C" w:rsidRDefault="00C90F7B" w:rsidP="00C90F7B">
      <w:pPr>
        <w:pStyle w:val="ListParagraph"/>
        <w:numPr>
          <w:ilvl w:val="1"/>
          <w:numId w:val="18"/>
        </w:numPr>
        <w:rPr>
          <w:rFonts w:cs="Arial"/>
          <w:bCs/>
          <w:szCs w:val="20"/>
        </w:rPr>
      </w:pPr>
      <w:r w:rsidRPr="00706A3C">
        <w:rPr>
          <w:rFonts w:cs="Arial"/>
          <w:bCs/>
          <w:szCs w:val="20"/>
        </w:rPr>
        <w:t>Claim is for</w:t>
      </w:r>
      <w:r>
        <w:rPr>
          <w:rFonts w:cs="Arial"/>
          <w:bCs/>
          <w:szCs w:val="20"/>
        </w:rPr>
        <w:t xml:space="preserve"> eculizumab</w:t>
      </w:r>
      <w:r w:rsidRPr="00706A3C">
        <w:rPr>
          <w:rFonts w:cs="Arial"/>
          <w:bCs/>
          <w:szCs w:val="20"/>
        </w:rPr>
        <w:t xml:space="preserve"> or Ultomiris</w:t>
      </w:r>
      <w:r>
        <w:rPr>
          <w:rFonts w:cs="Arial"/>
          <w:bCs/>
          <w:szCs w:val="20"/>
        </w:rPr>
        <w:t>.</w:t>
      </w:r>
    </w:p>
    <w:p w14:paraId="5651D8D1" w14:textId="77777777" w:rsidR="003B5559" w:rsidRPr="003B5559" w:rsidRDefault="003B5559" w:rsidP="003B5559">
      <w:pPr>
        <w:pStyle w:val="ListParagraph"/>
        <w:numPr>
          <w:ilvl w:val="0"/>
          <w:numId w:val="0"/>
        </w:numPr>
        <w:ind w:left="360"/>
        <w:rPr>
          <w:rFonts w:eastAsia="Arial" w:cs="Arial"/>
          <w:szCs w:val="20"/>
        </w:rPr>
      </w:pPr>
    </w:p>
    <w:p w14:paraId="03755E37" w14:textId="3DFAB72C" w:rsidR="00C90F7B" w:rsidRPr="00704735" w:rsidRDefault="00C90F7B" w:rsidP="00C90F7B">
      <w:pPr>
        <w:pStyle w:val="ListParagraph"/>
        <w:numPr>
          <w:ilvl w:val="0"/>
          <w:numId w:val="19"/>
        </w:numPr>
        <w:rPr>
          <w:rFonts w:eastAsia="Arial" w:cs="Arial"/>
          <w:szCs w:val="20"/>
        </w:rPr>
      </w:pPr>
      <w:r w:rsidRPr="00704735">
        <w:rPr>
          <w:rFonts w:cs="Arial"/>
          <w:szCs w:val="20"/>
        </w:rPr>
        <w:t>For a documented diagnosis of CAD:</w:t>
      </w:r>
    </w:p>
    <w:p w14:paraId="48AC1835" w14:textId="77777777" w:rsidR="00C90F7B" w:rsidRDefault="00C90F7B" w:rsidP="00C90F7B">
      <w:pPr>
        <w:pStyle w:val="ListParagraph"/>
        <w:numPr>
          <w:ilvl w:val="1"/>
          <w:numId w:val="19"/>
        </w:numPr>
        <w:ind w:left="720"/>
        <w:rPr>
          <w:rFonts w:eastAsia="Arial" w:cs="Arial"/>
          <w:szCs w:val="20"/>
        </w:rPr>
      </w:pPr>
      <w:r w:rsidRPr="00704735">
        <w:rPr>
          <w:rFonts w:eastAsia="Arial" w:cs="Arial"/>
          <w:szCs w:val="20"/>
        </w:rPr>
        <w:t>Must meet all of the following:</w:t>
      </w:r>
    </w:p>
    <w:p w14:paraId="0D2973E3" w14:textId="77777777" w:rsidR="00C90F7B" w:rsidRPr="00BC1045" w:rsidRDefault="00C90F7B" w:rsidP="00C90F7B">
      <w:pPr>
        <w:pStyle w:val="ListParagraph"/>
        <w:numPr>
          <w:ilvl w:val="2"/>
          <w:numId w:val="19"/>
        </w:numPr>
        <w:rPr>
          <w:rFonts w:eastAsia="Arial" w:cs="Arial"/>
          <w:bCs/>
          <w:szCs w:val="20"/>
        </w:rPr>
      </w:pPr>
      <w:r w:rsidRPr="00BC1045">
        <w:rPr>
          <w:rFonts w:eastAsia="Arial" w:cs="Arial"/>
          <w:bCs/>
          <w:szCs w:val="20"/>
        </w:rPr>
        <w:t>Claim is for Enjaymo</w:t>
      </w:r>
      <w:r>
        <w:rPr>
          <w:rFonts w:eastAsia="Arial" w:cs="Arial"/>
          <w:bCs/>
          <w:szCs w:val="20"/>
        </w:rPr>
        <w:t>;</w:t>
      </w:r>
    </w:p>
    <w:p w14:paraId="0A4F7BA6" w14:textId="77777777" w:rsidR="00C90F7B" w:rsidRPr="00BC1045" w:rsidRDefault="00C90F7B" w:rsidP="00C90F7B">
      <w:pPr>
        <w:pStyle w:val="ListParagraph"/>
        <w:numPr>
          <w:ilvl w:val="2"/>
          <w:numId w:val="19"/>
        </w:numPr>
        <w:rPr>
          <w:rFonts w:eastAsia="Arial" w:cs="Arial"/>
          <w:szCs w:val="20"/>
        </w:rPr>
      </w:pPr>
      <w:r w:rsidRPr="00BC1045">
        <w:rPr>
          <w:rFonts w:eastAsia="Arial" w:cs="Arial"/>
          <w:szCs w:val="20"/>
        </w:rPr>
        <w:t>Diagnosis confirmed by all of the following:</w:t>
      </w:r>
    </w:p>
    <w:p w14:paraId="26473AEA" w14:textId="77777777" w:rsidR="00C90F7B" w:rsidRPr="00704735" w:rsidRDefault="00C90F7B" w:rsidP="00C90F7B">
      <w:pPr>
        <w:pStyle w:val="ListParagraph"/>
        <w:numPr>
          <w:ilvl w:val="3"/>
          <w:numId w:val="19"/>
        </w:numPr>
        <w:ind w:left="1440"/>
        <w:rPr>
          <w:rFonts w:eastAsia="Arial" w:cs="Arial"/>
          <w:szCs w:val="20"/>
        </w:rPr>
      </w:pPr>
      <w:r w:rsidRPr="00704735">
        <w:rPr>
          <w:rFonts w:cs="Arial"/>
          <w:color w:val="000000" w:themeColor="text1"/>
          <w:szCs w:val="20"/>
        </w:rPr>
        <w:t>Evidence of hemolysis;</w:t>
      </w:r>
    </w:p>
    <w:p w14:paraId="15ABF1E9" w14:textId="77777777" w:rsidR="00C90F7B" w:rsidRPr="00704735" w:rsidRDefault="00C90F7B" w:rsidP="00C90F7B">
      <w:pPr>
        <w:pStyle w:val="ListParagraph"/>
        <w:numPr>
          <w:ilvl w:val="3"/>
          <w:numId w:val="19"/>
        </w:numPr>
        <w:ind w:left="1440"/>
        <w:rPr>
          <w:rFonts w:eastAsia="Arial" w:cs="Arial"/>
          <w:szCs w:val="20"/>
        </w:rPr>
      </w:pPr>
      <w:r w:rsidRPr="00704735">
        <w:rPr>
          <w:rFonts w:cs="Arial"/>
          <w:color w:val="000000" w:themeColor="text1"/>
          <w:szCs w:val="20"/>
        </w:rPr>
        <w:t>Positive direct antiglobulin (Coombs) test for C3d only;</w:t>
      </w:r>
    </w:p>
    <w:p w14:paraId="006C3564" w14:textId="77777777" w:rsidR="00C90F7B" w:rsidRPr="00704735" w:rsidRDefault="00C90F7B" w:rsidP="00C90F7B">
      <w:pPr>
        <w:pStyle w:val="ListParagraph"/>
        <w:numPr>
          <w:ilvl w:val="3"/>
          <w:numId w:val="19"/>
        </w:numPr>
        <w:ind w:left="1440"/>
        <w:rPr>
          <w:rFonts w:eastAsia="Arial" w:cs="Arial"/>
          <w:szCs w:val="20"/>
        </w:rPr>
      </w:pPr>
      <w:r w:rsidRPr="00704735">
        <w:rPr>
          <w:rFonts w:cs="Arial"/>
          <w:color w:val="000000" w:themeColor="text1"/>
          <w:szCs w:val="20"/>
        </w:rPr>
        <w:t xml:space="preserve">Cold agglutinin titer of ≥ 64 at 4 degrees Celsius; </w:t>
      </w:r>
      <w:r w:rsidRPr="00704735">
        <w:rPr>
          <w:rFonts w:cs="Arial"/>
          <w:b/>
          <w:color w:val="000000" w:themeColor="text1"/>
          <w:szCs w:val="20"/>
        </w:rPr>
        <w:t>AND</w:t>
      </w:r>
    </w:p>
    <w:p w14:paraId="5248E437" w14:textId="77777777" w:rsidR="00C90F7B" w:rsidRPr="00BC1045" w:rsidRDefault="00C90F7B" w:rsidP="00C90F7B">
      <w:pPr>
        <w:pStyle w:val="ListParagraph"/>
        <w:numPr>
          <w:ilvl w:val="3"/>
          <w:numId w:val="19"/>
        </w:numPr>
        <w:ind w:left="1440"/>
        <w:rPr>
          <w:rFonts w:eastAsia="Arial" w:cs="Arial"/>
          <w:szCs w:val="20"/>
        </w:rPr>
      </w:pPr>
      <w:r w:rsidRPr="00704735">
        <w:rPr>
          <w:rFonts w:cs="Arial"/>
          <w:color w:val="000000" w:themeColor="text1"/>
          <w:szCs w:val="20"/>
        </w:rPr>
        <w:t>Lack of overt malignant disease;</w:t>
      </w:r>
    </w:p>
    <w:p w14:paraId="5167F63C" w14:textId="77777777" w:rsidR="00C90F7B" w:rsidRDefault="00C90F7B" w:rsidP="00C90F7B">
      <w:pPr>
        <w:pStyle w:val="ListParagraph"/>
        <w:numPr>
          <w:ilvl w:val="2"/>
          <w:numId w:val="19"/>
        </w:numPr>
        <w:rPr>
          <w:rFonts w:eastAsia="Arial" w:cs="Arial"/>
          <w:szCs w:val="20"/>
        </w:rPr>
      </w:pPr>
      <w:r w:rsidRPr="00BC1045">
        <w:rPr>
          <w:rFonts w:eastAsia="Arial" w:cs="Arial"/>
          <w:szCs w:val="20"/>
        </w:rPr>
        <w:t>Hemoglobin level ≤ 10.0 g/dL;</w:t>
      </w:r>
    </w:p>
    <w:p w14:paraId="1C5E4273" w14:textId="77777777" w:rsidR="00C90F7B" w:rsidRDefault="00C90F7B" w:rsidP="00C90F7B">
      <w:pPr>
        <w:pStyle w:val="ListParagraph"/>
        <w:numPr>
          <w:ilvl w:val="2"/>
          <w:numId w:val="19"/>
        </w:numPr>
        <w:rPr>
          <w:rFonts w:eastAsia="Arial" w:cs="Arial"/>
          <w:szCs w:val="20"/>
        </w:rPr>
      </w:pPr>
      <w:r w:rsidRPr="00BC1045">
        <w:rPr>
          <w:rFonts w:eastAsia="Arial" w:cs="Arial"/>
          <w:szCs w:val="20"/>
        </w:rPr>
        <w:t>Bilirubin level above normal reference range, including patients with Gilbert’s syndrome;</w:t>
      </w:r>
    </w:p>
    <w:p w14:paraId="672809C5" w14:textId="77777777" w:rsidR="00C90F7B" w:rsidRPr="00BC1045" w:rsidRDefault="00C90F7B" w:rsidP="00C90F7B">
      <w:pPr>
        <w:pStyle w:val="ListParagraph"/>
        <w:numPr>
          <w:ilvl w:val="2"/>
          <w:numId w:val="19"/>
        </w:numPr>
        <w:rPr>
          <w:rFonts w:eastAsia="Arial" w:cs="Arial"/>
          <w:szCs w:val="20"/>
        </w:rPr>
      </w:pPr>
      <w:r w:rsidRPr="00BC1045">
        <w:rPr>
          <w:rFonts w:eastAsia="Arial" w:cs="Arial"/>
          <w:szCs w:val="20"/>
        </w:rPr>
        <w:t>Presence of one or more of the following symptoms associated with CAD:</w:t>
      </w:r>
    </w:p>
    <w:p w14:paraId="060BBC29" w14:textId="77777777" w:rsidR="00C90F7B" w:rsidRPr="00704735" w:rsidRDefault="00C90F7B" w:rsidP="00C90F7B">
      <w:pPr>
        <w:pStyle w:val="ListParagraph"/>
        <w:numPr>
          <w:ilvl w:val="3"/>
          <w:numId w:val="19"/>
        </w:numPr>
        <w:ind w:left="1440"/>
        <w:rPr>
          <w:rFonts w:eastAsia="Arial" w:cs="Arial"/>
          <w:szCs w:val="20"/>
        </w:rPr>
      </w:pPr>
      <w:r w:rsidRPr="00704735">
        <w:rPr>
          <w:rFonts w:eastAsia="Arial" w:cs="Arial"/>
          <w:szCs w:val="20"/>
        </w:rPr>
        <w:t>Symptomatic anemia;</w:t>
      </w:r>
    </w:p>
    <w:p w14:paraId="0B3E3276" w14:textId="77777777" w:rsidR="00C90F7B" w:rsidRPr="00704735" w:rsidRDefault="00C90F7B" w:rsidP="00C90F7B">
      <w:pPr>
        <w:pStyle w:val="ListParagraph"/>
        <w:numPr>
          <w:ilvl w:val="3"/>
          <w:numId w:val="19"/>
        </w:numPr>
        <w:ind w:left="1440"/>
        <w:rPr>
          <w:rFonts w:eastAsia="Arial" w:cs="Arial"/>
          <w:szCs w:val="20"/>
        </w:rPr>
      </w:pPr>
      <w:r w:rsidRPr="00704735">
        <w:rPr>
          <w:rFonts w:eastAsia="Arial" w:cs="Arial"/>
          <w:szCs w:val="20"/>
        </w:rPr>
        <w:t>Acrocyanosis;</w:t>
      </w:r>
    </w:p>
    <w:p w14:paraId="6C2289DE" w14:textId="77777777" w:rsidR="00C90F7B" w:rsidRPr="00704735" w:rsidRDefault="00C90F7B" w:rsidP="00C90F7B">
      <w:pPr>
        <w:pStyle w:val="ListParagraph"/>
        <w:numPr>
          <w:ilvl w:val="3"/>
          <w:numId w:val="19"/>
        </w:numPr>
        <w:ind w:left="1440"/>
        <w:rPr>
          <w:rFonts w:eastAsia="Arial" w:cs="Arial"/>
          <w:szCs w:val="20"/>
        </w:rPr>
      </w:pPr>
      <w:r w:rsidRPr="00704735">
        <w:rPr>
          <w:rFonts w:eastAsia="Arial" w:cs="Arial"/>
          <w:szCs w:val="20"/>
        </w:rPr>
        <w:t>Raynaud’s phenomenon;</w:t>
      </w:r>
    </w:p>
    <w:p w14:paraId="041001EA" w14:textId="77777777" w:rsidR="00C90F7B" w:rsidRPr="00704735" w:rsidRDefault="00C90F7B" w:rsidP="00C90F7B">
      <w:pPr>
        <w:pStyle w:val="ListParagraph"/>
        <w:numPr>
          <w:ilvl w:val="3"/>
          <w:numId w:val="19"/>
        </w:numPr>
        <w:ind w:left="1440"/>
        <w:rPr>
          <w:rFonts w:eastAsia="Arial" w:cs="Arial"/>
          <w:szCs w:val="20"/>
        </w:rPr>
      </w:pPr>
      <w:r w:rsidRPr="00704735">
        <w:rPr>
          <w:rFonts w:eastAsia="Arial" w:cs="Arial"/>
          <w:szCs w:val="20"/>
        </w:rPr>
        <w:t>Hemoglobinuria;</w:t>
      </w:r>
    </w:p>
    <w:p w14:paraId="75260FA6" w14:textId="77777777" w:rsidR="00C90F7B" w:rsidRPr="00704735" w:rsidRDefault="00C90F7B" w:rsidP="00C90F7B">
      <w:pPr>
        <w:pStyle w:val="ListParagraph"/>
        <w:numPr>
          <w:ilvl w:val="3"/>
          <w:numId w:val="19"/>
        </w:numPr>
        <w:ind w:left="1440"/>
        <w:rPr>
          <w:rFonts w:eastAsia="Arial" w:cs="Arial"/>
          <w:szCs w:val="20"/>
        </w:rPr>
      </w:pPr>
      <w:r w:rsidRPr="00704735">
        <w:rPr>
          <w:rFonts w:eastAsia="Arial" w:cs="Arial"/>
          <w:szCs w:val="20"/>
        </w:rPr>
        <w:t xml:space="preserve">Disabling circulatory symptoms; </w:t>
      </w:r>
      <w:r w:rsidRPr="00704735">
        <w:rPr>
          <w:rFonts w:eastAsia="Arial" w:cs="Arial"/>
          <w:b/>
          <w:szCs w:val="20"/>
        </w:rPr>
        <w:t>OR</w:t>
      </w:r>
    </w:p>
    <w:p w14:paraId="5033427F" w14:textId="77777777" w:rsidR="00C90F7B" w:rsidRPr="00BC1045" w:rsidRDefault="00C90F7B" w:rsidP="00C90F7B">
      <w:pPr>
        <w:pStyle w:val="ListParagraph"/>
        <w:numPr>
          <w:ilvl w:val="3"/>
          <w:numId w:val="19"/>
        </w:numPr>
        <w:ind w:left="1440"/>
        <w:rPr>
          <w:rFonts w:eastAsia="Arial" w:cs="Arial"/>
          <w:szCs w:val="20"/>
        </w:rPr>
      </w:pPr>
      <w:r w:rsidRPr="00704735">
        <w:rPr>
          <w:rFonts w:eastAsia="Arial" w:cs="Arial"/>
          <w:szCs w:val="20"/>
        </w:rPr>
        <w:t>Major adverse vascular event;</w:t>
      </w:r>
      <w:r>
        <w:rPr>
          <w:rFonts w:eastAsia="Arial" w:cs="Arial"/>
          <w:szCs w:val="20"/>
        </w:rPr>
        <w:t xml:space="preserve"> </w:t>
      </w:r>
      <w:r w:rsidRPr="00B35130">
        <w:rPr>
          <w:rFonts w:eastAsia="Arial" w:cs="Arial"/>
          <w:b/>
          <w:bCs/>
          <w:szCs w:val="20"/>
        </w:rPr>
        <w:t>AND</w:t>
      </w:r>
    </w:p>
    <w:p w14:paraId="598AF141" w14:textId="77777777" w:rsidR="00C90F7B" w:rsidRDefault="00C90F7B" w:rsidP="00C90F7B">
      <w:pPr>
        <w:pStyle w:val="ListParagraph"/>
        <w:numPr>
          <w:ilvl w:val="2"/>
          <w:numId w:val="19"/>
        </w:numPr>
        <w:rPr>
          <w:rFonts w:eastAsia="Arial" w:cs="Arial"/>
          <w:szCs w:val="20"/>
        </w:rPr>
      </w:pPr>
      <w:r w:rsidRPr="00BC1045">
        <w:rPr>
          <w:rFonts w:eastAsia="Arial" w:cs="Arial"/>
          <w:szCs w:val="20"/>
        </w:rPr>
        <w:t>Participant not eligible for rituximab-based therapy due to one of the following:</w:t>
      </w:r>
    </w:p>
    <w:p w14:paraId="425632C4" w14:textId="77777777" w:rsidR="00C90F7B" w:rsidRPr="00BC1045" w:rsidRDefault="00C90F7B" w:rsidP="00C90F7B">
      <w:pPr>
        <w:pStyle w:val="ListParagraph"/>
        <w:numPr>
          <w:ilvl w:val="3"/>
          <w:numId w:val="19"/>
        </w:numPr>
        <w:tabs>
          <w:tab w:val="left" w:pos="1440"/>
        </w:tabs>
        <w:ind w:left="1440"/>
        <w:rPr>
          <w:rFonts w:eastAsia="Arial" w:cs="Arial"/>
          <w:szCs w:val="20"/>
        </w:rPr>
      </w:pPr>
      <w:r w:rsidRPr="00BC1045">
        <w:rPr>
          <w:rFonts w:eastAsia="Arial" w:cs="Arial"/>
          <w:szCs w:val="20"/>
        </w:rPr>
        <w:t xml:space="preserve">Unresponsive to previous rituximab-based therapy after a minimum of six months; </w:t>
      </w:r>
      <w:r w:rsidRPr="00BC1045">
        <w:rPr>
          <w:rFonts w:eastAsia="Arial" w:cs="Arial"/>
          <w:b/>
          <w:szCs w:val="20"/>
        </w:rPr>
        <w:t>OR</w:t>
      </w:r>
    </w:p>
    <w:p w14:paraId="7FE64F1C" w14:textId="6C6A1F12" w:rsidR="00C90F7B" w:rsidRDefault="00C90F7B" w:rsidP="00C90F7B">
      <w:pPr>
        <w:pStyle w:val="ListParagraph"/>
        <w:numPr>
          <w:ilvl w:val="3"/>
          <w:numId w:val="19"/>
        </w:numPr>
        <w:tabs>
          <w:tab w:val="left" w:pos="1440"/>
        </w:tabs>
        <w:ind w:left="1440"/>
        <w:rPr>
          <w:rFonts w:eastAsia="Arial" w:cs="Arial"/>
          <w:szCs w:val="20"/>
        </w:rPr>
      </w:pPr>
      <w:r w:rsidRPr="00BC1045">
        <w:rPr>
          <w:rFonts w:eastAsia="Arial" w:cs="Arial"/>
          <w:szCs w:val="20"/>
        </w:rPr>
        <w:t xml:space="preserve">Documented medical reason why rituximab-based therapy is not appropriate or is </w:t>
      </w:r>
      <w:r w:rsidR="00EC3550" w:rsidRPr="00BC1045">
        <w:rPr>
          <w:rFonts w:eastAsia="Arial" w:cs="Arial"/>
          <w:szCs w:val="20"/>
        </w:rPr>
        <w:t>contraindicated.</w:t>
      </w:r>
    </w:p>
    <w:p w14:paraId="117CDCFC" w14:textId="77777777" w:rsidR="00AB1E3F" w:rsidRDefault="00AB1E3F" w:rsidP="00AB1E3F">
      <w:pPr>
        <w:pStyle w:val="NoSpacing"/>
        <w:ind w:left="360"/>
        <w:rPr>
          <w:sz w:val="20"/>
          <w:szCs w:val="20"/>
        </w:rPr>
      </w:pPr>
    </w:p>
    <w:p w14:paraId="4175D112" w14:textId="120CD610" w:rsidR="00C90F7B" w:rsidRPr="00CB1D1A" w:rsidRDefault="00C90F7B" w:rsidP="00C90F7B">
      <w:pPr>
        <w:pStyle w:val="NoSpacing"/>
        <w:numPr>
          <w:ilvl w:val="0"/>
          <w:numId w:val="20"/>
        </w:numPr>
        <w:rPr>
          <w:sz w:val="20"/>
          <w:szCs w:val="20"/>
        </w:rPr>
      </w:pPr>
      <w:r w:rsidRPr="00CB1D1A">
        <w:rPr>
          <w:sz w:val="20"/>
          <w:szCs w:val="20"/>
        </w:rPr>
        <w:lastRenderedPageBreak/>
        <w:t>For a documented diagnosis of AAV:</w:t>
      </w:r>
    </w:p>
    <w:p w14:paraId="5FE26898" w14:textId="77777777" w:rsidR="00C90F7B" w:rsidRDefault="00C90F7B" w:rsidP="00C90F7B">
      <w:pPr>
        <w:pStyle w:val="NoSpacing"/>
        <w:numPr>
          <w:ilvl w:val="1"/>
          <w:numId w:val="20"/>
        </w:numPr>
        <w:ind w:left="720"/>
        <w:rPr>
          <w:sz w:val="20"/>
          <w:szCs w:val="20"/>
        </w:rPr>
      </w:pPr>
      <w:r w:rsidRPr="00CB1D1A">
        <w:rPr>
          <w:sz w:val="20"/>
          <w:szCs w:val="20"/>
        </w:rPr>
        <w:t>Must meet all of the following:</w:t>
      </w:r>
    </w:p>
    <w:p w14:paraId="0BD36CE2" w14:textId="77777777" w:rsidR="00C90F7B" w:rsidRPr="00CB1D1A" w:rsidRDefault="00C90F7B" w:rsidP="00C90F7B">
      <w:pPr>
        <w:pStyle w:val="ListParagraph"/>
        <w:numPr>
          <w:ilvl w:val="2"/>
          <w:numId w:val="20"/>
        </w:numPr>
        <w:rPr>
          <w:rFonts w:eastAsia="Arial" w:cs="Arial"/>
          <w:bCs/>
          <w:szCs w:val="20"/>
        </w:rPr>
      </w:pPr>
      <w:r w:rsidRPr="00BC1045">
        <w:rPr>
          <w:rFonts w:eastAsia="Arial" w:cs="Arial"/>
          <w:bCs/>
          <w:szCs w:val="20"/>
        </w:rPr>
        <w:t xml:space="preserve">Claim is for </w:t>
      </w:r>
      <w:r>
        <w:rPr>
          <w:rFonts w:eastAsia="Arial" w:cs="Arial"/>
          <w:bCs/>
          <w:szCs w:val="20"/>
        </w:rPr>
        <w:t>Tavneos;</w:t>
      </w:r>
    </w:p>
    <w:p w14:paraId="4904CF86" w14:textId="77777777" w:rsidR="00C90F7B" w:rsidRPr="00CB1D1A" w:rsidRDefault="00C90F7B" w:rsidP="00C90F7B">
      <w:pPr>
        <w:pStyle w:val="NoSpacing"/>
        <w:numPr>
          <w:ilvl w:val="2"/>
          <w:numId w:val="20"/>
        </w:numPr>
        <w:rPr>
          <w:sz w:val="20"/>
          <w:szCs w:val="20"/>
        </w:rPr>
      </w:pPr>
      <w:r w:rsidRPr="00CB1D1A">
        <w:rPr>
          <w:sz w:val="20"/>
          <w:szCs w:val="20"/>
        </w:rPr>
        <w:t>Documented diagnosis of severe active GPA or MPA types AAV;</w:t>
      </w:r>
    </w:p>
    <w:p w14:paraId="589A3513" w14:textId="77777777" w:rsidR="00C90F7B" w:rsidRPr="00CB1D1A" w:rsidRDefault="00C90F7B" w:rsidP="00C90F7B">
      <w:pPr>
        <w:pStyle w:val="NoSpacing"/>
        <w:numPr>
          <w:ilvl w:val="2"/>
          <w:numId w:val="20"/>
        </w:numPr>
        <w:rPr>
          <w:sz w:val="20"/>
          <w:szCs w:val="20"/>
        </w:rPr>
      </w:pPr>
      <w:r w:rsidRPr="00CB1D1A">
        <w:rPr>
          <w:sz w:val="20"/>
          <w:szCs w:val="20"/>
        </w:rPr>
        <w:t>Documentation of positive test for proteinase 3 (PR3)-ANCA or myeloperoxidase (MPO)-ANCA;</w:t>
      </w:r>
    </w:p>
    <w:p w14:paraId="00BF0A78" w14:textId="77777777" w:rsidR="00901218" w:rsidRDefault="00901218" w:rsidP="00901218">
      <w:pPr>
        <w:pStyle w:val="NoSpacing"/>
        <w:numPr>
          <w:ilvl w:val="2"/>
          <w:numId w:val="20"/>
        </w:numPr>
        <w:rPr>
          <w:sz w:val="20"/>
          <w:szCs w:val="20"/>
        </w:rPr>
      </w:pPr>
      <w:r>
        <w:rPr>
          <w:sz w:val="20"/>
          <w:szCs w:val="20"/>
        </w:rPr>
        <w:t xml:space="preserve">Documentation of </w:t>
      </w:r>
      <w:r w:rsidRPr="001B6651">
        <w:rPr>
          <w:b/>
          <w:bCs/>
          <w:color w:val="1F497D" w:themeColor="text2"/>
          <w:sz w:val="20"/>
          <w:szCs w:val="20"/>
        </w:rPr>
        <w:t>the following</w:t>
      </w:r>
      <w:r w:rsidRPr="001B6651">
        <w:rPr>
          <w:color w:val="1F497D" w:themeColor="text2"/>
          <w:sz w:val="20"/>
          <w:szCs w:val="20"/>
        </w:rPr>
        <w:t xml:space="preserve"> </w:t>
      </w:r>
      <w:r>
        <w:rPr>
          <w:sz w:val="20"/>
          <w:szCs w:val="20"/>
        </w:rPr>
        <w:t>baseline clinical criteria</w:t>
      </w:r>
      <w:r w:rsidRPr="00CB68F2">
        <w:rPr>
          <w:sz w:val="20"/>
          <w:szCs w:val="20"/>
        </w:rPr>
        <w:t>:</w:t>
      </w:r>
    </w:p>
    <w:p w14:paraId="3C0148D4" w14:textId="77777777" w:rsidR="00901218" w:rsidRDefault="00901218" w:rsidP="001B6651">
      <w:pPr>
        <w:pStyle w:val="NoSpacing"/>
        <w:numPr>
          <w:ilvl w:val="3"/>
          <w:numId w:val="20"/>
        </w:numPr>
        <w:ind w:left="1440"/>
        <w:rPr>
          <w:sz w:val="20"/>
          <w:szCs w:val="20"/>
        </w:rPr>
      </w:pPr>
      <w:r>
        <w:rPr>
          <w:sz w:val="20"/>
          <w:szCs w:val="20"/>
        </w:rPr>
        <w:t>Liver function tests</w:t>
      </w:r>
      <w:r>
        <w:rPr>
          <w:b/>
          <w:bCs/>
          <w:sz w:val="20"/>
          <w:szCs w:val="20"/>
        </w:rPr>
        <w:t xml:space="preserve"> </w:t>
      </w:r>
      <w:r w:rsidRPr="001B6651">
        <w:rPr>
          <w:b/>
          <w:bCs/>
          <w:color w:val="1F497D" w:themeColor="text2"/>
          <w:sz w:val="20"/>
          <w:szCs w:val="20"/>
        </w:rPr>
        <w:t>including Alanine aminotransferase (ALT), aspartate aminotransferase (AST) and alkaline phosphatase (ALP);</w:t>
      </w:r>
    </w:p>
    <w:p w14:paraId="1853BF71" w14:textId="77777777" w:rsidR="00901218" w:rsidRDefault="00901218" w:rsidP="001B6651">
      <w:pPr>
        <w:pStyle w:val="NoSpacing"/>
        <w:numPr>
          <w:ilvl w:val="3"/>
          <w:numId w:val="20"/>
        </w:numPr>
        <w:ind w:left="1440"/>
        <w:rPr>
          <w:sz w:val="20"/>
          <w:szCs w:val="20"/>
        </w:rPr>
      </w:pPr>
      <w:r>
        <w:rPr>
          <w:sz w:val="20"/>
          <w:szCs w:val="20"/>
        </w:rPr>
        <w:t>Estimated glomerular filtration rate;</w:t>
      </w:r>
    </w:p>
    <w:p w14:paraId="5FE4097F" w14:textId="77777777" w:rsidR="00901218" w:rsidRDefault="00901218" w:rsidP="001B6651">
      <w:pPr>
        <w:pStyle w:val="NoSpacing"/>
        <w:numPr>
          <w:ilvl w:val="3"/>
          <w:numId w:val="20"/>
        </w:numPr>
        <w:ind w:left="1440"/>
        <w:rPr>
          <w:sz w:val="20"/>
          <w:szCs w:val="20"/>
        </w:rPr>
      </w:pPr>
      <w:r>
        <w:rPr>
          <w:sz w:val="20"/>
          <w:szCs w:val="20"/>
        </w:rPr>
        <w:t xml:space="preserve">Vasculitis Damage Index; </w:t>
      </w:r>
      <w:r w:rsidRPr="002D18C7">
        <w:rPr>
          <w:b/>
          <w:bCs/>
          <w:strike/>
          <w:color w:val="1F497D" w:themeColor="text2"/>
          <w:sz w:val="20"/>
          <w:szCs w:val="20"/>
        </w:rPr>
        <w:t>AND</w:t>
      </w:r>
    </w:p>
    <w:p w14:paraId="3A9D04C3" w14:textId="6F449281" w:rsidR="00C90F7B" w:rsidRPr="002D18C7" w:rsidRDefault="00C90F7B" w:rsidP="00C90F7B">
      <w:pPr>
        <w:pStyle w:val="NoSpacing"/>
        <w:numPr>
          <w:ilvl w:val="2"/>
          <w:numId w:val="20"/>
        </w:numPr>
        <w:rPr>
          <w:sz w:val="20"/>
          <w:szCs w:val="20"/>
        </w:rPr>
      </w:pPr>
      <w:r w:rsidRPr="00CB1D1A">
        <w:rPr>
          <w:sz w:val="20"/>
          <w:szCs w:val="20"/>
        </w:rPr>
        <w:t>Participant is currently receiving or beginning standard therapy</w:t>
      </w:r>
      <w:r>
        <w:rPr>
          <w:sz w:val="20"/>
          <w:szCs w:val="20"/>
        </w:rPr>
        <w:t>,</w:t>
      </w:r>
      <w:r w:rsidRPr="00CB1D1A">
        <w:rPr>
          <w:sz w:val="20"/>
          <w:szCs w:val="20"/>
        </w:rPr>
        <w:t xml:space="preserve"> including glucocorticoids for induction of remission.</w:t>
      </w:r>
      <w:r w:rsidR="002D18C7">
        <w:rPr>
          <w:sz w:val="20"/>
          <w:szCs w:val="20"/>
        </w:rPr>
        <w:t xml:space="preserve"> </w:t>
      </w:r>
      <w:r w:rsidR="002D18C7">
        <w:rPr>
          <w:b/>
          <w:bCs/>
          <w:color w:val="1F497D" w:themeColor="text2"/>
          <w:sz w:val="20"/>
          <w:szCs w:val="20"/>
        </w:rPr>
        <w:t>AND</w:t>
      </w:r>
    </w:p>
    <w:p w14:paraId="287535E5" w14:textId="56EDF741" w:rsidR="002D18C7" w:rsidRDefault="007C712B" w:rsidP="00C90F7B">
      <w:pPr>
        <w:pStyle w:val="NoSpacing"/>
        <w:numPr>
          <w:ilvl w:val="2"/>
          <w:numId w:val="20"/>
        </w:numPr>
        <w:rPr>
          <w:sz w:val="20"/>
          <w:szCs w:val="20"/>
        </w:rPr>
      </w:pPr>
      <w:r>
        <w:rPr>
          <w:b/>
          <w:bCs/>
          <w:color w:val="1F497D" w:themeColor="text2"/>
          <w:sz w:val="20"/>
          <w:szCs w:val="20"/>
        </w:rPr>
        <w:t>Clinical consultant review for medical necessity.</w:t>
      </w:r>
    </w:p>
    <w:p w14:paraId="1B10852F" w14:textId="77777777" w:rsidR="00723449" w:rsidRPr="00723449" w:rsidRDefault="00723449" w:rsidP="00723449">
      <w:pPr>
        <w:pStyle w:val="NoSpacing"/>
        <w:numPr>
          <w:ilvl w:val="0"/>
          <w:numId w:val="20"/>
        </w:numPr>
        <w:rPr>
          <w:b/>
          <w:bCs/>
          <w:color w:val="1F497D" w:themeColor="text2"/>
          <w:sz w:val="20"/>
          <w:szCs w:val="20"/>
        </w:rPr>
      </w:pPr>
      <w:r w:rsidRPr="00723449">
        <w:rPr>
          <w:b/>
          <w:bCs/>
          <w:color w:val="1F497D" w:themeColor="text2"/>
          <w:sz w:val="20"/>
          <w:szCs w:val="20"/>
        </w:rPr>
        <w:t>Initial Approval Period: 6 months</w:t>
      </w:r>
    </w:p>
    <w:p w14:paraId="64B3EAE9" w14:textId="77777777" w:rsidR="00C61B8F" w:rsidRPr="00CB1D1A" w:rsidRDefault="00C61B8F" w:rsidP="00723449">
      <w:pPr>
        <w:pStyle w:val="NoSpacing"/>
        <w:ind w:left="360"/>
        <w:rPr>
          <w:sz w:val="20"/>
          <w:szCs w:val="20"/>
        </w:rPr>
      </w:pPr>
    </w:p>
    <w:p w14:paraId="34CC901F" w14:textId="77777777" w:rsidR="00C90F7B" w:rsidRPr="00F31DB0" w:rsidRDefault="00C90F7B" w:rsidP="00C90F7B">
      <w:pPr>
        <w:pStyle w:val="ListParagraph"/>
        <w:numPr>
          <w:ilvl w:val="0"/>
          <w:numId w:val="18"/>
        </w:numPr>
        <w:rPr>
          <w:rFonts w:cs="Arial"/>
          <w:bCs/>
          <w:szCs w:val="20"/>
        </w:rPr>
      </w:pPr>
      <w:r w:rsidRPr="00F31DB0">
        <w:rPr>
          <w:rFonts w:cs="Arial"/>
          <w:bCs/>
          <w:szCs w:val="20"/>
        </w:rPr>
        <w:t>For a documented diagnosis of CHAPLE Disease:</w:t>
      </w:r>
    </w:p>
    <w:p w14:paraId="26C1C297" w14:textId="77777777" w:rsidR="00C90F7B" w:rsidRPr="00F31DB0" w:rsidRDefault="00C90F7B" w:rsidP="00C90F7B">
      <w:pPr>
        <w:pStyle w:val="ListParagraph"/>
        <w:numPr>
          <w:ilvl w:val="1"/>
          <w:numId w:val="18"/>
        </w:numPr>
        <w:rPr>
          <w:rFonts w:cs="Arial"/>
          <w:bCs/>
          <w:szCs w:val="20"/>
        </w:rPr>
      </w:pPr>
      <w:r w:rsidRPr="00F31DB0">
        <w:rPr>
          <w:rFonts w:cs="Arial"/>
          <w:bCs/>
          <w:szCs w:val="20"/>
        </w:rPr>
        <w:t>Must meet all of the following:</w:t>
      </w:r>
    </w:p>
    <w:p w14:paraId="7252DFB6" w14:textId="77777777" w:rsidR="00C90F7B" w:rsidRPr="00F31DB0" w:rsidRDefault="00C90F7B" w:rsidP="00C90F7B">
      <w:pPr>
        <w:pStyle w:val="ListParagraph"/>
        <w:numPr>
          <w:ilvl w:val="2"/>
          <w:numId w:val="18"/>
        </w:numPr>
        <w:rPr>
          <w:rFonts w:cs="Arial"/>
          <w:bCs/>
          <w:szCs w:val="20"/>
        </w:rPr>
      </w:pPr>
      <w:r w:rsidRPr="00F31DB0">
        <w:rPr>
          <w:rFonts w:cs="Arial"/>
          <w:bCs/>
          <w:szCs w:val="20"/>
        </w:rPr>
        <w:t>Claim is for Veopoz;</w:t>
      </w:r>
    </w:p>
    <w:p w14:paraId="705D468B" w14:textId="77777777" w:rsidR="00C90F7B" w:rsidRPr="00F31DB0" w:rsidRDefault="00C90F7B" w:rsidP="00C90F7B">
      <w:pPr>
        <w:pStyle w:val="ListParagraph"/>
        <w:numPr>
          <w:ilvl w:val="2"/>
          <w:numId w:val="18"/>
        </w:numPr>
        <w:rPr>
          <w:rFonts w:cs="Arial"/>
          <w:bCs/>
          <w:szCs w:val="20"/>
        </w:rPr>
      </w:pPr>
      <w:r w:rsidRPr="00F31DB0">
        <w:rPr>
          <w:rFonts w:cs="Arial"/>
          <w:bCs/>
          <w:szCs w:val="20"/>
        </w:rPr>
        <w:t>Confirmed CD55 loss-of function pathogenic variant by genetic testing;</w:t>
      </w:r>
      <w:r>
        <w:rPr>
          <w:rFonts w:cs="Arial"/>
          <w:bCs/>
          <w:szCs w:val="20"/>
        </w:rPr>
        <w:t xml:space="preserve"> </w:t>
      </w:r>
      <w:r w:rsidRPr="00FB2696">
        <w:rPr>
          <w:rFonts w:cs="Arial"/>
          <w:b/>
          <w:szCs w:val="20"/>
        </w:rPr>
        <w:t>AND</w:t>
      </w:r>
    </w:p>
    <w:p w14:paraId="45684565" w14:textId="77777777" w:rsidR="00C90F7B" w:rsidRDefault="00C90F7B" w:rsidP="00C90F7B">
      <w:pPr>
        <w:pStyle w:val="ListParagraph"/>
        <w:numPr>
          <w:ilvl w:val="2"/>
          <w:numId w:val="18"/>
        </w:numPr>
        <w:rPr>
          <w:rFonts w:cs="Arial"/>
          <w:bCs/>
          <w:szCs w:val="20"/>
        </w:rPr>
      </w:pPr>
      <w:r w:rsidRPr="00F31DB0">
        <w:rPr>
          <w:rFonts w:cs="Arial"/>
          <w:bCs/>
          <w:szCs w:val="20"/>
        </w:rPr>
        <w:t>Presence of clinical signs and symptoms</w:t>
      </w:r>
      <w:r>
        <w:rPr>
          <w:rFonts w:cs="Arial"/>
          <w:bCs/>
          <w:szCs w:val="20"/>
        </w:rPr>
        <w:t>.</w:t>
      </w:r>
    </w:p>
    <w:p w14:paraId="3265EB5E" w14:textId="77777777" w:rsidR="00181E01" w:rsidRDefault="00181E01" w:rsidP="00181E01">
      <w:pPr>
        <w:pStyle w:val="ListParagraph"/>
        <w:numPr>
          <w:ilvl w:val="0"/>
          <w:numId w:val="0"/>
        </w:numPr>
        <w:ind w:left="360"/>
        <w:rPr>
          <w:rFonts w:cs="Arial"/>
          <w:bCs/>
          <w:szCs w:val="20"/>
        </w:rPr>
      </w:pPr>
    </w:p>
    <w:p w14:paraId="4C3B1A1E" w14:textId="3399E7FF" w:rsidR="00C90F7B" w:rsidRPr="00FA04F2" w:rsidRDefault="00C90F7B" w:rsidP="00C90F7B">
      <w:pPr>
        <w:pStyle w:val="ListParagraph"/>
        <w:numPr>
          <w:ilvl w:val="0"/>
          <w:numId w:val="18"/>
        </w:numPr>
        <w:rPr>
          <w:rFonts w:cs="Arial"/>
          <w:bCs/>
          <w:szCs w:val="20"/>
        </w:rPr>
      </w:pPr>
      <w:r w:rsidRPr="00FA04F2">
        <w:rPr>
          <w:rFonts w:cs="Arial"/>
          <w:bCs/>
          <w:szCs w:val="20"/>
        </w:rPr>
        <w:t xml:space="preserve">For a documented diagnosis of </w:t>
      </w:r>
      <w:proofErr w:type="spellStart"/>
      <w:r w:rsidRPr="00FA04F2">
        <w:rPr>
          <w:rFonts w:cs="Arial"/>
          <w:bCs/>
          <w:szCs w:val="20"/>
        </w:rPr>
        <w:t>IgAN</w:t>
      </w:r>
      <w:proofErr w:type="spellEnd"/>
      <w:r w:rsidRPr="00FA04F2">
        <w:rPr>
          <w:rFonts w:cs="Arial"/>
          <w:bCs/>
          <w:szCs w:val="20"/>
        </w:rPr>
        <w:t>:</w:t>
      </w:r>
    </w:p>
    <w:p w14:paraId="1265D65B" w14:textId="77777777" w:rsidR="00C90F7B" w:rsidRPr="00FA04F2" w:rsidRDefault="00C90F7B" w:rsidP="00C90F7B">
      <w:pPr>
        <w:pStyle w:val="ListParagraph"/>
        <w:numPr>
          <w:ilvl w:val="1"/>
          <w:numId w:val="18"/>
        </w:numPr>
        <w:rPr>
          <w:rFonts w:cs="Arial"/>
          <w:bCs/>
          <w:szCs w:val="20"/>
        </w:rPr>
      </w:pPr>
      <w:r w:rsidRPr="00FA04F2">
        <w:rPr>
          <w:rFonts w:cs="Arial"/>
          <w:bCs/>
          <w:szCs w:val="20"/>
        </w:rPr>
        <w:t>Must meet all of the following:</w:t>
      </w:r>
    </w:p>
    <w:p w14:paraId="67DD1249" w14:textId="77777777" w:rsidR="00C90F7B" w:rsidRPr="00FA04F2" w:rsidRDefault="00C90F7B" w:rsidP="00C90F7B">
      <w:pPr>
        <w:pStyle w:val="ListParagraph"/>
        <w:numPr>
          <w:ilvl w:val="2"/>
          <w:numId w:val="18"/>
        </w:numPr>
        <w:rPr>
          <w:rFonts w:cs="Arial"/>
          <w:bCs/>
          <w:szCs w:val="20"/>
        </w:rPr>
      </w:pPr>
      <w:r w:rsidRPr="00FA04F2">
        <w:rPr>
          <w:rFonts w:cs="Arial"/>
          <w:bCs/>
          <w:szCs w:val="20"/>
        </w:rPr>
        <w:t>Claim is for Fabhalta;</w:t>
      </w:r>
    </w:p>
    <w:p w14:paraId="27136153" w14:textId="77777777" w:rsidR="00C90F7B" w:rsidRPr="00FA04F2" w:rsidRDefault="00C90F7B" w:rsidP="00C90F7B">
      <w:pPr>
        <w:pStyle w:val="ListParagraph"/>
        <w:numPr>
          <w:ilvl w:val="2"/>
          <w:numId w:val="18"/>
        </w:numPr>
        <w:rPr>
          <w:rFonts w:cs="Arial"/>
          <w:bCs/>
          <w:szCs w:val="20"/>
        </w:rPr>
      </w:pPr>
      <w:r w:rsidRPr="00FA04F2">
        <w:rPr>
          <w:rFonts w:cs="Arial"/>
          <w:bCs/>
          <w:szCs w:val="20"/>
        </w:rPr>
        <w:t>Biopsy confirmed diagnosis of primary IgAN;</w:t>
      </w:r>
    </w:p>
    <w:p w14:paraId="2D8968B9" w14:textId="77777777" w:rsidR="00C90F7B" w:rsidRPr="004E3433" w:rsidRDefault="00C90F7B" w:rsidP="00C90F7B">
      <w:pPr>
        <w:pStyle w:val="ListParagraph"/>
        <w:numPr>
          <w:ilvl w:val="2"/>
          <w:numId w:val="18"/>
        </w:numPr>
        <w:rPr>
          <w:rFonts w:cs="Arial"/>
          <w:bCs/>
          <w:szCs w:val="20"/>
        </w:rPr>
      </w:pPr>
      <w:r w:rsidRPr="004E3433">
        <w:rPr>
          <w:rFonts w:cs="Arial"/>
          <w:bCs/>
          <w:szCs w:val="20"/>
        </w:rPr>
        <w:t>Urine protein to creatinine ratio (UPCR) ≥ 1.5 g/g;</w:t>
      </w:r>
    </w:p>
    <w:p w14:paraId="0B834432" w14:textId="7210AAE1" w:rsidR="00C90F7B" w:rsidRPr="00FA04F2" w:rsidRDefault="00C90F7B" w:rsidP="00C90F7B">
      <w:pPr>
        <w:pStyle w:val="ListParagraph"/>
        <w:numPr>
          <w:ilvl w:val="2"/>
          <w:numId w:val="18"/>
        </w:numPr>
        <w:rPr>
          <w:rFonts w:cs="Arial"/>
          <w:bCs/>
          <w:szCs w:val="20"/>
        </w:rPr>
      </w:pPr>
      <w:r w:rsidRPr="00FA04F2">
        <w:rPr>
          <w:rFonts w:cs="Arial"/>
          <w:bCs/>
          <w:szCs w:val="20"/>
        </w:rPr>
        <w:t>Proteinuria &gt;</w:t>
      </w:r>
      <w:r w:rsidR="00397478">
        <w:rPr>
          <w:rFonts w:cs="Arial"/>
          <w:bCs/>
          <w:szCs w:val="20"/>
        </w:rPr>
        <w:t xml:space="preserve"> </w:t>
      </w:r>
      <w:r w:rsidRPr="00FA04F2">
        <w:rPr>
          <w:rFonts w:cs="Arial"/>
          <w:bCs/>
          <w:szCs w:val="20"/>
        </w:rPr>
        <w:t>0.5g/day</w:t>
      </w:r>
    </w:p>
    <w:p w14:paraId="45DBF47A" w14:textId="77777777" w:rsidR="00C90F7B" w:rsidRPr="00FA04F2" w:rsidRDefault="00C90F7B" w:rsidP="00C90F7B">
      <w:pPr>
        <w:pStyle w:val="ListParagraph"/>
        <w:numPr>
          <w:ilvl w:val="2"/>
          <w:numId w:val="18"/>
        </w:numPr>
        <w:rPr>
          <w:rFonts w:cs="Arial"/>
          <w:bCs/>
          <w:szCs w:val="20"/>
        </w:rPr>
      </w:pPr>
      <w:r w:rsidRPr="00FA04F2">
        <w:rPr>
          <w:rFonts w:cs="Arial"/>
          <w:bCs/>
          <w:szCs w:val="20"/>
        </w:rPr>
        <w:t>eGFR ≥ 30 mL/min/1.73 m</w:t>
      </w:r>
      <w:r w:rsidRPr="00FA04F2">
        <w:rPr>
          <w:rFonts w:cs="Arial"/>
          <w:bCs/>
          <w:szCs w:val="20"/>
          <w:vertAlign w:val="superscript"/>
        </w:rPr>
        <w:t>2</w:t>
      </w:r>
      <w:r w:rsidRPr="00FA04F2">
        <w:rPr>
          <w:rFonts w:cs="Arial"/>
          <w:bCs/>
          <w:szCs w:val="20"/>
        </w:rPr>
        <w:t xml:space="preserve">; </w:t>
      </w:r>
    </w:p>
    <w:p w14:paraId="481F24D8" w14:textId="3E36E2A3" w:rsidR="00A771B6" w:rsidRPr="008D031B" w:rsidRDefault="00A771B6" w:rsidP="00A771B6">
      <w:pPr>
        <w:pStyle w:val="ListParagraph"/>
        <w:numPr>
          <w:ilvl w:val="2"/>
          <w:numId w:val="18"/>
        </w:numPr>
        <w:rPr>
          <w:rFonts w:cs="Arial"/>
          <w:b/>
          <w:color w:val="1F497D" w:themeColor="text2"/>
          <w:szCs w:val="20"/>
        </w:rPr>
      </w:pPr>
      <w:r w:rsidRPr="00A263D3">
        <w:rPr>
          <w:rFonts w:cs="Arial"/>
          <w:b/>
          <w:color w:val="1F497D" w:themeColor="text2"/>
          <w:szCs w:val="20"/>
        </w:rPr>
        <w:t>Documentation of concurrent therapy to a maximally tolerated ACEi or ARB unless contraindicated</w:t>
      </w:r>
      <w:r w:rsidR="00EC3550">
        <w:rPr>
          <w:rFonts w:cs="Arial"/>
          <w:b/>
          <w:color w:val="1F497D" w:themeColor="text2"/>
          <w:szCs w:val="20"/>
        </w:rPr>
        <w:t>;</w:t>
      </w:r>
    </w:p>
    <w:p w14:paraId="223EBCA5" w14:textId="77777777" w:rsidR="00C90F7B" w:rsidRPr="008D031B" w:rsidRDefault="00C90F7B" w:rsidP="00C90F7B">
      <w:pPr>
        <w:pStyle w:val="ListParagraph"/>
        <w:numPr>
          <w:ilvl w:val="2"/>
          <w:numId w:val="18"/>
        </w:numPr>
        <w:rPr>
          <w:rFonts w:cs="Arial"/>
          <w:b/>
          <w:strike/>
          <w:color w:val="1F497D" w:themeColor="text2"/>
          <w:szCs w:val="20"/>
        </w:rPr>
      </w:pPr>
      <w:r w:rsidRPr="008D031B">
        <w:rPr>
          <w:rFonts w:cs="Arial"/>
          <w:b/>
          <w:strike/>
          <w:color w:val="1F497D" w:themeColor="text2"/>
          <w:szCs w:val="20"/>
        </w:rPr>
        <w:t>Documented therapeutic trial of an ACEI or ARB at a maximally tolerated dose for at least 3 months of therapy;</w:t>
      </w:r>
    </w:p>
    <w:p w14:paraId="5BD7D4FD" w14:textId="65743163" w:rsidR="00C90F7B" w:rsidRPr="00FA04F2" w:rsidRDefault="00C90F7B" w:rsidP="00C90F7B">
      <w:pPr>
        <w:pStyle w:val="ListParagraph"/>
        <w:numPr>
          <w:ilvl w:val="2"/>
          <w:numId w:val="18"/>
        </w:numPr>
        <w:rPr>
          <w:rFonts w:cs="Arial"/>
          <w:bCs/>
          <w:szCs w:val="20"/>
        </w:rPr>
      </w:pPr>
      <w:r w:rsidRPr="00FA04F2">
        <w:rPr>
          <w:rFonts w:cs="Arial"/>
          <w:bCs/>
          <w:szCs w:val="20"/>
        </w:rPr>
        <w:t xml:space="preserve">Documented therapeutic trial of </w:t>
      </w:r>
      <w:proofErr w:type="spellStart"/>
      <w:r w:rsidRPr="00FA04F2">
        <w:rPr>
          <w:rFonts w:cs="Arial"/>
          <w:bCs/>
          <w:szCs w:val="20"/>
        </w:rPr>
        <w:t>Filspari</w:t>
      </w:r>
      <w:proofErr w:type="spellEnd"/>
      <w:r w:rsidRPr="00FA04F2">
        <w:rPr>
          <w:rFonts w:cs="Arial"/>
          <w:bCs/>
          <w:szCs w:val="20"/>
        </w:rPr>
        <w:t xml:space="preserve"> or </w:t>
      </w:r>
      <w:proofErr w:type="spellStart"/>
      <w:r w:rsidRPr="00FA04F2">
        <w:rPr>
          <w:rFonts w:cs="Arial"/>
          <w:bCs/>
          <w:szCs w:val="20"/>
        </w:rPr>
        <w:t>Vanrafia</w:t>
      </w:r>
      <w:proofErr w:type="spellEnd"/>
      <w:r w:rsidRPr="00FA04F2">
        <w:rPr>
          <w:rFonts w:cs="Arial"/>
          <w:bCs/>
          <w:szCs w:val="20"/>
        </w:rPr>
        <w:t xml:space="preserve"> for at least 6 months of therapy</w:t>
      </w:r>
      <w:r w:rsidR="006A47B6">
        <w:rPr>
          <w:rFonts w:cs="Arial"/>
          <w:b/>
          <w:color w:val="1F497D" w:themeColor="text2"/>
          <w:szCs w:val="20"/>
        </w:rPr>
        <w:t xml:space="preserve">, criteria for Filspari and Vanrafia can be found in </w:t>
      </w:r>
      <w:r w:rsidR="00931F00" w:rsidRPr="00931F00">
        <w:rPr>
          <w:rFonts w:cs="Arial"/>
          <w:b/>
          <w:color w:val="1F497D" w:themeColor="text2"/>
          <w:szCs w:val="20"/>
        </w:rPr>
        <w:t>TIMs, Endothelin Receptor Antagonists for IgA Nephropathy</w:t>
      </w:r>
      <w:r w:rsidR="00931F00">
        <w:rPr>
          <w:rFonts w:cs="Arial"/>
          <w:b/>
          <w:color w:val="1F497D" w:themeColor="text2"/>
          <w:szCs w:val="20"/>
        </w:rPr>
        <w:t xml:space="preserve"> PDL edit, located here</w:t>
      </w:r>
      <w:r w:rsidR="00BC071F">
        <w:rPr>
          <w:rFonts w:cs="Arial"/>
          <w:b/>
          <w:color w:val="1F497D" w:themeColor="text2"/>
          <w:szCs w:val="20"/>
        </w:rPr>
        <w:t xml:space="preserve"> </w:t>
      </w:r>
      <w:hyperlink r:id="rId13" w:tooltip="Pharmacy Clinical Edits and Preferred Drug Lists | mydss.mo.gov" w:history="1">
        <w:r w:rsidR="00BC071F" w:rsidRPr="00133078">
          <w:rPr>
            <w:rStyle w:val="Hyperlink"/>
            <w:rFonts w:cs="Arial"/>
            <w:b/>
            <w:bCs/>
            <w:color w:val="1F497D" w:themeColor="text2"/>
            <w:szCs w:val="20"/>
          </w:rPr>
          <w:t>Pharmacy Clinical Edits and Preferred Drug Lists | mydss.mo.gov</w:t>
        </w:r>
      </w:hyperlink>
      <w:r w:rsidR="00BC071F" w:rsidRPr="00133078">
        <w:rPr>
          <w:rFonts w:cs="Arial"/>
          <w:b/>
          <w:bCs/>
          <w:color w:val="1F497D" w:themeColor="text2"/>
          <w:szCs w:val="20"/>
        </w:rPr>
        <w:t>;</w:t>
      </w:r>
    </w:p>
    <w:p w14:paraId="0212DFF5" w14:textId="77777777" w:rsidR="00C90F7B" w:rsidRPr="00FA04F2" w:rsidRDefault="00C90F7B" w:rsidP="00C90F7B">
      <w:pPr>
        <w:pStyle w:val="ListParagraph"/>
        <w:numPr>
          <w:ilvl w:val="2"/>
          <w:numId w:val="18"/>
        </w:numPr>
        <w:rPr>
          <w:rFonts w:cs="Arial"/>
          <w:bCs/>
          <w:szCs w:val="20"/>
        </w:rPr>
      </w:pPr>
      <w:r w:rsidRPr="00FA04F2">
        <w:rPr>
          <w:rFonts w:cs="Arial"/>
          <w:bCs/>
          <w:szCs w:val="20"/>
        </w:rPr>
        <w:t xml:space="preserve">Participant is not on hemodialysis; </w:t>
      </w:r>
      <w:r w:rsidRPr="00397478">
        <w:rPr>
          <w:rFonts w:cs="Arial"/>
          <w:b/>
          <w:szCs w:val="20"/>
        </w:rPr>
        <w:t>AND</w:t>
      </w:r>
    </w:p>
    <w:p w14:paraId="292658A7" w14:textId="77777777" w:rsidR="00C90F7B" w:rsidRPr="00FA04F2" w:rsidRDefault="00C90F7B" w:rsidP="00C90F7B">
      <w:pPr>
        <w:pStyle w:val="ListParagraph"/>
        <w:numPr>
          <w:ilvl w:val="2"/>
          <w:numId w:val="18"/>
        </w:numPr>
        <w:rPr>
          <w:rFonts w:cs="Arial"/>
          <w:bCs/>
          <w:szCs w:val="20"/>
        </w:rPr>
      </w:pPr>
      <w:r w:rsidRPr="00FA04F2">
        <w:rPr>
          <w:rFonts w:cs="Arial"/>
          <w:bCs/>
          <w:szCs w:val="20"/>
        </w:rPr>
        <w:t>Participant lacks history of renal transplant.</w:t>
      </w:r>
    </w:p>
    <w:p w14:paraId="4AD15ABF" w14:textId="77777777" w:rsidR="00397478" w:rsidRDefault="00397478" w:rsidP="00397478">
      <w:pPr>
        <w:pStyle w:val="ListParagraph"/>
        <w:numPr>
          <w:ilvl w:val="0"/>
          <w:numId w:val="0"/>
        </w:numPr>
        <w:ind w:left="360"/>
        <w:rPr>
          <w:rFonts w:cs="Arial"/>
          <w:bCs/>
          <w:szCs w:val="20"/>
        </w:rPr>
      </w:pPr>
    </w:p>
    <w:p w14:paraId="3F23BD50" w14:textId="58763B64" w:rsidR="00C90F7B" w:rsidRPr="003947FF" w:rsidRDefault="00C90F7B" w:rsidP="00C90F7B">
      <w:pPr>
        <w:pStyle w:val="ListParagraph"/>
        <w:numPr>
          <w:ilvl w:val="0"/>
          <w:numId w:val="18"/>
        </w:numPr>
        <w:rPr>
          <w:rFonts w:cs="Arial"/>
          <w:bCs/>
          <w:szCs w:val="20"/>
        </w:rPr>
      </w:pPr>
      <w:r w:rsidRPr="003947FF">
        <w:rPr>
          <w:rFonts w:cs="Arial"/>
          <w:bCs/>
          <w:szCs w:val="20"/>
        </w:rPr>
        <w:t>For a documented diagnosis of C3G:</w:t>
      </w:r>
    </w:p>
    <w:p w14:paraId="59226AD8" w14:textId="77777777" w:rsidR="00C90F7B" w:rsidRPr="003947FF" w:rsidRDefault="00C90F7B" w:rsidP="00C90F7B">
      <w:pPr>
        <w:pStyle w:val="ListParagraph"/>
        <w:numPr>
          <w:ilvl w:val="1"/>
          <w:numId w:val="18"/>
        </w:numPr>
        <w:rPr>
          <w:rFonts w:cs="Arial"/>
          <w:bCs/>
          <w:szCs w:val="20"/>
        </w:rPr>
      </w:pPr>
      <w:r w:rsidRPr="003947FF">
        <w:rPr>
          <w:rFonts w:cs="Arial"/>
          <w:bCs/>
          <w:szCs w:val="20"/>
        </w:rPr>
        <w:t>Must meet all of the following:</w:t>
      </w:r>
    </w:p>
    <w:p w14:paraId="1869D6EF" w14:textId="77777777" w:rsidR="00C90F7B" w:rsidRPr="003947FF" w:rsidRDefault="00C90F7B" w:rsidP="00C90F7B">
      <w:pPr>
        <w:pStyle w:val="ListParagraph"/>
        <w:numPr>
          <w:ilvl w:val="2"/>
          <w:numId w:val="18"/>
        </w:numPr>
        <w:rPr>
          <w:rFonts w:cs="Arial"/>
          <w:bCs/>
          <w:szCs w:val="20"/>
        </w:rPr>
      </w:pPr>
      <w:r w:rsidRPr="003947FF">
        <w:rPr>
          <w:rFonts w:cs="Arial"/>
          <w:bCs/>
          <w:szCs w:val="20"/>
        </w:rPr>
        <w:t>Claim is for Empaveli or Fabhalta;</w:t>
      </w:r>
    </w:p>
    <w:p w14:paraId="2F6748F8" w14:textId="77777777" w:rsidR="00C90F7B" w:rsidRPr="003947FF" w:rsidRDefault="00C90F7B" w:rsidP="00C90F7B">
      <w:pPr>
        <w:pStyle w:val="ListParagraph"/>
        <w:numPr>
          <w:ilvl w:val="2"/>
          <w:numId w:val="18"/>
        </w:numPr>
        <w:rPr>
          <w:rFonts w:cs="Arial"/>
          <w:bCs/>
          <w:szCs w:val="20"/>
        </w:rPr>
      </w:pPr>
      <w:r w:rsidRPr="003947FF">
        <w:rPr>
          <w:rFonts w:cs="Arial"/>
          <w:bCs/>
          <w:szCs w:val="20"/>
        </w:rPr>
        <w:t>Biopsy confirmed diagnosis of C3G;</w:t>
      </w:r>
    </w:p>
    <w:p w14:paraId="28672A23" w14:textId="77777777" w:rsidR="00C90F7B" w:rsidRPr="003947FF" w:rsidRDefault="00C90F7B" w:rsidP="00C90F7B">
      <w:pPr>
        <w:pStyle w:val="ListParagraph"/>
        <w:numPr>
          <w:ilvl w:val="2"/>
          <w:numId w:val="18"/>
        </w:numPr>
        <w:rPr>
          <w:rFonts w:cs="Arial"/>
          <w:bCs/>
          <w:szCs w:val="20"/>
        </w:rPr>
      </w:pPr>
      <w:r w:rsidRPr="003947FF">
        <w:rPr>
          <w:rFonts w:cs="Arial"/>
          <w:bCs/>
          <w:szCs w:val="20"/>
        </w:rPr>
        <w:t>UPCR ≥ 1 g/g;</w:t>
      </w:r>
    </w:p>
    <w:p w14:paraId="18C8449A" w14:textId="5598C59E" w:rsidR="00C90F7B" w:rsidRDefault="00C90F7B" w:rsidP="00C90F7B">
      <w:pPr>
        <w:pStyle w:val="ListParagraph"/>
        <w:numPr>
          <w:ilvl w:val="2"/>
          <w:numId w:val="18"/>
        </w:numPr>
        <w:rPr>
          <w:rFonts w:cs="Arial"/>
          <w:bCs/>
          <w:szCs w:val="20"/>
        </w:rPr>
      </w:pPr>
      <w:r w:rsidRPr="003947FF">
        <w:rPr>
          <w:rFonts w:cs="Arial"/>
          <w:bCs/>
          <w:szCs w:val="20"/>
        </w:rPr>
        <w:t>eGFR ≥ 30mL/min/1.73m</w:t>
      </w:r>
      <w:r w:rsidRPr="003947FF">
        <w:rPr>
          <w:rFonts w:cs="Arial"/>
          <w:bCs/>
          <w:szCs w:val="20"/>
          <w:vertAlign w:val="superscript"/>
        </w:rPr>
        <w:t>2</w:t>
      </w:r>
      <w:r w:rsidRPr="003947FF">
        <w:rPr>
          <w:rFonts w:cs="Arial"/>
          <w:bCs/>
          <w:szCs w:val="20"/>
        </w:rPr>
        <w:t>;</w:t>
      </w:r>
      <w:r w:rsidR="00EC3550">
        <w:rPr>
          <w:rFonts w:cs="Arial"/>
          <w:bCs/>
          <w:szCs w:val="20"/>
        </w:rPr>
        <w:t xml:space="preserve"> </w:t>
      </w:r>
      <w:r w:rsidR="00EC3550" w:rsidRPr="00EC3550">
        <w:rPr>
          <w:rFonts w:cs="Arial"/>
          <w:b/>
          <w:szCs w:val="20"/>
        </w:rPr>
        <w:t>AND</w:t>
      </w:r>
    </w:p>
    <w:p w14:paraId="6CC00AF3" w14:textId="60E231B6" w:rsidR="00EC29E8" w:rsidRPr="00A263D3" w:rsidRDefault="00A263D3" w:rsidP="00C90F7B">
      <w:pPr>
        <w:pStyle w:val="ListParagraph"/>
        <w:numPr>
          <w:ilvl w:val="2"/>
          <w:numId w:val="18"/>
        </w:numPr>
        <w:rPr>
          <w:rFonts w:cs="Arial"/>
          <w:b/>
          <w:color w:val="1F497D" w:themeColor="text2"/>
          <w:szCs w:val="20"/>
        </w:rPr>
      </w:pPr>
      <w:r w:rsidRPr="00A263D3">
        <w:rPr>
          <w:rFonts w:cs="Arial"/>
          <w:b/>
          <w:color w:val="1F497D" w:themeColor="text2"/>
          <w:szCs w:val="20"/>
        </w:rPr>
        <w:t>Documentation of concurrent therapy to a maximally tolerated ACEi or ARB unless contraindicated</w:t>
      </w:r>
      <w:r w:rsidR="00EC3550">
        <w:rPr>
          <w:rFonts w:cs="Arial"/>
          <w:b/>
          <w:color w:val="1F497D" w:themeColor="text2"/>
          <w:szCs w:val="20"/>
        </w:rPr>
        <w:t>.</w:t>
      </w:r>
    </w:p>
    <w:p w14:paraId="55FC9126" w14:textId="77777777" w:rsidR="00C90F7B" w:rsidRPr="00EC29E8" w:rsidRDefault="00C90F7B" w:rsidP="00C90F7B">
      <w:pPr>
        <w:pStyle w:val="ListParagraph"/>
        <w:numPr>
          <w:ilvl w:val="2"/>
          <w:numId w:val="18"/>
        </w:numPr>
        <w:rPr>
          <w:rFonts w:cs="Arial"/>
          <w:b/>
          <w:strike/>
          <w:color w:val="1F497D" w:themeColor="text2"/>
          <w:szCs w:val="20"/>
        </w:rPr>
      </w:pPr>
      <w:r w:rsidRPr="00EC29E8">
        <w:rPr>
          <w:rFonts w:cs="Arial"/>
          <w:b/>
          <w:strike/>
          <w:color w:val="1F497D" w:themeColor="text2"/>
          <w:szCs w:val="20"/>
        </w:rPr>
        <w:t>Documented therapeutic trial of an ACEI or ARB at a maximally tolerated dose for at least 3 months of therapy; AND</w:t>
      </w:r>
    </w:p>
    <w:p w14:paraId="55594A67" w14:textId="77777777" w:rsidR="00C90F7B" w:rsidRPr="00EC29E8" w:rsidRDefault="00C90F7B" w:rsidP="00C90F7B">
      <w:pPr>
        <w:pStyle w:val="ListParagraph"/>
        <w:numPr>
          <w:ilvl w:val="2"/>
          <w:numId w:val="18"/>
        </w:numPr>
        <w:rPr>
          <w:rFonts w:cs="Arial"/>
          <w:b/>
          <w:strike/>
          <w:color w:val="1F497D" w:themeColor="text2"/>
          <w:szCs w:val="20"/>
        </w:rPr>
      </w:pPr>
      <w:r w:rsidRPr="00EC29E8">
        <w:rPr>
          <w:rFonts w:cs="Arial"/>
          <w:b/>
          <w:strike/>
          <w:color w:val="1F497D" w:themeColor="text2"/>
          <w:szCs w:val="20"/>
        </w:rPr>
        <w:t>Currently on glucocorticoids and/or mycophenolate mofetil/sodium at maximally tolerated doses or has contraindication to glucocorticoid or mycophenolate therapy.</w:t>
      </w:r>
    </w:p>
    <w:p w14:paraId="5D8824F6" w14:textId="5E913315" w:rsidR="00C90F7B" w:rsidRPr="003947FF" w:rsidRDefault="00C90F7B" w:rsidP="00C90F7B">
      <w:pPr>
        <w:pStyle w:val="ListParagraph"/>
        <w:numPr>
          <w:ilvl w:val="2"/>
          <w:numId w:val="18"/>
        </w:numPr>
        <w:rPr>
          <w:rFonts w:cs="Arial"/>
          <w:bCs/>
          <w:szCs w:val="20"/>
        </w:rPr>
      </w:pPr>
      <w:r w:rsidRPr="003947FF">
        <w:rPr>
          <w:rFonts w:cs="Arial"/>
          <w:bCs/>
          <w:szCs w:val="20"/>
        </w:rPr>
        <w:t>Additional approval criteria for Fabh</w:t>
      </w:r>
      <w:r w:rsidR="00203C09">
        <w:rPr>
          <w:rFonts w:cs="Arial"/>
          <w:bCs/>
          <w:szCs w:val="20"/>
        </w:rPr>
        <w:t>al</w:t>
      </w:r>
      <w:r w:rsidRPr="003947FF">
        <w:rPr>
          <w:rFonts w:cs="Arial"/>
          <w:bCs/>
          <w:szCs w:val="20"/>
        </w:rPr>
        <w:t>ta:</w:t>
      </w:r>
    </w:p>
    <w:p w14:paraId="4AFEDF83" w14:textId="77777777" w:rsidR="00C90F7B" w:rsidRPr="003947FF" w:rsidRDefault="00C90F7B" w:rsidP="00C90F7B">
      <w:pPr>
        <w:pStyle w:val="ListParagraph"/>
        <w:numPr>
          <w:ilvl w:val="3"/>
          <w:numId w:val="18"/>
        </w:numPr>
        <w:rPr>
          <w:rFonts w:cs="Arial"/>
          <w:bCs/>
          <w:szCs w:val="20"/>
        </w:rPr>
      </w:pPr>
      <w:r w:rsidRPr="003947FF">
        <w:rPr>
          <w:rFonts w:cs="Arial"/>
          <w:bCs/>
          <w:szCs w:val="20"/>
        </w:rPr>
        <w:t>Participant is 18 years of age or older.</w:t>
      </w:r>
    </w:p>
    <w:p w14:paraId="2ED17EE1" w14:textId="77777777" w:rsidR="00C90F7B" w:rsidRPr="003947FF" w:rsidRDefault="00C90F7B" w:rsidP="00C90F7B">
      <w:pPr>
        <w:pStyle w:val="ListParagraph"/>
        <w:numPr>
          <w:ilvl w:val="2"/>
          <w:numId w:val="18"/>
        </w:numPr>
        <w:rPr>
          <w:rFonts w:cs="Arial"/>
          <w:bCs/>
          <w:szCs w:val="20"/>
        </w:rPr>
      </w:pPr>
      <w:r w:rsidRPr="003947FF">
        <w:rPr>
          <w:rFonts w:cs="Arial"/>
          <w:bCs/>
          <w:szCs w:val="20"/>
        </w:rPr>
        <w:t>Additional approval criteria for Empaveli:</w:t>
      </w:r>
    </w:p>
    <w:p w14:paraId="35FD52DC" w14:textId="77777777" w:rsidR="00C90F7B" w:rsidRPr="003947FF" w:rsidRDefault="00C90F7B" w:rsidP="00C90F7B">
      <w:pPr>
        <w:pStyle w:val="ListParagraph"/>
        <w:numPr>
          <w:ilvl w:val="3"/>
          <w:numId w:val="18"/>
        </w:numPr>
        <w:rPr>
          <w:rFonts w:cs="Arial"/>
          <w:bCs/>
          <w:szCs w:val="20"/>
        </w:rPr>
      </w:pPr>
      <w:r w:rsidRPr="003947FF">
        <w:rPr>
          <w:rFonts w:cs="Arial"/>
          <w:bCs/>
          <w:szCs w:val="20"/>
        </w:rPr>
        <w:lastRenderedPageBreak/>
        <w:t>Participant is 12 years of age or older.</w:t>
      </w:r>
    </w:p>
    <w:p w14:paraId="2D53EEBE" w14:textId="77777777" w:rsidR="000E696B" w:rsidRDefault="000E696B" w:rsidP="000E696B">
      <w:pPr>
        <w:pStyle w:val="ListParagraph"/>
        <w:numPr>
          <w:ilvl w:val="0"/>
          <w:numId w:val="0"/>
        </w:numPr>
        <w:ind w:left="360"/>
        <w:rPr>
          <w:rFonts w:cs="Arial"/>
          <w:bCs/>
          <w:szCs w:val="20"/>
        </w:rPr>
      </w:pPr>
    </w:p>
    <w:p w14:paraId="52608296" w14:textId="7243C7C6" w:rsidR="00C90F7B" w:rsidRPr="003947FF" w:rsidRDefault="00C90F7B" w:rsidP="00C90F7B">
      <w:pPr>
        <w:pStyle w:val="ListParagraph"/>
        <w:numPr>
          <w:ilvl w:val="0"/>
          <w:numId w:val="18"/>
        </w:numPr>
        <w:rPr>
          <w:rFonts w:cs="Arial"/>
          <w:bCs/>
          <w:szCs w:val="20"/>
        </w:rPr>
      </w:pPr>
      <w:r w:rsidRPr="003947FF">
        <w:rPr>
          <w:rFonts w:cs="Arial"/>
          <w:bCs/>
          <w:szCs w:val="20"/>
        </w:rPr>
        <w:t>For a documented diagnosis of primary immune-complex membranoproliferative glomerulonephritis (IC-MPGN):</w:t>
      </w:r>
    </w:p>
    <w:p w14:paraId="5B7E84F7" w14:textId="77777777" w:rsidR="00C90F7B" w:rsidRPr="003947FF" w:rsidRDefault="00C90F7B" w:rsidP="00C90F7B">
      <w:pPr>
        <w:pStyle w:val="ListParagraph"/>
        <w:numPr>
          <w:ilvl w:val="1"/>
          <w:numId w:val="18"/>
        </w:numPr>
        <w:rPr>
          <w:rFonts w:cs="Arial"/>
          <w:bCs/>
          <w:szCs w:val="20"/>
        </w:rPr>
      </w:pPr>
      <w:r w:rsidRPr="003947FF">
        <w:rPr>
          <w:rFonts w:cs="Arial"/>
          <w:bCs/>
          <w:szCs w:val="20"/>
        </w:rPr>
        <w:t>Must meet all of the following:</w:t>
      </w:r>
    </w:p>
    <w:p w14:paraId="1FBFD4B8" w14:textId="77777777" w:rsidR="00C90F7B" w:rsidRPr="003947FF" w:rsidRDefault="00C90F7B" w:rsidP="00C90F7B">
      <w:pPr>
        <w:pStyle w:val="ListParagraph"/>
        <w:numPr>
          <w:ilvl w:val="2"/>
          <w:numId w:val="18"/>
        </w:numPr>
        <w:rPr>
          <w:rFonts w:cs="Arial"/>
          <w:bCs/>
          <w:szCs w:val="20"/>
        </w:rPr>
      </w:pPr>
      <w:r w:rsidRPr="003947FF">
        <w:rPr>
          <w:rFonts w:cs="Arial"/>
          <w:bCs/>
          <w:szCs w:val="20"/>
        </w:rPr>
        <w:t>Claim is for Empaveli;</w:t>
      </w:r>
    </w:p>
    <w:p w14:paraId="1D505A48" w14:textId="77777777" w:rsidR="00C90F7B" w:rsidRPr="003947FF" w:rsidRDefault="00C90F7B" w:rsidP="00C90F7B">
      <w:pPr>
        <w:pStyle w:val="ListParagraph"/>
        <w:numPr>
          <w:ilvl w:val="2"/>
          <w:numId w:val="18"/>
        </w:numPr>
        <w:rPr>
          <w:rFonts w:cs="Arial"/>
          <w:bCs/>
          <w:szCs w:val="20"/>
        </w:rPr>
      </w:pPr>
      <w:r w:rsidRPr="003947FF">
        <w:rPr>
          <w:rFonts w:cs="Arial"/>
          <w:bCs/>
          <w:szCs w:val="20"/>
        </w:rPr>
        <w:t>Participant is 12 years of age or older;</w:t>
      </w:r>
    </w:p>
    <w:p w14:paraId="2EA441EA" w14:textId="77777777" w:rsidR="00C90F7B" w:rsidRPr="003947FF" w:rsidRDefault="00C90F7B" w:rsidP="00C90F7B">
      <w:pPr>
        <w:pStyle w:val="ListParagraph"/>
        <w:numPr>
          <w:ilvl w:val="2"/>
          <w:numId w:val="18"/>
        </w:numPr>
        <w:rPr>
          <w:rFonts w:cs="Arial"/>
          <w:bCs/>
          <w:szCs w:val="20"/>
        </w:rPr>
      </w:pPr>
      <w:r w:rsidRPr="003947FF">
        <w:rPr>
          <w:rFonts w:cs="Arial"/>
          <w:bCs/>
          <w:szCs w:val="20"/>
        </w:rPr>
        <w:t>Biopsy confirmed diagnosis of IC-MPGN;</w:t>
      </w:r>
    </w:p>
    <w:p w14:paraId="6E818BF7" w14:textId="77777777" w:rsidR="00C90F7B" w:rsidRPr="003947FF" w:rsidRDefault="00C90F7B" w:rsidP="00C90F7B">
      <w:pPr>
        <w:pStyle w:val="ListParagraph"/>
        <w:numPr>
          <w:ilvl w:val="2"/>
          <w:numId w:val="18"/>
        </w:numPr>
        <w:rPr>
          <w:rFonts w:cs="Arial"/>
          <w:bCs/>
          <w:szCs w:val="20"/>
        </w:rPr>
      </w:pPr>
      <w:r w:rsidRPr="003947FF">
        <w:rPr>
          <w:rFonts w:cs="Arial"/>
          <w:bCs/>
          <w:szCs w:val="20"/>
        </w:rPr>
        <w:t>UPCR ≥ 1 g/g;</w:t>
      </w:r>
    </w:p>
    <w:p w14:paraId="7AE37A63" w14:textId="2DF0D8DF" w:rsidR="00C90F7B" w:rsidRPr="003947FF" w:rsidRDefault="00C90F7B" w:rsidP="00C90F7B">
      <w:pPr>
        <w:pStyle w:val="ListParagraph"/>
        <w:numPr>
          <w:ilvl w:val="2"/>
          <w:numId w:val="18"/>
        </w:numPr>
        <w:rPr>
          <w:rFonts w:cs="Arial"/>
          <w:bCs/>
          <w:szCs w:val="20"/>
        </w:rPr>
      </w:pPr>
      <w:r w:rsidRPr="003947FF">
        <w:rPr>
          <w:rFonts w:cs="Arial"/>
          <w:bCs/>
          <w:szCs w:val="20"/>
        </w:rPr>
        <w:t>eGFR ≥ 30mL/min/1.73m</w:t>
      </w:r>
      <w:r w:rsidRPr="003947FF">
        <w:rPr>
          <w:rFonts w:cs="Arial"/>
          <w:bCs/>
          <w:szCs w:val="20"/>
          <w:vertAlign w:val="superscript"/>
        </w:rPr>
        <w:t>2</w:t>
      </w:r>
      <w:r w:rsidRPr="003947FF">
        <w:rPr>
          <w:rFonts w:cs="Arial"/>
          <w:bCs/>
          <w:szCs w:val="20"/>
        </w:rPr>
        <w:t>;</w:t>
      </w:r>
      <w:r w:rsidR="009047C3">
        <w:rPr>
          <w:rFonts w:cs="Arial"/>
          <w:bCs/>
          <w:szCs w:val="20"/>
        </w:rPr>
        <w:t xml:space="preserve"> </w:t>
      </w:r>
      <w:r w:rsidR="009047C3" w:rsidRPr="009047C3">
        <w:rPr>
          <w:rFonts w:cs="Arial"/>
          <w:b/>
          <w:szCs w:val="20"/>
        </w:rPr>
        <w:t>AND</w:t>
      </w:r>
    </w:p>
    <w:p w14:paraId="0CCDC19C" w14:textId="72583009" w:rsidR="00A263D3" w:rsidRPr="00A263D3" w:rsidRDefault="00A263D3" w:rsidP="00A263D3">
      <w:pPr>
        <w:pStyle w:val="ListParagraph"/>
        <w:numPr>
          <w:ilvl w:val="2"/>
          <w:numId w:val="18"/>
        </w:numPr>
        <w:rPr>
          <w:rFonts w:cs="Arial"/>
          <w:b/>
          <w:color w:val="1F497D" w:themeColor="text2"/>
          <w:szCs w:val="20"/>
        </w:rPr>
      </w:pPr>
      <w:r w:rsidRPr="00A263D3">
        <w:rPr>
          <w:rFonts w:cs="Arial"/>
          <w:b/>
          <w:color w:val="1F497D" w:themeColor="text2"/>
          <w:szCs w:val="20"/>
        </w:rPr>
        <w:t>Documentation of concurrent therapy to a maximally tolerated ACEi or ARB unless contraindicated</w:t>
      </w:r>
      <w:r w:rsidR="009047C3">
        <w:rPr>
          <w:rFonts w:cs="Arial"/>
          <w:b/>
          <w:color w:val="1F497D" w:themeColor="text2"/>
          <w:szCs w:val="20"/>
        </w:rPr>
        <w:t>.</w:t>
      </w:r>
    </w:p>
    <w:p w14:paraId="03DB2B51" w14:textId="77777777" w:rsidR="00C90F7B" w:rsidRPr="00A263D3" w:rsidRDefault="00C90F7B" w:rsidP="00C90F7B">
      <w:pPr>
        <w:pStyle w:val="ListParagraph"/>
        <w:numPr>
          <w:ilvl w:val="2"/>
          <w:numId w:val="18"/>
        </w:numPr>
        <w:rPr>
          <w:rFonts w:cs="Arial"/>
          <w:b/>
          <w:strike/>
          <w:color w:val="1F497D" w:themeColor="text2"/>
          <w:szCs w:val="20"/>
        </w:rPr>
      </w:pPr>
      <w:r w:rsidRPr="00A263D3">
        <w:rPr>
          <w:rFonts w:cs="Arial"/>
          <w:b/>
          <w:strike/>
          <w:color w:val="1F497D" w:themeColor="text2"/>
          <w:szCs w:val="20"/>
        </w:rPr>
        <w:t>Documented therapeutic trial of an ACEI or ARB at a maximally tolerated dose for at least 3 months of therapy; AND</w:t>
      </w:r>
    </w:p>
    <w:p w14:paraId="0A1985F1" w14:textId="77777777" w:rsidR="00C90F7B" w:rsidRPr="00A263D3" w:rsidRDefault="00C90F7B" w:rsidP="00C90F7B">
      <w:pPr>
        <w:pStyle w:val="ListParagraph"/>
        <w:numPr>
          <w:ilvl w:val="2"/>
          <w:numId w:val="18"/>
        </w:numPr>
        <w:rPr>
          <w:rFonts w:cs="Arial"/>
          <w:b/>
          <w:strike/>
          <w:color w:val="1F497D" w:themeColor="text2"/>
          <w:szCs w:val="20"/>
        </w:rPr>
      </w:pPr>
      <w:r w:rsidRPr="00A263D3">
        <w:rPr>
          <w:rFonts w:cs="Arial"/>
          <w:b/>
          <w:strike/>
          <w:color w:val="1F497D" w:themeColor="text2"/>
          <w:szCs w:val="20"/>
        </w:rPr>
        <w:t>Currently on glucocorticoids and/or mycophenolate mofetil/sodium at maximally tolerated doses or has contraindication to glucocorticoid or mycophenolate therapy.</w:t>
      </w:r>
    </w:p>
    <w:p w14:paraId="34DA96FE" w14:textId="77777777" w:rsidR="00467997" w:rsidRPr="002C2C41" w:rsidRDefault="00467997"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3DE16849" w14:textId="77777777" w:rsidR="007A7C9B" w:rsidRPr="007B5256" w:rsidRDefault="007A7C9B" w:rsidP="007A7C9B">
      <w:pPr>
        <w:pStyle w:val="ListParagraph"/>
        <w:rPr>
          <w:u w:val="single"/>
        </w:rPr>
      </w:pPr>
      <w:r w:rsidRPr="006C6FE0">
        <w:t>Must meet all of the following:</w:t>
      </w:r>
    </w:p>
    <w:p w14:paraId="0B6A97C2" w14:textId="77777777" w:rsidR="007A7C9B" w:rsidRPr="007B5256" w:rsidRDefault="007A7C9B" w:rsidP="007A7C9B">
      <w:pPr>
        <w:pStyle w:val="ListParagraph"/>
        <w:numPr>
          <w:ilvl w:val="1"/>
          <w:numId w:val="6"/>
        </w:numPr>
        <w:rPr>
          <w:rFonts w:cs="Arial"/>
          <w:szCs w:val="20"/>
          <w:u w:val="single"/>
        </w:rPr>
      </w:pPr>
      <w:r w:rsidRPr="007B5256">
        <w:rPr>
          <w:rFonts w:cs="Arial"/>
          <w:szCs w:val="20"/>
        </w:rPr>
        <w:t xml:space="preserve">Documented compliance to prescribed drug therapy; </w:t>
      </w:r>
      <w:r w:rsidRPr="007B5256">
        <w:rPr>
          <w:rFonts w:cs="Arial"/>
          <w:b/>
          <w:bCs/>
          <w:szCs w:val="20"/>
        </w:rPr>
        <w:t>AND</w:t>
      </w:r>
    </w:p>
    <w:p w14:paraId="134C9BC9" w14:textId="77777777" w:rsidR="007A7C9B" w:rsidRPr="007B5256" w:rsidRDefault="007A7C9B" w:rsidP="007A7C9B">
      <w:pPr>
        <w:pStyle w:val="ListParagraph"/>
        <w:numPr>
          <w:ilvl w:val="1"/>
          <w:numId w:val="6"/>
        </w:numPr>
        <w:rPr>
          <w:rFonts w:cs="Arial"/>
          <w:szCs w:val="20"/>
          <w:u w:val="single"/>
        </w:rPr>
      </w:pPr>
      <w:r w:rsidRPr="007B5256">
        <w:rPr>
          <w:rFonts w:cs="Arial"/>
          <w:szCs w:val="20"/>
        </w:rPr>
        <w:t>Diagnosis-specific documentation as detailed below:</w:t>
      </w:r>
    </w:p>
    <w:p w14:paraId="7D012B3C" w14:textId="77777777" w:rsidR="007A7C9B" w:rsidRPr="00314676" w:rsidRDefault="007A7C9B" w:rsidP="007A7C9B">
      <w:pPr>
        <w:pStyle w:val="ListParagraph"/>
        <w:numPr>
          <w:ilvl w:val="2"/>
          <w:numId w:val="6"/>
        </w:numPr>
        <w:rPr>
          <w:rFonts w:cs="Arial"/>
          <w:b/>
          <w:bCs/>
          <w:szCs w:val="20"/>
        </w:rPr>
      </w:pPr>
      <w:r>
        <w:rPr>
          <w:rFonts w:cs="Arial"/>
          <w:szCs w:val="20"/>
        </w:rPr>
        <w:t>PNH:</w:t>
      </w:r>
    </w:p>
    <w:p w14:paraId="30E485FF" w14:textId="77777777" w:rsidR="007A7C9B" w:rsidRPr="0044070E" w:rsidRDefault="007A7C9B" w:rsidP="00723449">
      <w:pPr>
        <w:pStyle w:val="ListParagraph"/>
        <w:numPr>
          <w:ilvl w:val="3"/>
          <w:numId w:val="6"/>
        </w:numPr>
        <w:ind w:left="1440"/>
        <w:rPr>
          <w:rFonts w:cs="Arial"/>
          <w:b/>
          <w:bCs/>
          <w:szCs w:val="20"/>
        </w:rPr>
      </w:pPr>
      <w:r>
        <w:rPr>
          <w:rFonts w:cs="Arial"/>
          <w:szCs w:val="20"/>
        </w:rPr>
        <w:t>Renewal of prior authorization may be given following documentation of one the following:</w:t>
      </w:r>
    </w:p>
    <w:p w14:paraId="49F56260" w14:textId="77777777" w:rsidR="007A7C9B" w:rsidRDefault="007A7C9B" w:rsidP="00723449">
      <w:pPr>
        <w:pStyle w:val="ListParagraph"/>
        <w:numPr>
          <w:ilvl w:val="4"/>
          <w:numId w:val="6"/>
        </w:numPr>
        <w:ind w:left="1800"/>
        <w:rPr>
          <w:rFonts w:cs="Arial"/>
          <w:bCs/>
          <w:szCs w:val="20"/>
        </w:rPr>
      </w:pPr>
      <w:r>
        <w:rPr>
          <w:rFonts w:cs="Arial"/>
          <w:bCs/>
          <w:szCs w:val="20"/>
        </w:rPr>
        <w:t>Improvement or less than expected decline in fatigue and quality of life;</w:t>
      </w:r>
    </w:p>
    <w:p w14:paraId="65CBD570" w14:textId="77777777" w:rsidR="007A7C9B" w:rsidRDefault="007A7C9B" w:rsidP="00723449">
      <w:pPr>
        <w:pStyle w:val="ListParagraph"/>
        <w:numPr>
          <w:ilvl w:val="4"/>
          <w:numId w:val="6"/>
        </w:numPr>
        <w:ind w:left="1800"/>
        <w:rPr>
          <w:rFonts w:cs="Arial"/>
          <w:bCs/>
          <w:szCs w:val="20"/>
        </w:rPr>
      </w:pPr>
      <w:r>
        <w:rPr>
          <w:rFonts w:cs="Arial"/>
          <w:bCs/>
          <w:szCs w:val="20"/>
        </w:rPr>
        <w:t>Decrease in transfusion burden;</w:t>
      </w:r>
    </w:p>
    <w:p w14:paraId="57C81E5A" w14:textId="77777777" w:rsidR="007A7C9B" w:rsidRDefault="007A7C9B" w:rsidP="00723449">
      <w:pPr>
        <w:pStyle w:val="ListParagraph"/>
        <w:numPr>
          <w:ilvl w:val="4"/>
          <w:numId w:val="6"/>
        </w:numPr>
        <w:ind w:left="1800"/>
        <w:rPr>
          <w:rFonts w:cs="Arial"/>
          <w:bCs/>
          <w:szCs w:val="20"/>
        </w:rPr>
      </w:pPr>
      <w:r>
        <w:rPr>
          <w:rFonts w:cs="Arial"/>
          <w:bCs/>
          <w:szCs w:val="20"/>
        </w:rPr>
        <w:t xml:space="preserve">Increase in Hb levels from baseline; </w:t>
      </w:r>
      <w:r w:rsidRPr="00416435">
        <w:rPr>
          <w:rFonts w:cs="Arial"/>
          <w:b/>
          <w:szCs w:val="20"/>
        </w:rPr>
        <w:t>OR</w:t>
      </w:r>
    </w:p>
    <w:p w14:paraId="3341356B" w14:textId="77777777" w:rsidR="007A7C9B" w:rsidRDefault="007A7C9B" w:rsidP="00723449">
      <w:pPr>
        <w:pStyle w:val="ListParagraph"/>
        <w:numPr>
          <w:ilvl w:val="4"/>
          <w:numId w:val="6"/>
        </w:numPr>
        <w:ind w:left="1800"/>
        <w:rPr>
          <w:rFonts w:cs="Arial"/>
          <w:bCs/>
          <w:szCs w:val="20"/>
        </w:rPr>
      </w:pPr>
      <w:r>
        <w:rPr>
          <w:rFonts w:cs="Arial"/>
          <w:bCs/>
          <w:szCs w:val="20"/>
        </w:rPr>
        <w:t>Normalization of LDH levels.</w:t>
      </w:r>
    </w:p>
    <w:p w14:paraId="67AB11BA" w14:textId="77777777" w:rsidR="007A7C9B" w:rsidRPr="005629DB" w:rsidRDefault="007A7C9B" w:rsidP="00723449">
      <w:pPr>
        <w:pStyle w:val="ListParagraph"/>
        <w:numPr>
          <w:ilvl w:val="3"/>
          <w:numId w:val="6"/>
        </w:numPr>
        <w:ind w:left="1440"/>
        <w:rPr>
          <w:rFonts w:cs="Arial"/>
          <w:bCs/>
          <w:szCs w:val="20"/>
        </w:rPr>
      </w:pPr>
      <w:r w:rsidRPr="005629DB">
        <w:rPr>
          <w:rFonts w:cs="Arial"/>
          <w:bCs/>
          <w:szCs w:val="20"/>
        </w:rPr>
        <w:t>Additional continuation criteria for Voydeya:</w:t>
      </w:r>
    </w:p>
    <w:p w14:paraId="28D3EDD4" w14:textId="77777777" w:rsidR="007A7C9B" w:rsidRPr="005629DB" w:rsidRDefault="007A7C9B" w:rsidP="00723449">
      <w:pPr>
        <w:pStyle w:val="ListParagraph"/>
        <w:numPr>
          <w:ilvl w:val="4"/>
          <w:numId w:val="6"/>
        </w:numPr>
        <w:ind w:left="1800"/>
        <w:rPr>
          <w:rFonts w:cs="Arial"/>
          <w:bCs/>
          <w:szCs w:val="20"/>
        </w:rPr>
      </w:pPr>
      <w:r w:rsidRPr="005629DB">
        <w:rPr>
          <w:rFonts w:cs="Arial"/>
          <w:bCs/>
          <w:szCs w:val="20"/>
        </w:rPr>
        <w:t xml:space="preserve">Documented continued compliance to eculizumab or Ultomiris; </w:t>
      </w:r>
      <w:r w:rsidRPr="00820B1B">
        <w:rPr>
          <w:rFonts w:cs="Arial"/>
          <w:b/>
          <w:szCs w:val="20"/>
        </w:rPr>
        <w:t>AND</w:t>
      </w:r>
    </w:p>
    <w:p w14:paraId="6557AF03" w14:textId="77777777" w:rsidR="007A7C9B" w:rsidRPr="005629DB" w:rsidRDefault="007A7C9B" w:rsidP="00723449">
      <w:pPr>
        <w:pStyle w:val="ListParagraph"/>
        <w:numPr>
          <w:ilvl w:val="4"/>
          <w:numId w:val="6"/>
        </w:numPr>
        <w:ind w:left="1800"/>
        <w:rPr>
          <w:rFonts w:cs="Arial"/>
          <w:bCs/>
          <w:szCs w:val="20"/>
        </w:rPr>
      </w:pPr>
      <w:r w:rsidRPr="005629DB">
        <w:rPr>
          <w:rFonts w:cs="Arial"/>
          <w:bCs/>
          <w:szCs w:val="20"/>
        </w:rPr>
        <w:t>Documentation of liver function tests with absence of clinically significant elevations.</w:t>
      </w:r>
    </w:p>
    <w:p w14:paraId="6FE1ED7D" w14:textId="77777777" w:rsidR="007A7C9B" w:rsidRDefault="007A7C9B" w:rsidP="007A7C9B">
      <w:pPr>
        <w:pStyle w:val="ListParagraph"/>
        <w:numPr>
          <w:ilvl w:val="2"/>
          <w:numId w:val="6"/>
        </w:numPr>
        <w:rPr>
          <w:rFonts w:cs="Arial"/>
          <w:bCs/>
          <w:szCs w:val="20"/>
        </w:rPr>
      </w:pPr>
      <w:r>
        <w:rPr>
          <w:rFonts w:cs="Arial"/>
          <w:bCs/>
          <w:szCs w:val="20"/>
        </w:rPr>
        <w:t>gMG:</w:t>
      </w:r>
    </w:p>
    <w:p w14:paraId="4960C7B9" w14:textId="77777777" w:rsidR="007A7C9B" w:rsidRPr="005155F1" w:rsidRDefault="007A7C9B" w:rsidP="005629DB">
      <w:pPr>
        <w:pStyle w:val="ListParagraph"/>
        <w:numPr>
          <w:ilvl w:val="3"/>
          <w:numId w:val="6"/>
        </w:numPr>
        <w:ind w:left="1440"/>
        <w:rPr>
          <w:rFonts w:cs="Arial"/>
          <w:bCs/>
          <w:szCs w:val="20"/>
        </w:rPr>
      </w:pPr>
      <w:r w:rsidRPr="005155F1">
        <w:rPr>
          <w:rFonts w:cs="Arial"/>
          <w:bCs/>
          <w:szCs w:val="20"/>
        </w:rPr>
        <w:t>Renewal of prior authorization may be given following documentation of:</w:t>
      </w:r>
    </w:p>
    <w:p w14:paraId="20DAF307" w14:textId="77777777" w:rsidR="007A7C9B" w:rsidRPr="000306CC" w:rsidRDefault="007A7C9B" w:rsidP="005629DB">
      <w:pPr>
        <w:pStyle w:val="ListParagraph"/>
        <w:numPr>
          <w:ilvl w:val="2"/>
          <w:numId w:val="6"/>
        </w:numPr>
        <w:ind w:left="1800"/>
        <w:rPr>
          <w:rFonts w:cs="Arial"/>
          <w:bCs/>
          <w:szCs w:val="20"/>
        </w:rPr>
      </w:pPr>
      <w:r w:rsidRPr="000306CC">
        <w:rPr>
          <w:rFonts w:cs="Arial"/>
          <w:bCs/>
          <w:szCs w:val="20"/>
        </w:rPr>
        <w:t>Documented improvement of at least 2 points in total MG-ADL score or 3 points in total QMG score from baseline.</w:t>
      </w:r>
    </w:p>
    <w:p w14:paraId="0AAA1FD3" w14:textId="77777777" w:rsidR="007A7C9B" w:rsidRDefault="007A7C9B" w:rsidP="007A7C9B">
      <w:pPr>
        <w:pStyle w:val="ListParagraph"/>
        <w:numPr>
          <w:ilvl w:val="2"/>
          <w:numId w:val="6"/>
        </w:numPr>
        <w:rPr>
          <w:rFonts w:cs="Arial"/>
          <w:bCs/>
          <w:szCs w:val="20"/>
        </w:rPr>
      </w:pPr>
      <w:r w:rsidRPr="009D21C3">
        <w:rPr>
          <w:rFonts w:cs="Arial"/>
          <w:bCs/>
          <w:szCs w:val="20"/>
        </w:rPr>
        <w:t>CAD:</w:t>
      </w:r>
    </w:p>
    <w:p w14:paraId="3B9391AF" w14:textId="77777777" w:rsidR="007A7C9B" w:rsidRPr="00F31DB0" w:rsidRDefault="007A7C9B" w:rsidP="005629DB">
      <w:pPr>
        <w:pStyle w:val="ListParagraph"/>
        <w:numPr>
          <w:ilvl w:val="3"/>
          <w:numId w:val="6"/>
        </w:numPr>
        <w:ind w:left="1440"/>
        <w:rPr>
          <w:rFonts w:cs="Arial"/>
          <w:bCs/>
          <w:szCs w:val="20"/>
        </w:rPr>
      </w:pPr>
      <w:r w:rsidRPr="00F31DB0">
        <w:rPr>
          <w:rFonts w:cs="Arial"/>
          <w:bCs/>
          <w:szCs w:val="20"/>
        </w:rPr>
        <w:t>Renewal of prior authorization may be given following documentation of one of the following:</w:t>
      </w:r>
    </w:p>
    <w:p w14:paraId="2748AA9C" w14:textId="77777777" w:rsidR="007A7C9B" w:rsidRPr="00926245" w:rsidRDefault="007A7C9B" w:rsidP="005629DB">
      <w:pPr>
        <w:pStyle w:val="ListParagraph"/>
        <w:numPr>
          <w:ilvl w:val="4"/>
          <w:numId w:val="6"/>
        </w:numPr>
        <w:ind w:left="1800"/>
        <w:rPr>
          <w:rFonts w:eastAsia="Arial" w:cs="Arial"/>
          <w:szCs w:val="20"/>
        </w:rPr>
      </w:pPr>
      <w:r w:rsidRPr="00926245">
        <w:rPr>
          <w:rFonts w:eastAsia="Arial" w:cs="Arial"/>
          <w:szCs w:val="20"/>
        </w:rPr>
        <w:t>Increase in Hgb from baseline by ≥ 2 g/dL or achieving Hgb level of ≥ 12 g/dL</w:t>
      </w:r>
      <w:r>
        <w:rPr>
          <w:rFonts w:eastAsia="Arial" w:cs="Arial"/>
          <w:szCs w:val="20"/>
        </w:rPr>
        <w:t xml:space="preserve">; </w:t>
      </w:r>
      <w:r w:rsidRPr="00947E6F">
        <w:rPr>
          <w:rFonts w:eastAsia="Arial" w:cs="Arial"/>
          <w:b/>
          <w:bCs/>
          <w:szCs w:val="20"/>
        </w:rPr>
        <w:t>OR</w:t>
      </w:r>
    </w:p>
    <w:p w14:paraId="29C5F9D1" w14:textId="77777777" w:rsidR="007A7C9B" w:rsidRDefault="007A7C9B" w:rsidP="005629DB">
      <w:pPr>
        <w:pStyle w:val="ListParagraph"/>
        <w:numPr>
          <w:ilvl w:val="4"/>
          <w:numId w:val="6"/>
        </w:numPr>
        <w:ind w:left="1800"/>
        <w:rPr>
          <w:rFonts w:eastAsia="Arial" w:cs="Arial"/>
          <w:szCs w:val="20"/>
        </w:rPr>
      </w:pPr>
      <w:r w:rsidRPr="00926245">
        <w:rPr>
          <w:rFonts w:eastAsia="Arial" w:cs="Arial"/>
          <w:szCs w:val="20"/>
        </w:rPr>
        <w:t>Normalization of LDH and/or bilirubin levels</w:t>
      </w:r>
      <w:r>
        <w:rPr>
          <w:rFonts w:eastAsia="Arial" w:cs="Arial"/>
          <w:szCs w:val="20"/>
        </w:rPr>
        <w:t>.</w:t>
      </w:r>
    </w:p>
    <w:p w14:paraId="2B0D83EB" w14:textId="77777777" w:rsidR="007A7C9B" w:rsidRDefault="007A7C9B" w:rsidP="007A7C9B">
      <w:pPr>
        <w:pStyle w:val="ListParagraph"/>
        <w:numPr>
          <w:ilvl w:val="2"/>
          <w:numId w:val="6"/>
        </w:numPr>
        <w:rPr>
          <w:rFonts w:eastAsia="Arial" w:cs="Arial"/>
          <w:szCs w:val="20"/>
        </w:rPr>
      </w:pPr>
      <w:r>
        <w:rPr>
          <w:rFonts w:eastAsia="Arial" w:cs="Arial"/>
          <w:szCs w:val="20"/>
        </w:rPr>
        <w:t>AAV:</w:t>
      </w:r>
    </w:p>
    <w:p w14:paraId="408AA2AA" w14:textId="510A40A3" w:rsidR="007A7C9B" w:rsidRDefault="007A7C9B" w:rsidP="005629DB">
      <w:pPr>
        <w:pStyle w:val="ListParagraph"/>
        <w:numPr>
          <w:ilvl w:val="3"/>
          <w:numId w:val="6"/>
        </w:numPr>
        <w:ind w:left="1440"/>
        <w:rPr>
          <w:rFonts w:cs="Arial"/>
          <w:szCs w:val="20"/>
        </w:rPr>
      </w:pPr>
      <w:r w:rsidRPr="00517564">
        <w:rPr>
          <w:rFonts w:cs="Arial"/>
          <w:szCs w:val="20"/>
        </w:rPr>
        <w:t xml:space="preserve">Renewal of prior authorization may be </w:t>
      </w:r>
      <w:r>
        <w:rPr>
          <w:rFonts w:cs="Arial"/>
          <w:szCs w:val="20"/>
        </w:rPr>
        <w:t>given</w:t>
      </w:r>
      <w:r w:rsidR="00D778F4">
        <w:rPr>
          <w:rFonts w:cs="Arial"/>
          <w:szCs w:val="20"/>
        </w:rPr>
        <w:t xml:space="preserve"> </w:t>
      </w:r>
      <w:r w:rsidR="00B121FE" w:rsidRPr="00B121FE">
        <w:rPr>
          <w:rFonts w:cs="Arial"/>
          <w:b/>
          <w:bCs/>
          <w:color w:val="1F497D" w:themeColor="text2"/>
          <w:szCs w:val="20"/>
        </w:rPr>
        <w:t xml:space="preserve">for an additional 6 months </w:t>
      </w:r>
      <w:r w:rsidRPr="00517564">
        <w:rPr>
          <w:rFonts w:cs="Arial"/>
          <w:szCs w:val="20"/>
        </w:rPr>
        <w:t xml:space="preserve">following documentation of </w:t>
      </w:r>
      <w:r w:rsidRPr="002E61C6">
        <w:rPr>
          <w:rFonts w:cs="Arial"/>
          <w:b/>
          <w:bCs/>
          <w:strike/>
          <w:color w:val="1F497D" w:themeColor="text2"/>
          <w:szCs w:val="20"/>
        </w:rPr>
        <w:t>both</w:t>
      </w:r>
      <w:r>
        <w:rPr>
          <w:rFonts w:cs="Arial"/>
          <w:szCs w:val="20"/>
        </w:rPr>
        <w:t xml:space="preserve"> </w:t>
      </w:r>
      <w:r w:rsidR="002E61C6">
        <w:rPr>
          <w:rFonts w:cs="Arial"/>
          <w:b/>
          <w:bCs/>
          <w:color w:val="1F497D" w:themeColor="text2"/>
          <w:szCs w:val="20"/>
        </w:rPr>
        <w:t xml:space="preserve">all </w:t>
      </w:r>
      <w:r>
        <w:rPr>
          <w:rFonts w:cs="Arial"/>
          <w:szCs w:val="20"/>
        </w:rPr>
        <w:t>of the following:</w:t>
      </w:r>
    </w:p>
    <w:p w14:paraId="7C06C391" w14:textId="77777777" w:rsidR="008E0EE5" w:rsidRDefault="007A7C9B" w:rsidP="005629DB">
      <w:pPr>
        <w:pStyle w:val="ListParagraph"/>
        <w:numPr>
          <w:ilvl w:val="4"/>
          <w:numId w:val="6"/>
        </w:numPr>
        <w:ind w:left="1800"/>
        <w:rPr>
          <w:rFonts w:cs="Arial"/>
          <w:szCs w:val="20"/>
        </w:rPr>
      </w:pPr>
      <w:r>
        <w:rPr>
          <w:rFonts w:cs="Arial"/>
          <w:szCs w:val="20"/>
        </w:rPr>
        <w:t>C</w:t>
      </w:r>
      <w:r w:rsidRPr="00517564">
        <w:rPr>
          <w:rFonts w:cs="Arial"/>
          <w:szCs w:val="20"/>
        </w:rPr>
        <w:t xml:space="preserve">linical benefit of therapy (e.g., decreased glucocorticoid dose, improved or sustained renal function, improved BVAS score, sustained VDI score); </w:t>
      </w:r>
    </w:p>
    <w:p w14:paraId="218F3ADC" w14:textId="5926C734" w:rsidR="007A7C9B" w:rsidRPr="00517564" w:rsidRDefault="0007571C" w:rsidP="005629DB">
      <w:pPr>
        <w:pStyle w:val="ListParagraph"/>
        <w:numPr>
          <w:ilvl w:val="4"/>
          <w:numId w:val="6"/>
        </w:numPr>
        <w:ind w:left="1800"/>
        <w:rPr>
          <w:rFonts w:cs="Arial"/>
          <w:szCs w:val="20"/>
        </w:rPr>
      </w:pPr>
      <w:r w:rsidRPr="0007571C">
        <w:rPr>
          <w:rFonts w:cs="Arial"/>
          <w:b/>
          <w:bCs/>
          <w:color w:val="1F497D" w:themeColor="text2"/>
          <w:szCs w:val="20"/>
        </w:rPr>
        <w:t xml:space="preserve">Recent liver function tests including ALT, AST and ALP (during first renewal must be within the past 30 days, subsequent renewals can be within the past 3 months); </w:t>
      </w:r>
      <w:r w:rsidR="007A7C9B" w:rsidRPr="00517564">
        <w:rPr>
          <w:rFonts w:cs="Arial"/>
          <w:b/>
          <w:bCs/>
          <w:szCs w:val="20"/>
        </w:rPr>
        <w:t>AND</w:t>
      </w:r>
    </w:p>
    <w:p w14:paraId="0ED1E15E" w14:textId="528392F2" w:rsidR="007A7C9B" w:rsidRPr="00BF32B6" w:rsidRDefault="007A7C9B" w:rsidP="005629DB">
      <w:pPr>
        <w:pStyle w:val="ListParagraph"/>
        <w:numPr>
          <w:ilvl w:val="4"/>
          <w:numId w:val="6"/>
        </w:numPr>
        <w:ind w:left="1800"/>
        <w:rPr>
          <w:rFonts w:cs="Arial"/>
          <w:szCs w:val="20"/>
        </w:rPr>
      </w:pPr>
      <w:r w:rsidRPr="00BF32B6">
        <w:rPr>
          <w:rFonts w:cs="Arial"/>
          <w:szCs w:val="20"/>
        </w:rPr>
        <w:t xml:space="preserve">Demonstrated evidence of continued need </w:t>
      </w:r>
      <w:r w:rsidR="00BF32B6" w:rsidRPr="00BF32B6">
        <w:rPr>
          <w:rFonts w:cs="Arial"/>
          <w:b/>
          <w:bCs/>
          <w:color w:val="1F497D" w:themeColor="text2"/>
          <w:szCs w:val="20"/>
        </w:rPr>
        <w:t>up to but</w:t>
      </w:r>
      <w:r w:rsidR="00BF32B6" w:rsidRPr="00BF32B6">
        <w:rPr>
          <w:rFonts w:cs="Arial"/>
          <w:color w:val="1F497D" w:themeColor="text2"/>
          <w:szCs w:val="20"/>
        </w:rPr>
        <w:t xml:space="preserve"> </w:t>
      </w:r>
      <w:r w:rsidR="00345264" w:rsidRPr="00BF32B6">
        <w:rPr>
          <w:rFonts w:cs="Arial"/>
          <w:b/>
          <w:bCs/>
          <w:color w:val="1F497D" w:themeColor="text2"/>
          <w:szCs w:val="20"/>
        </w:rPr>
        <w:t>not exceeding</w:t>
      </w:r>
      <w:r w:rsidR="00C27B63" w:rsidRPr="00BF32B6">
        <w:rPr>
          <w:rFonts w:cs="Arial"/>
          <w:b/>
          <w:bCs/>
          <w:color w:val="1F497D" w:themeColor="text2"/>
          <w:szCs w:val="20"/>
        </w:rPr>
        <w:t xml:space="preserve"> 12 months of total therapy</w:t>
      </w:r>
      <w:r w:rsidR="00C27B63" w:rsidRPr="00BF32B6">
        <w:rPr>
          <w:rFonts w:cs="Arial"/>
          <w:color w:val="1F497D" w:themeColor="text2"/>
          <w:szCs w:val="20"/>
        </w:rPr>
        <w:t xml:space="preserve"> </w:t>
      </w:r>
      <w:r w:rsidRPr="00BF32B6">
        <w:rPr>
          <w:rFonts w:cs="Arial"/>
          <w:szCs w:val="20"/>
        </w:rPr>
        <w:t>in maintenance of remission while on standard therapy (e.g., rituximab, azathioprine, or methotrexate).</w:t>
      </w:r>
    </w:p>
    <w:p w14:paraId="24BF85A7" w14:textId="77777777" w:rsidR="007A7C9B" w:rsidRPr="003D1F9B" w:rsidRDefault="007A7C9B" w:rsidP="007A7C9B">
      <w:pPr>
        <w:pStyle w:val="ListParagraph"/>
        <w:numPr>
          <w:ilvl w:val="2"/>
          <w:numId w:val="6"/>
        </w:numPr>
        <w:rPr>
          <w:rFonts w:cs="Arial"/>
          <w:b/>
          <w:bCs/>
          <w:szCs w:val="20"/>
        </w:rPr>
      </w:pPr>
      <w:r>
        <w:rPr>
          <w:rFonts w:cs="Arial"/>
          <w:szCs w:val="20"/>
        </w:rPr>
        <w:t>NMOSD:</w:t>
      </w:r>
    </w:p>
    <w:p w14:paraId="62771B7A" w14:textId="77777777" w:rsidR="007A7C9B" w:rsidRPr="00833AC0" w:rsidRDefault="007A7C9B" w:rsidP="0007571C">
      <w:pPr>
        <w:pStyle w:val="ListParagraph"/>
        <w:numPr>
          <w:ilvl w:val="3"/>
          <w:numId w:val="6"/>
        </w:numPr>
        <w:ind w:left="1440"/>
        <w:rPr>
          <w:rFonts w:cs="Arial"/>
          <w:b/>
          <w:bCs/>
          <w:szCs w:val="20"/>
        </w:rPr>
      </w:pPr>
      <w:r>
        <w:rPr>
          <w:rFonts w:cs="Arial"/>
          <w:szCs w:val="20"/>
        </w:rPr>
        <w:t>Renewal of prior authorization may be given following documentation of:</w:t>
      </w:r>
    </w:p>
    <w:p w14:paraId="0E65FFEC" w14:textId="77777777" w:rsidR="007A7C9B" w:rsidRPr="00BC498F" w:rsidRDefault="007A7C9B" w:rsidP="0007571C">
      <w:pPr>
        <w:pStyle w:val="ListParagraph"/>
        <w:numPr>
          <w:ilvl w:val="4"/>
          <w:numId w:val="6"/>
        </w:numPr>
        <w:ind w:left="1800"/>
        <w:rPr>
          <w:rFonts w:cs="Arial"/>
          <w:b/>
          <w:bCs/>
          <w:szCs w:val="20"/>
        </w:rPr>
      </w:pPr>
      <w:r>
        <w:rPr>
          <w:rFonts w:cs="Arial"/>
          <w:szCs w:val="20"/>
        </w:rPr>
        <w:t>Decrease or stabilization in number and frequency of acute attacks from baseline.</w:t>
      </w:r>
    </w:p>
    <w:p w14:paraId="7A17CA16" w14:textId="77777777" w:rsidR="007A7C9B" w:rsidRDefault="007A7C9B" w:rsidP="007A7C9B">
      <w:pPr>
        <w:pStyle w:val="ListParagraph"/>
        <w:numPr>
          <w:ilvl w:val="2"/>
          <w:numId w:val="6"/>
        </w:numPr>
        <w:rPr>
          <w:rFonts w:cs="Arial"/>
          <w:bCs/>
          <w:szCs w:val="20"/>
        </w:rPr>
      </w:pPr>
      <w:r w:rsidRPr="00F31DB0">
        <w:rPr>
          <w:rFonts w:cs="Arial"/>
          <w:bCs/>
          <w:szCs w:val="20"/>
        </w:rPr>
        <w:t>CHAPLE disease:</w:t>
      </w:r>
    </w:p>
    <w:p w14:paraId="7DB0A786" w14:textId="77777777" w:rsidR="007A7C9B" w:rsidRPr="00F31DB0" w:rsidRDefault="007A7C9B" w:rsidP="0007571C">
      <w:pPr>
        <w:pStyle w:val="ListParagraph"/>
        <w:numPr>
          <w:ilvl w:val="3"/>
          <w:numId w:val="6"/>
        </w:numPr>
        <w:ind w:left="1440"/>
        <w:rPr>
          <w:rFonts w:cs="Arial"/>
          <w:bCs/>
          <w:szCs w:val="20"/>
        </w:rPr>
      </w:pPr>
      <w:r w:rsidRPr="00F31DB0">
        <w:rPr>
          <w:rFonts w:cs="Arial"/>
          <w:bCs/>
          <w:szCs w:val="20"/>
        </w:rPr>
        <w:lastRenderedPageBreak/>
        <w:t>Renewal of prior authorization may be given following documentation of one of the following:</w:t>
      </w:r>
    </w:p>
    <w:p w14:paraId="7D17B17E" w14:textId="77777777" w:rsidR="007A7C9B" w:rsidRPr="00F31DB0" w:rsidRDefault="007A7C9B" w:rsidP="0007571C">
      <w:pPr>
        <w:pStyle w:val="ListParagraph"/>
        <w:numPr>
          <w:ilvl w:val="4"/>
          <w:numId w:val="6"/>
        </w:numPr>
        <w:ind w:left="1800"/>
        <w:rPr>
          <w:rFonts w:cs="Arial"/>
          <w:bCs/>
          <w:szCs w:val="20"/>
        </w:rPr>
      </w:pPr>
      <w:r w:rsidRPr="00F31DB0">
        <w:rPr>
          <w:rFonts w:cs="Arial"/>
          <w:bCs/>
          <w:szCs w:val="20"/>
        </w:rPr>
        <w:t>Improvement or no worsening in clinical symptoms;</w:t>
      </w:r>
    </w:p>
    <w:p w14:paraId="11012BAF" w14:textId="77777777" w:rsidR="007A7C9B" w:rsidRPr="00F31DB0" w:rsidRDefault="007A7C9B" w:rsidP="0007571C">
      <w:pPr>
        <w:pStyle w:val="ListParagraph"/>
        <w:numPr>
          <w:ilvl w:val="4"/>
          <w:numId w:val="6"/>
        </w:numPr>
        <w:ind w:left="1800"/>
        <w:rPr>
          <w:rFonts w:cs="Arial"/>
          <w:bCs/>
          <w:szCs w:val="20"/>
        </w:rPr>
      </w:pPr>
      <w:r w:rsidRPr="00F31DB0">
        <w:rPr>
          <w:rFonts w:cs="Arial"/>
          <w:bCs/>
          <w:szCs w:val="20"/>
        </w:rPr>
        <w:t xml:space="preserve">Increase in or stabilization of albumin and IgG concentrations; </w:t>
      </w:r>
      <w:r w:rsidRPr="003D1F9B">
        <w:rPr>
          <w:rFonts w:cs="Arial"/>
          <w:b/>
          <w:szCs w:val="20"/>
        </w:rPr>
        <w:t>OR</w:t>
      </w:r>
    </w:p>
    <w:p w14:paraId="74F58441" w14:textId="77777777" w:rsidR="007A7C9B" w:rsidRDefault="007A7C9B" w:rsidP="0007571C">
      <w:pPr>
        <w:pStyle w:val="ListParagraph"/>
        <w:numPr>
          <w:ilvl w:val="4"/>
          <w:numId w:val="6"/>
        </w:numPr>
        <w:ind w:left="1800"/>
        <w:rPr>
          <w:rFonts w:cs="Arial"/>
          <w:bCs/>
          <w:szCs w:val="20"/>
        </w:rPr>
      </w:pPr>
      <w:r w:rsidRPr="00F31DB0">
        <w:rPr>
          <w:rFonts w:cs="Arial"/>
          <w:bCs/>
          <w:szCs w:val="20"/>
        </w:rPr>
        <w:t>Increase in growth percentiles</w:t>
      </w:r>
      <w:r>
        <w:rPr>
          <w:rFonts w:cs="Arial"/>
          <w:bCs/>
          <w:szCs w:val="20"/>
        </w:rPr>
        <w:t>.</w:t>
      </w:r>
    </w:p>
    <w:p w14:paraId="09DFADD9" w14:textId="77777777" w:rsidR="007A7C9B" w:rsidRPr="006C37CA" w:rsidRDefault="007A7C9B" w:rsidP="007A7C9B">
      <w:pPr>
        <w:pStyle w:val="ListParagraph"/>
        <w:numPr>
          <w:ilvl w:val="2"/>
          <w:numId w:val="6"/>
        </w:numPr>
        <w:rPr>
          <w:rFonts w:cs="Arial"/>
          <w:bCs/>
          <w:szCs w:val="20"/>
        </w:rPr>
      </w:pPr>
      <w:r w:rsidRPr="006C37CA">
        <w:rPr>
          <w:rFonts w:cs="Arial"/>
          <w:bCs/>
          <w:szCs w:val="20"/>
        </w:rPr>
        <w:t>IgAN:</w:t>
      </w:r>
    </w:p>
    <w:p w14:paraId="651D179A" w14:textId="77777777" w:rsidR="007A7C9B" w:rsidRPr="006C37CA" w:rsidRDefault="007A7C9B" w:rsidP="006C37CA">
      <w:pPr>
        <w:pStyle w:val="ListParagraph"/>
        <w:numPr>
          <w:ilvl w:val="3"/>
          <w:numId w:val="6"/>
        </w:numPr>
        <w:ind w:left="1440"/>
        <w:jc w:val="both"/>
        <w:rPr>
          <w:rFonts w:cs="Arial"/>
          <w:bCs/>
          <w:szCs w:val="20"/>
        </w:rPr>
      </w:pPr>
      <w:r w:rsidRPr="006C37CA">
        <w:rPr>
          <w:rFonts w:cs="Arial"/>
          <w:bCs/>
          <w:szCs w:val="20"/>
        </w:rPr>
        <w:t>Renewal of prior authorization may be given following documentation of all of the following:</w:t>
      </w:r>
    </w:p>
    <w:p w14:paraId="281F4A82" w14:textId="77777777" w:rsidR="007A7C9B" w:rsidRPr="006C37CA" w:rsidRDefault="007A7C9B" w:rsidP="006C37CA">
      <w:pPr>
        <w:pStyle w:val="ListParagraph"/>
        <w:numPr>
          <w:ilvl w:val="4"/>
          <w:numId w:val="6"/>
        </w:numPr>
        <w:ind w:left="1800"/>
        <w:jc w:val="both"/>
        <w:rPr>
          <w:rFonts w:cs="Arial"/>
          <w:bCs/>
          <w:szCs w:val="20"/>
        </w:rPr>
      </w:pPr>
      <w:r w:rsidRPr="006C37CA">
        <w:rPr>
          <w:rFonts w:cs="Arial"/>
          <w:bCs/>
          <w:szCs w:val="20"/>
        </w:rPr>
        <w:t>Documented compliance to prescribed drug therapy;</w:t>
      </w:r>
    </w:p>
    <w:p w14:paraId="537A35B7" w14:textId="77777777" w:rsidR="007A7C9B" w:rsidRPr="006C37CA" w:rsidRDefault="007A7C9B" w:rsidP="006C37CA">
      <w:pPr>
        <w:pStyle w:val="ListParagraph"/>
        <w:numPr>
          <w:ilvl w:val="4"/>
          <w:numId w:val="6"/>
        </w:numPr>
        <w:ind w:left="1800"/>
        <w:jc w:val="both"/>
        <w:rPr>
          <w:rFonts w:cs="Arial"/>
          <w:bCs/>
          <w:szCs w:val="20"/>
        </w:rPr>
      </w:pPr>
      <w:r w:rsidRPr="006C37CA">
        <w:rPr>
          <w:rFonts w:cs="Arial"/>
          <w:bCs/>
          <w:szCs w:val="20"/>
        </w:rPr>
        <w:t xml:space="preserve">Documented concurrent compliance to an ACEi, ARB, or Filspari; </w:t>
      </w:r>
      <w:r w:rsidRPr="00820B1B">
        <w:rPr>
          <w:rFonts w:cs="Arial"/>
          <w:b/>
          <w:szCs w:val="20"/>
        </w:rPr>
        <w:t>AND</w:t>
      </w:r>
    </w:p>
    <w:p w14:paraId="126B9B2E" w14:textId="77777777" w:rsidR="007A7C9B" w:rsidRPr="006C37CA" w:rsidRDefault="007A7C9B" w:rsidP="006C37CA">
      <w:pPr>
        <w:pStyle w:val="ListParagraph"/>
        <w:numPr>
          <w:ilvl w:val="4"/>
          <w:numId w:val="6"/>
        </w:numPr>
        <w:ind w:left="1800"/>
        <w:jc w:val="both"/>
        <w:rPr>
          <w:rFonts w:cs="Arial"/>
          <w:bCs/>
          <w:szCs w:val="20"/>
        </w:rPr>
      </w:pPr>
      <w:r w:rsidRPr="006C37CA">
        <w:rPr>
          <w:rFonts w:cs="Arial"/>
          <w:bCs/>
          <w:szCs w:val="20"/>
        </w:rPr>
        <w:t>Documentation of clinical benefit of therapy (e.g., reduced UPCR from baseline).</w:t>
      </w:r>
    </w:p>
    <w:p w14:paraId="452CE431" w14:textId="77777777" w:rsidR="007A7C9B" w:rsidRPr="006C37CA" w:rsidRDefault="007A7C9B" w:rsidP="007A7C9B">
      <w:pPr>
        <w:pStyle w:val="ListParagraph"/>
        <w:numPr>
          <w:ilvl w:val="2"/>
          <w:numId w:val="6"/>
        </w:numPr>
        <w:rPr>
          <w:rFonts w:cs="Arial"/>
          <w:bCs/>
          <w:szCs w:val="20"/>
        </w:rPr>
      </w:pPr>
      <w:r w:rsidRPr="006C37CA">
        <w:rPr>
          <w:rFonts w:cs="Arial"/>
          <w:bCs/>
          <w:szCs w:val="20"/>
        </w:rPr>
        <w:t>C3G or IC-MPGN:</w:t>
      </w:r>
    </w:p>
    <w:p w14:paraId="663AF348" w14:textId="77777777" w:rsidR="007A7C9B" w:rsidRPr="006C37CA" w:rsidRDefault="007A7C9B" w:rsidP="006C37CA">
      <w:pPr>
        <w:pStyle w:val="ListParagraph"/>
        <w:numPr>
          <w:ilvl w:val="3"/>
          <w:numId w:val="6"/>
        </w:numPr>
        <w:ind w:left="1440"/>
        <w:rPr>
          <w:rFonts w:cs="Arial"/>
          <w:bCs/>
          <w:szCs w:val="20"/>
        </w:rPr>
      </w:pPr>
      <w:r w:rsidRPr="006C37CA">
        <w:rPr>
          <w:rFonts w:cs="Arial"/>
          <w:bCs/>
          <w:szCs w:val="20"/>
        </w:rPr>
        <w:t>Renewal of prior authorization may be given following documentation of all of the following:</w:t>
      </w:r>
    </w:p>
    <w:p w14:paraId="7E93F5EE" w14:textId="77777777" w:rsidR="007A7C9B" w:rsidRPr="006C37CA" w:rsidRDefault="007A7C9B" w:rsidP="006C37CA">
      <w:pPr>
        <w:pStyle w:val="ListParagraph"/>
        <w:numPr>
          <w:ilvl w:val="4"/>
          <w:numId w:val="6"/>
        </w:numPr>
        <w:ind w:left="1800"/>
        <w:rPr>
          <w:rFonts w:cs="Arial"/>
          <w:bCs/>
          <w:szCs w:val="20"/>
        </w:rPr>
      </w:pPr>
      <w:r w:rsidRPr="006C37CA">
        <w:rPr>
          <w:rFonts w:cs="Arial"/>
          <w:bCs/>
          <w:szCs w:val="20"/>
        </w:rPr>
        <w:t>Documented compliance to prescribed drug therapy;</w:t>
      </w:r>
    </w:p>
    <w:p w14:paraId="0D4EB76E" w14:textId="77777777" w:rsidR="007A7C9B" w:rsidRPr="006C37CA" w:rsidRDefault="007A7C9B" w:rsidP="006C37CA">
      <w:pPr>
        <w:pStyle w:val="ListParagraph"/>
        <w:numPr>
          <w:ilvl w:val="4"/>
          <w:numId w:val="6"/>
        </w:numPr>
        <w:ind w:left="1800"/>
        <w:rPr>
          <w:rFonts w:cs="Arial"/>
          <w:bCs/>
          <w:szCs w:val="20"/>
        </w:rPr>
      </w:pPr>
      <w:r w:rsidRPr="006C37CA">
        <w:rPr>
          <w:rFonts w:cs="Arial"/>
          <w:bCs/>
          <w:szCs w:val="20"/>
        </w:rPr>
        <w:t xml:space="preserve">Documented concurrent compliance to an ACEi or ARB; </w:t>
      </w:r>
      <w:r w:rsidRPr="00510181">
        <w:rPr>
          <w:rFonts w:cs="Arial"/>
          <w:b/>
          <w:szCs w:val="20"/>
        </w:rPr>
        <w:t>AND</w:t>
      </w:r>
    </w:p>
    <w:p w14:paraId="3E6C3256" w14:textId="1E1610D8" w:rsidR="00794A47" w:rsidRPr="00F754C2" w:rsidRDefault="007A7C9B" w:rsidP="0064149A">
      <w:pPr>
        <w:pStyle w:val="ListParagraph"/>
        <w:numPr>
          <w:ilvl w:val="4"/>
          <w:numId w:val="6"/>
        </w:numPr>
        <w:ind w:left="1800"/>
        <w:rPr>
          <w:rFonts w:cs="Arial"/>
          <w:bCs/>
          <w:szCs w:val="20"/>
        </w:rPr>
      </w:pPr>
      <w:r w:rsidRPr="006C37CA">
        <w:rPr>
          <w:rFonts w:cs="Arial"/>
          <w:bCs/>
          <w:szCs w:val="20"/>
        </w:rPr>
        <w:t>Documentation of clinical benefit of therapy (e.g., reduced UPCR from baseline).</w:t>
      </w:r>
    </w:p>
    <w:p w14:paraId="75581930" w14:textId="77777777" w:rsidR="00794A47" w:rsidRDefault="00794A47"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34DD01B8" w14:textId="77777777" w:rsidR="00904D7A" w:rsidRPr="005328B2" w:rsidRDefault="00904D7A" w:rsidP="00C722C9">
      <w:pPr>
        <w:pStyle w:val="ListParagraph"/>
        <w:numPr>
          <w:ilvl w:val="1"/>
          <w:numId w:val="6"/>
        </w:numPr>
      </w:pPr>
      <w:r w:rsidRPr="005328B2">
        <w:t>Any approval criteria are not met;</w:t>
      </w:r>
      <w:r>
        <w:t xml:space="preserve"> </w:t>
      </w:r>
      <w:r w:rsidRPr="005A4232">
        <w:rPr>
          <w:b/>
          <w:bCs/>
        </w:rPr>
        <w:t>OR</w:t>
      </w:r>
    </w:p>
    <w:p w14:paraId="1D97C1E5" w14:textId="77777777" w:rsidR="00904D7A" w:rsidRDefault="00904D7A" w:rsidP="00C722C9">
      <w:pPr>
        <w:pStyle w:val="ListParagraph"/>
        <w:numPr>
          <w:ilvl w:val="1"/>
          <w:numId w:val="6"/>
        </w:numPr>
      </w:pPr>
      <w:r w:rsidRPr="005328B2">
        <w:t>Claim exceeds maximum dosing limitations:</w:t>
      </w:r>
    </w:p>
    <w:p w14:paraId="3C3AD1DD" w14:textId="77777777" w:rsidR="00075C25" w:rsidRPr="005328B2" w:rsidRDefault="00075C25" w:rsidP="003E28AE">
      <w:pPr>
        <w:pStyle w:val="ListParagraph"/>
        <w:numPr>
          <w:ilvl w:val="0"/>
          <w:numId w:val="0"/>
        </w:numPr>
        <w:ind w:left="720"/>
      </w:pPr>
    </w:p>
    <w:tbl>
      <w:tblPr>
        <w:tblStyle w:val="TableGrid"/>
        <w:tblW w:w="0" w:type="auto"/>
        <w:tblLook w:val="0620" w:firstRow="1" w:lastRow="0" w:firstColumn="0" w:lastColumn="0" w:noHBand="1" w:noVBand="1"/>
      </w:tblPr>
      <w:tblGrid>
        <w:gridCol w:w="3417"/>
        <w:gridCol w:w="3418"/>
        <w:gridCol w:w="2515"/>
      </w:tblGrid>
      <w:tr w:rsidR="00904D7A" w:rsidRPr="00C02553" w14:paraId="1F6DE132" w14:textId="77777777" w:rsidTr="00493594">
        <w:trPr>
          <w:trHeight w:val="276"/>
        </w:trPr>
        <w:tc>
          <w:tcPr>
            <w:tcW w:w="3417"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3418"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2515" w:type="dxa"/>
            <w:shd w:val="clear" w:color="auto" w:fill="FABF8F"/>
          </w:tcPr>
          <w:p w14:paraId="17F14EEF" w14:textId="77777777" w:rsidR="00904D7A" w:rsidRPr="00C02553" w:rsidRDefault="00904D7A" w:rsidP="00493594">
            <w:pPr>
              <w:jc w:val="center"/>
              <w:rPr>
                <w:rFonts w:cs="Arial"/>
                <w:b/>
                <w:bCs/>
                <w:szCs w:val="20"/>
              </w:rPr>
            </w:pPr>
            <w:r w:rsidRPr="00C02553">
              <w:rPr>
                <w:rFonts w:cs="Arial"/>
                <w:b/>
                <w:bCs/>
                <w:szCs w:val="20"/>
              </w:rPr>
              <w:t>Max Dosing Limitation</w:t>
            </w:r>
          </w:p>
        </w:tc>
      </w:tr>
      <w:tr w:rsidR="006E0C08" w:rsidRPr="00C02553" w14:paraId="05C5E883" w14:textId="77777777" w:rsidTr="00493594">
        <w:trPr>
          <w:trHeight w:val="276"/>
        </w:trPr>
        <w:tc>
          <w:tcPr>
            <w:tcW w:w="3417" w:type="dxa"/>
            <w:vAlign w:val="center"/>
          </w:tcPr>
          <w:p w14:paraId="556501BF" w14:textId="7EDB96BB" w:rsidR="006E0C08" w:rsidRPr="006C37CA" w:rsidRDefault="006E0C08" w:rsidP="006E0C08">
            <w:pPr>
              <w:rPr>
                <w:rFonts w:cs="Arial"/>
                <w:szCs w:val="20"/>
              </w:rPr>
            </w:pPr>
            <w:r w:rsidRPr="006C37CA">
              <w:rPr>
                <w:rFonts w:cs="Arial"/>
                <w:szCs w:val="20"/>
              </w:rPr>
              <w:t>FABHALTA 200 MG CAPSULES</w:t>
            </w:r>
          </w:p>
        </w:tc>
        <w:tc>
          <w:tcPr>
            <w:tcW w:w="3418" w:type="dxa"/>
            <w:vAlign w:val="center"/>
          </w:tcPr>
          <w:p w14:paraId="1F00DA46" w14:textId="2F9CE024" w:rsidR="006E0C08" w:rsidRPr="006C37CA" w:rsidRDefault="006E0C08" w:rsidP="006E0C08">
            <w:pPr>
              <w:rPr>
                <w:rFonts w:cs="Arial"/>
                <w:caps/>
                <w:szCs w:val="20"/>
              </w:rPr>
            </w:pPr>
            <w:r w:rsidRPr="006C37CA">
              <w:rPr>
                <w:rFonts w:cs="Arial"/>
                <w:szCs w:val="20"/>
              </w:rPr>
              <w:t xml:space="preserve">IPTACOPAN </w:t>
            </w:r>
          </w:p>
        </w:tc>
        <w:tc>
          <w:tcPr>
            <w:tcW w:w="2515" w:type="dxa"/>
            <w:vAlign w:val="center"/>
          </w:tcPr>
          <w:p w14:paraId="7EC279C1" w14:textId="74B986C8" w:rsidR="006E0C08" w:rsidRPr="006C37CA" w:rsidRDefault="006E0C08" w:rsidP="006E0C08">
            <w:pPr>
              <w:rPr>
                <w:rFonts w:cs="Arial"/>
                <w:szCs w:val="20"/>
              </w:rPr>
            </w:pPr>
            <w:r w:rsidRPr="006C37CA">
              <w:rPr>
                <w:rFonts w:cs="Arial"/>
              </w:rPr>
              <w:t>2 tablets per day</w:t>
            </w:r>
          </w:p>
        </w:tc>
      </w:tr>
    </w:tbl>
    <w:p w14:paraId="09B0E970" w14:textId="77777777" w:rsidR="009C37C0" w:rsidRPr="00D17521" w:rsidRDefault="009C37C0" w:rsidP="009C37C0">
      <w:pPr>
        <w:pStyle w:val="ListParagraph"/>
        <w:numPr>
          <w:ilvl w:val="0"/>
          <w:numId w:val="22"/>
        </w:numPr>
        <w:rPr>
          <w:rFonts w:cs="Arial"/>
          <w:noProof/>
          <w:szCs w:val="20"/>
        </w:rPr>
      </w:pPr>
      <w:r w:rsidRPr="00D17521">
        <w:rPr>
          <w:rFonts w:cs="Arial"/>
          <w:noProof/>
          <w:szCs w:val="20"/>
        </w:rPr>
        <w:t>Additional denial criteria for a documented diagnosis of gMG:</w:t>
      </w:r>
    </w:p>
    <w:p w14:paraId="62F825A8" w14:textId="5F90A046" w:rsidR="009C37C0" w:rsidRPr="00795AB5" w:rsidRDefault="009C37C0" w:rsidP="009C37C0">
      <w:pPr>
        <w:pStyle w:val="ListParagraph"/>
        <w:numPr>
          <w:ilvl w:val="1"/>
          <w:numId w:val="22"/>
        </w:numPr>
        <w:ind w:left="720"/>
        <w:rPr>
          <w:rFonts w:cs="Arial"/>
          <w:noProof/>
          <w:szCs w:val="20"/>
        </w:rPr>
      </w:pPr>
      <w:r w:rsidRPr="00795AB5">
        <w:rPr>
          <w:rFonts w:cs="Arial"/>
          <w:noProof/>
          <w:szCs w:val="20"/>
        </w:rPr>
        <w:t>Concurrent therapy with a Neonatal Fc Receptor Antagonist</w:t>
      </w:r>
      <w:r w:rsidR="005A4C2F">
        <w:rPr>
          <w:rFonts w:cs="Arial"/>
          <w:noProof/>
          <w:szCs w:val="20"/>
        </w:rPr>
        <w:t xml:space="preserve"> </w:t>
      </w:r>
      <w:r w:rsidR="005A4C2F" w:rsidRPr="005A4C2F">
        <w:rPr>
          <w:rFonts w:cs="Arial"/>
          <w:b/>
          <w:bCs/>
          <w:noProof/>
          <w:color w:val="1F497D" w:themeColor="text2"/>
          <w:szCs w:val="20"/>
        </w:rPr>
        <w:t>or Uplizna</w:t>
      </w:r>
      <w:r w:rsidRPr="00795AB5">
        <w:rPr>
          <w:rFonts w:cs="Arial"/>
          <w:noProof/>
          <w:szCs w:val="20"/>
        </w:rPr>
        <w:t>.</w:t>
      </w:r>
    </w:p>
    <w:p w14:paraId="64C9922B" w14:textId="77777777" w:rsidR="009C37C0" w:rsidRDefault="009C37C0" w:rsidP="009C37C0">
      <w:pPr>
        <w:pStyle w:val="ListParagraph"/>
        <w:numPr>
          <w:ilvl w:val="0"/>
          <w:numId w:val="22"/>
        </w:numPr>
        <w:rPr>
          <w:rFonts w:cs="Arial"/>
          <w:noProof/>
          <w:szCs w:val="20"/>
        </w:rPr>
      </w:pPr>
      <w:r>
        <w:rPr>
          <w:rFonts w:cs="Arial"/>
          <w:noProof/>
          <w:szCs w:val="20"/>
        </w:rPr>
        <w:t>Additional denial criteria for Enjaymo, Tavneos, and</w:t>
      </w:r>
      <w:r w:rsidRPr="003B13B9">
        <w:rPr>
          <w:rFonts w:cs="Arial"/>
          <w:noProof/>
          <w:szCs w:val="20"/>
        </w:rPr>
        <w:t xml:space="preserve"> Ultomiris</w:t>
      </w:r>
      <w:r>
        <w:rPr>
          <w:rFonts w:cs="Arial"/>
          <w:noProof/>
          <w:szCs w:val="20"/>
        </w:rPr>
        <w:t>:</w:t>
      </w:r>
    </w:p>
    <w:p w14:paraId="23F96A4B" w14:textId="77777777" w:rsidR="009C37C0" w:rsidRPr="006B22EA" w:rsidRDefault="009C37C0" w:rsidP="009C37C0">
      <w:pPr>
        <w:pStyle w:val="ListParagraph"/>
        <w:numPr>
          <w:ilvl w:val="1"/>
          <w:numId w:val="22"/>
        </w:numPr>
        <w:ind w:left="720"/>
        <w:rPr>
          <w:rFonts w:cs="Arial"/>
          <w:noProof/>
          <w:szCs w:val="20"/>
        </w:rPr>
      </w:pPr>
      <w:r w:rsidRPr="007B5487">
        <w:rPr>
          <w:rFonts w:cs="Arial"/>
          <w:noProof/>
          <w:szCs w:val="20"/>
        </w:rPr>
        <w:t>Participant is currently pregnant</w:t>
      </w:r>
      <w:r>
        <w:rPr>
          <w:rFonts w:cs="Arial"/>
          <w:noProof/>
          <w:szCs w:val="20"/>
        </w:rPr>
        <w:t>.</w:t>
      </w:r>
    </w:p>
    <w:p w14:paraId="326F7D96" w14:textId="77777777" w:rsidR="009C37C0" w:rsidRDefault="009C37C0" w:rsidP="009C37C0">
      <w:pPr>
        <w:pStyle w:val="ListParagraph"/>
        <w:numPr>
          <w:ilvl w:val="0"/>
          <w:numId w:val="22"/>
        </w:numPr>
        <w:rPr>
          <w:rFonts w:cs="Arial"/>
          <w:noProof/>
          <w:szCs w:val="20"/>
        </w:rPr>
      </w:pPr>
      <w:r>
        <w:rPr>
          <w:rFonts w:cs="Arial"/>
          <w:noProof/>
          <w:szCs w:val="20"/>
        </w:rPr>
        <w:t>Additional denial criteria for Tavneos:</w:t>
      </w:r>
    </w:p>
    <w:p w14:paraId="7A31C220" w14:textId="77777777" w:rsidR="009C37C0" w:rsidRDefault="009C37C0" w:rsidP="009C37C0">
      <w:pPr>
        <w:pStyle w:val="ListParagraph"/>
        <w:numPr>
          <w:ilvl w:val="1"/>
          <w:numId w:val="22"/>
        </w:numPr>
        <w:ind w:left="720"/>
        <w:rPr>
          <w:rFonts w:cs="Arial"/>
          <w:noProof/>
          <w:szCs w:val="20"/>
        </w:rPr>
      </w:pPr>
      <w:r w:rsidRPr="007B5487">
        <w:rPr>
          <w:rFonts w:cs="Arial"/>
          <w:noProof/>
          <w:szCs w:val="20"/>
        </w:rPr>
        <w:t>Participant has history of severe hepatic impariment (Child Pugh C);</w:t>
      </w:r>
    </w:p>
    <w:p w14:paraId="63BAE82E" w14:textId="77777777" w:rsidR="001428BC" w:rsidRPr="001428BC" w:rsidRDefault="001428BC" w:rsidP="001428BC">
      <w:pPr>
        <w:pStyle w:val="ListParagraph"/>
        <w:numPr>
          <w:ilvl w:val="1"/>
          <w:numId w:val="22"/>
        </w:numPr>
        <w:ind w:left="720"/>
        <w:rPr>
          <w:rFonts w:cs="Arial"/>
          <w:b/>
          <w:bCs/>
          <w:noProof/>
          <w:color w:val="1F497D" w:themeColor="text2"/>
          <w:szCs w:val="20"/>
        </w:rPr>
      </w:pPr>
      <w:r w:rsidRPr="001428BC">
        <w:rPr>
          <w:rFonts w:cs="Arial"/>
          <w:b/>
          <w:bCs/>
          <w:noProof/>
          <w:color w:val="1F497D" w:themeColor="text2"/>
          <w:szCs w:val="20"/>
        </w:rPr>
        <w:t>Participant has elevated ALT or AST &gt; 3 times the upper limit of normal (ULN) or ALP &gt; 2 times the ULN;</w:t>
      </w:r>
    </w:p>
    <w:p w14:paraId="23E9EA99" w14:textId="4157DBB8" w:rsidR="00BD5F58" w:rsidRDefault="001428BC" w:rsidP="001428BC">
      <w:pPr>
        <w:pStyle w:val="ListParagraph"/>
        <w:numPr>
          <w:ilvl w:val="1"/>
          <w:numId w:val="22"/>
        </w:numPr>
        <w:ind w:left="720"/>
        <w:rPr>
          <w:rFonts w:cs="Arial"/>
          <w:b/>
          <w:bCs/>
          <w:noProof/>
          <w:color w:val="1F497D" w:themeColor="text2"/>
          <w:szCs w:val="20"/>
        </w:rPr>
      </w:pPr>
      <w:r w:rsidRPr="001428BC">
        <w:rPr>
          <w:rFonts w:cs="Arial"/>
          <w:b/>
          <w:bCs/>
          <w:noProof/>
          <w:color w:val="1F497D" w:themeColor="text2"/>
          <w:szCs w:val="20"/>
        </w:rPr>
        <w:t>Participant has evidence of symptomatic cholestasis such as jaundice or pruritis;</w:t>
      </w:r>
    </w:p>
    <w:p w14:paraId="6C9D7B07" w14:textId="5D863168" w:rsidR="00886C6B" w:rsidRPr="001428BC" w:rsidRDefault="00886C6B" w:rsidP="001428BC">
      <w:pPr>
        <w:pStyle w:val="ListParagraph"/>
        <w:numPr>
          <w:ilvl w:val="1"/>
          <w:numId w:val="22"/>
        </w:numPr>
        <w:ind w:left="720"/>
        <w:rPr>
          <w:rFonts w:cs="Arial"/>
          <w:b/>
          <w:bCs/>
          <w:noProof/>
          <w:color w:val="1F497D" w:themeColor="text2"/>
          <w:szCs w:val="20"/>
        </w:rPr>
      </w:pPr>
      <w:r>
        <w:rPr>
          <w:rFonts w:cs="Arial"/>
          <w:b/>
          <w:bCs/>
          <w:noProof/>
          <w:color w:val="1F497D" w:themeColor="text2"/>
          <w:szCs w:val="20"/>
        </w:rPr>
        <w:t xml:space="preserve">Participant has received </w:t>
      </w:r>
      <w:r w:rsidR="008359E1">
        <w:rPr>
          <w:rFonts w:cs="Arial"/>
          <w:b/>
          <w:bCs/>
          <w:noProof/>
          <w:color w:val="1F497D" w:themeColor="text2"/>
          <w:szCs w:val="20"/>
        </w:rPr>
        <w:t xml:space="preserve">a total of </w:t>
      </w:r>
      <w:r w:rsidR="006E52ED">
        <w:rPr>
          <w:rFonts w:cs="Arial"/>
          <w:b/>
          <w:bCs/>
          <w:noProof/>
          <w:color w:val="1F497D" w:themeColor="text2"/>
          <w:szCs w:val="20"/>
        </w:rPr>
        <w:t>12 months of Tavneos therapy;</w:t>
      </w:r>
    </w:p>
    <w:p w14:paraId="61F12F46" w14:textId="77777777" w:rsidR="009C37C0" w:rsidRDefault="009C37C0" w:rsidP="009C37C0">
      <w:pPr>
        <w:pStyle w:val="ListParagraph"/>
        <w:numPr>
          <w:ilvl w:val="1"/>
          <w:numId w:val="22"/>
        </w:numPr>
        <w:ind w:left="720"/>
        <w:rPr>
          <w:rFonts w:cs="Arial"/>
          <w:noProof/>
          <w:szCs w:val="20"/>
        </w:rPr>
      </w:pPr>
      <w:r w:rsidRPr="007B5487">
        <w:rPr>
          <w:rFonts w:cs="Arial"/>
          <w:noProof/>
          <w:szCs w:val="20"/>
        </w:rPr>
        <w:t>Participant has history of kidney transplant;</w:t>
      </w:r>
      <w:r>
        <w:rPr>
          <w:rFonts w:cs="Arial"/>
          <w:noProof/>
          <w:szCs w:val="20"/>
        </w:rPr>
        <w:t xml:space="preserve"> </w:t>
      </w:r>
      <w:r w:rsidRPr="002A6E25">
        <w:rPr>
          <w:rFonts w:cs="Arial"/>
          <w:b/>
          <w:bCs/>
          <w:noProof/>
          <w:szCs w:val="20"/>
        </w:rPr>
        <w:t>OR</w:t>
      </w:r>
    </w:p>
    <w:p w14:paraId="7CAF6EC3" w14:textId="77777777" w:rsidR="009C37C0" w:rsidRDefault="009C37C0" w:rsidP="009C37C0">
      <w:pPr>
        <w:pStyle w:val="ListParagraph"/>
        <w:numPr>
          <w:ilvl w:val="1"/>
          <w:numId w:val="22"/>
        </w:numPr>
        <w:ind w:left="720"/>
        <w:rPr>
          <w:rFonts w:cs="Arial"/>
          <w:noProof/>
          <w:szCs w:val="20"/>
        </w:rPr>
      </w:pPr>
      <w:r w:rsidRPr="007B5487">
        <w:rPr>
          <w:rFonts w:cs="Arial"/>
          <w:noProof/>
          <w:szCs w:val="20"/>
        </w:rPr>
        <w:t>Participant has history of Chronic Kidney Disease Stage 5 or End-Stage Renal Disease</w:t>
      </w:r>
      <w:r>
        <w:rPr>
          <w:rFonts w:cs="Arial"/>
          <w:noProof/>
          <w:szCs w:val="20"/>
        </w:rPr>
        <w:t>.</w:t>
      </w:r>
    </w:p>
    <w:p w14:paraId="713922FA" w14:textId="77777777" w:rsidR="009C37C0" w:rsidRPr="006C37CA" w:rsidRDefault="009C37C0" w:rsidP="009C37C0">
      <w:pPr>
        <w:pStyle w:val="ListParagraph"/>
        <w:numPr>
          <w:ilvl w:val="0"/>
          <w:numId w:val="22"/>
        </w:numPr>
        <w:rPr>
          <w:rFonts w:cs="Arial"/>
          <w:noProof/>
          <w:szCs w:val="20"/>
        </w:rPr>
      </w:pPr>
      <w:r w:rsidRPr="006C37CA">
        <w:rPr>
          <w:rFonts w:cs="Arial"/>
          <w:noProof/>
          <w:szCs w:val="20"/>
        </w:rPr>
        <w:t>Additional denial criteria for Voydeya:</w:t>
      </w:r>
    </w:p>
    <w:p w14:paraId="37FFBFA4" w14:textId="77777777" w:rsidR="009C37C0" w:rsidRPr="006C37CA" w:rsidRDefault="009C37C0" w:rsidP="009C37C0">
      <w:pPr>
        <w:pStyle w:val="ListParagraph"/>
        <w:numPr>
          <w:ilvl w:val="1"/>
          <w:numId w:val="22"/>
        </w:numPr>
        <w:ind w:left="720"/>
        <w:rPr>
          <w:rFonts w:cs="Arial"/>
          <w:noProof/>
          <w:szCs w:val="20"/>
        </w:rPr>
      </w:pPr>
      <w:r w:rsidRPr="006C37CA">
        <w:rPr>
          <w:rFonts w:cs="Arial"/>
          <w:noProof/>
          <w:szCs w:val="20"/>
        </w:rPr>
        <w:t>Participant has severe hepatic impairment.</w:t>
      </w:r>
    </w:p>
    <w:p w14:paraId="4D21EAF1" w14:textId="77777777" w:rsidR="001E4CBA" w:rsidRDefault="001E4CBA" w:rsidP="001C73B1">
      <w:pPr>
        <w:pStyle w:val="ListParagraph"/>
        <w:numPr>
          <w:ilvl w:val="0"/>
          <w:numId w:val="0"/>
        </w:numPr>
        <w:ind w:left="360"/>
        <w:rPr>
          <w:rFonts w:cs="Arial"/>
          <w:szCs w:val="22"/>
        </w:rPr>
      </w:pPr>
    </w:p>
    <w:p w14:paraId="6F4629E1" w14:textId="13D1E40A" w:rsidR="009C37C0" w:rsidRDefault="009C37C0" w:rsidP="009C37C0">
      <w:pPr>
        <w:pStyle w:val="Heading1"/>
      </w:pPr>
      <w:r>
        <w:t>Appendix A</w:t>
      </w: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470"/>
        <w:gridCol w:w="2070"/>
        <w:gridCol w:w="4410"/>
      </w:tblGrid>
      <w:tr w:rsidR="001939FB" w:rsidRPr="008037BE" w14:paraId="6D15662F" w14:textId="77777777">
        <w:trPr>
          <w:cantSplit/>
          <w:trHeight w:val="20"/>
        </w:trPr>
        <w:tc>
          <w:tcPr>
            <w:tcW w:w="1770" w:type="dxa"/>
            <w:shd w:val="clear" w:color="auto" w:fill="FABF8F" w:themeFill="accent6" w:themeFillTint="99"/>
            <w:vAlign w:val="center"/>
            <w:hideMark/>
          </w:tcPr>
          <w:p w14:paraId="057AD0CD" w14:textId="77777777" w:rsidR="001939FB" w:rsidRPr="008037BE" w:rsidRDefault="001939FB" w:rsidP="00215640">
            <w:pPr>
              <w:jc w:val="center"/>
              <w:rPr>
                <w:rFonts w:cs="Arial"/>
                <w:b/>
                <w:bCs/>
                <w:szCs w:val="20"/>
              </w:rPr>
            </w:pPr>
            <w:r>
              <w:rPr>
                <w:rFonts w:cs="Arial"/>
                <w:b/>
                <w:bCs/>
                <w:szCs w:val="20"/>
              </w:rPr>
              <w:t>Reference Product</w:t>
            </w:r>
          </w:p>
        </w:tc>
        <w:tc>
          <w:tcPr>
            <w:tcW w:w="1470" w:type="dxa"/>
            <w:shd w:val="clear" w:color="auto" w:fill="FABF8F" w:themeFill="accent6" w:themeFillTint="99"/>
            <w:vAlign w:val="center"/>
            <w:hideMark/>
          </w:tcPr>
          <w:p w14:paraId="53A8ECBD" w14:textId="77777777" w:rsidR="001939FB" w:rsidRPr="008037BE" w:rsidRDefault="001939FB" w:rsidP="00215640">
            <w:pPr>
              <w:jc w:val="center"/>
              <w:rPr>
                <w:rFonts w:cs="Arial"/>
                <w:b/>
                <w:bCs/>
                <w:szCs w:val="20"/>
              </w:rPr>
            </w:pPr>
            <w:r w:rsidRPr="008A1616">
              <w:rPr>
                <w:rFonts w:cs="Arial"/>
                <w:b/>
                <w:bCs/>
                <w:szCs w:val="20"/>
              </w:rPr>
              <w:t>Biosimilars</w:t>
            </w:r>
          </w:p>
        </w:tc>
        <w:tc>
          <w:tcPr>
            <w:tcW w:w="2070" w:type="dxa"/>
            <w:shd w:val="clear" w:color="auto" w:fill="FABF8F" w:themeFill="accent6" w:themeFillTint="99"/>
            <w:vAlign w:val="center"/>
            <w:hideMark/>
          </w:tcPr>
          <w:p w14:paraId="128EE535" w14:textId="77777777" w:rsidR="001939FB" w:rsidRPr="008037BE" w:rsidRDefault="001939FB" w:rsidP="00215640">
            <w:pPr>
              <w:jc w:val="center"/>
              <w:rPr>
                <w:rFonts w:cs="Arial"/>
                <w:b/>
                <w:bCs/>
                <w:szCs w:val="20"/>
              </w:rPr>
            </w:pPr>
            <w:r w:rsidRPr="008037BE">
              <w:rPr>
                <w:rFonts w:cs="Arial"/>
                <w:b/>
                <w:bCs/>
                <w:szCs w:val="20"/>
              </w:rPr>
              <w:t>Mechanism of Action</w:t>
            </w:r>
          </w:p>
        </w:tc>
        <w:tc>
          <w:tcPr>
            <w:tcW w:w="4410" w:type="dxa"/>
            <w:shd w:val="clear" w:color="auto" w:fill="FABF8F" w:themeFill="accent6" w:themeFillTint="99"/>
            <w:vAlign w:val="center"/>
            <w:hideMark/>
          </w:tcPr>
          <w:p w14:paraId="11ED6551" w14:textId="77777777" w:rsidR="001939FB" w:rsidRDefault="001939FB" w:rsidP="00215640">
            <w:pPr>
              <w:jc w:val="center"/>
              <w:rPr>
                <w:rFonts w:cs="Arial"/>
                <w:b/>
                <w:bCs/>
                <w:szCs w:val="20"/>
              </w:rPr>
            </w:pPr>
            <w:r w:rsidRPr="008037BE">
              <w:rPr>
                <w:rFonts w:cs="Arial"/>
                <w:b/>
                <w:bCs/>
                <w:szCs w:val="20"/>
              </w:rPr>
              <w:t>Indication</w:t>
            </w:r>
            <w:r>
              <w:rPr>
                <w:rFonts w:cs="Arial"/>
                <w:b/>
                <w:bCs/>
                <w:szCs w:val="20"/>
              </w:rPr>
              <w:t xml:space="preserve">s </w:t>
            </w:r>
            <w:r w:rsidRPr="008A1616">
              <w:rPr>
                <w:rFonts w:cs="Arial"/>
                <w:b/>
                <w:bCs/>
                <w:szCs w:val="20"/>
              </w:rPr>
              <w:t>for Reference Product</w:t>
            </w:r>
          </w:p>
          <w:p w14:paraId="0EFBCDDE" w14:textId="206EAC7C" w:rsidR="008323CF" w:rsidRPr="008323CF" w:rsidRDefault="008323CF" w:rsidP="00215640">
            <w:pPr>
              <w:jc w:val="center"/>
              <w:rPr>
                <w:rFonts w:cs="Arial"/>
                <w:i/>
                <w:iCs/>
                <w:szCs w:val="20"/>
              </w:rPr>
            </w:pPr>
            <w:r w:rsidRPr="008323CF">
              <w:rPr>
                <w:rFonts w:cs="Arial"/>
                <w:i/>
                <w:iCs/>
                <w:szCs w:val="20"/>
              </w:rPr>
              <w:t>(aged ≥ 18 years unless otherwise indicated)</w:t>
            </w:r>
          </w:p>
        </w:tc>
      </w:tr>
      <w:tr w:rsidR="001939FB" w:rsidRPr="008037BE" w14:paraId="7C6089CD" w14:textId="77777777">
        <w:trPr>
          <w:cantSplit/>
          <w:trHeight w:val="20"/>
        </w:trPr>
        <w:tc>
          <w:tcPr>
            <w:tcW w:w="1770" w:type="dxa"/>
            <w:noWrap/>
            <w:vAlign w:val="center"/>
            <w:hideMark/>
          </w:tcPr>
          <w:p w14:paraId="68FDFD2D" w14:textId="77777777" w:rsidR="001939FB" w:rsidRDefault="001939FB" w:rsidP="00215640">
            <w:pPr>
              <w:jc w:val="center"/>
              <w:rPr>
                <w:rFonts w:cs="Arial"/>
                <w:color w:val="000000"/>
                <w:szCs w:val="20"/>
              </w:rPr>
            </w:pPr>
            <w:r w:rsidRPr="008037BE">
              <w:rPr>
                <w:rFonts w:cs="Arial"/>
                <w:color w:val="000000"/>
                <w:szCs w:val="20"/>
              </w:rPr>
              <w:t>Empaveli</w:t>
            </w:r>
            <w:r w:rsidRPr="008037BE">
              <w:rPr>
                <w:rFonts w:cs="Arial"/>
                <w:color w:val="000000"/>
                <w:szCs w:val="20"/>
                <w:vertAlign w:val="superscript"/>
              </w:rPr>
              <w:t>®</w:t>
            </w:r>
          </w:p>
          <w:p w14:paraId="72E69AF6" w14:textId="77777777" w:rsidR="001939FB" w:rsidRPr="008037BE" w:rsidRDefault="001939FB" w:rsidP="00215640">
            <w:pPr>
              <w:jc w:val="center"/>
              <w:rPr>
                <w:rFonts w:cs="Arial"/>
                <w:color w:val="000000"/>
                <w:szCs w:val="20"/>
              </w:rPr>
            </w:pPr>
            <w:r>
              <w:rPr>
                <w:rFonts w:cs="Arial"/>
                <w:color w:val="000000"/>
                <w:szCs w:val="20"/>
              </w:rPr>
              <w:t>(</w:t>
            </w:r>
            <w:r w:rsidRPr="008037BE">
              <w:rPr>
                <w:rFonts w:cs="Arial"/>
                <w:color w:val="000000"/>
                <w:szCs w:val="20"/>
              </w:rPr>
              <w:t>pegcetacoplan</w:t>
            </w:r>
            <w:r>
              <w:rPr>
                <w:rFonts w:cs="Arial"/>
                <w:color w:val="000000"/>
                <w:szCs w:val="20"/>
              </w:rPr>
              <w:t>)</w:t>
            </w:r>
          </w:p>
        </w:tc>
        <w:tc>
          <w:tcPr>
            <w:tcW w:w="1470" w:type="dxa"/>
            <w:vAlign w:val="center"/>
            <w:hideMark/>
          </w:tcPr>
          <w:p w14:paraId="13D3B3A0" w14:textId="77777777" w:rsidR="001939FB" w:rsidRPr="008037BE" w:rsidRDefault="001939FB" w:rsidP="00215640">
            <w:pPr>
              <w:jc w:val="center"/>
              <w:rPr>
                <w:rFonts w:cs="Arial"/>
                <w:color w:val="000000"/>
                <w:szCs w:val="20"/>
              </w:rPr>
            </w:pPr>
            <w:r>
              <w:rPr>
                <w:rFonts w:cs="Arial"/>
                <w:color w:val="000000"/>
                <w:szCs w:val="20"/>
              </w:rPr>
              <w:t>-</w:t>
            </w:r>
          </w:p>
        </w:tc>
        <w:tc>
          <w:tcPr>
            <w:tcW w:w="2070" w:type="dxa"/>
            <w:noWrap/>
            <w:vAlign w:val="center"/>
            <w:hideMark/>
          </w:tcPr>
          <w:p w14:paraId="3B9EB61A" w14:textId="77777777" w:rsidR="001939FB" w:rsidRPr="008037BE" w:rsidRDefault="001939FB" w:rsidP="00215640">
            <w:pPr>
              <w:jc w:val="center"/>
              <w:rPr>
                <w:rFonts w:cs="Arial"/>
                <w:color w:val="000000"/>
                <w:szCs w:val="20"/>
              </w:rPr>
            </w:pPr>
            <w:r w:rsidRPr="008037BE">
              <w:rPr>
                <w:rFonts w:cs="Arial"/>
                <w:color w:val="000000"/>
                <w:szCs w:val="20"/>
              </w:rPr>
              <w:t>C3 inhibitor</w:t>
            </w:r>
          </w:p>
        </w:tc>
        <w:tc>
          <w:tcPr>
            <w:tcW w:w="4410" w:type="dxa"/>
            <w:vAlign w:val="center"/>
            <w:hideMark/>
          </w:tcPr>
          <w:p w14:paraId="6E2B2673" w14:textId="77777777" w:rsidR="007B6B20" w:rsidRPr="006F636F" w:rsidRDefault="007B6B20" w:rsidP="007B6B20">
            <w:pPr>
              <w:pStyle w:val="ListParagraph"/>
              <w:numPr>
                <w:ilvl w:val="0"/>
                <w:numId w:val="24"/>
              </w:numPr>
              <w:ind w:left="159" w:hanging="159"/>
              <w:rPr>
                <w:rFonts w:cs="Arial"/>
                <w:szCs w:val="20"/>
              </w:rPr>
            </w:pPr>
            <w:r w:rsidRPr="006F636F">
              <w:rPr>
                <w:rFonts w:cs="Arial"/>
                <w:szCs w:val="20"/>
              </w:rPr>
              <w:t>paroxysmal nocturnal hemoglobinuria (PNH)</w:t>
            </w:r>
          </w:p>
          <w:p w14:paraId="52BCC708" w14:textId="2D35BA72" w:rsidR="001939FB" w:rsidRPr="00C640FE" w:rsidRDefault="001939FB" w:rsidP="001939FB">
            <w:pPr>
              <w:pStyle w:val="ListParagraph"/>
              <w:numPr>
                <w:ilvl w:val="0"/>
                <w:numId w:val="24"/>
              </w:numPr>
              <w:ind w:left="159" w:hanging="159"/>
              <w:rPr>
                <w:rFonts w:cs="Arial"/>
                <w:b/>
                <w:bCs/>
                <w:color w:val="1F497D" w:themeColor="text2"/>
                <w:szCs w:val="20"/>
              </w:rPr>
            </w:pPr>
            <w:r w:rsidRPr="006F636F">
              <w:rPr>
                <w:rFonts w:cs="Arial"/>
                <w:szCs w:val="20"/>
              </w:rPr>
              <w:t>complement 3 glomerulopathy (C3G)</w:t>
            </w:r>
            <w:r w:rsidR="00C640FE" w:rsidRPr="006F636F">
              <w:rPr>
                <w:rFonts w:cs="Arial"/>
                <w:szCs w:val="20"/>
              </w:rPr>
              <w:t xml:space="preserve"> </w:t>
            </w:r>
            <w:r w:rsidR="00C640FE" w:rsidRPr="00521FC4">
              <w:rPr>
                <w:rFonts w:cs="Arial"/>
                <w:szCs w:val="20"/>
              </w:rPr>
              <w:t>(12 years old and older)</w:t>
            </w:r>
          </w:p>
          <w:p w14:paraId="524356AA" w14:textId="4C17367F" w:rsidR="001939FB" w:rsidRPr="00155931" w:rsidRDefault="001939FB" w:rsidP="001939FB">
            <w:pPr>
              <w:pStyle w:val="ListParagraph"/>
              <w:numPr>
                <w:ilvl w:val="0"/>
                <w:numId w:val="24"/>
              </w:numPr>
              <w:ind w:left="159" w:hanging="159"/>
              <w:rPr>
                <w:rFonts w:cs="Arial"/>
                <w:b/>
                <w:bCs/>
                <w:color w:val="000000"/>
                <w:szCs w:val="20"/>
              </w:rPr>
            </w:pPr>
            <w:r w:rsidRPr="006F636F">
              <w:rPr>
                <w:rFonts w:cs="Arial"/>
                <w:szCs w:val="20"/>
              </w:rPr>
              <w:t>primary immune-complex membranoproliferative glomerulonephritis (IC-MPGN)</w:t>
            </w:r>
            <w:r w:rsidR="00C640FE">
              <w:rPr>
                <w:rFonts w:cs="Arial"/>
                <w:szCs w:val="20"/>
              </w:rPr>
              <w:t xml:space="preserve"> </w:t>
            </w:r>
            <w:r w:rsidR="00C640FE" w:rsidRPr="00521FC4">
              <w:rPr>
                <w:rFonts w:cs="Arial"/>
                <w:szCs w:val="20"/>
              </w:rPr>
              <w:t>(12 years old and older)</w:t>
            </w:r>
          </w:p>
        </w:tc>
      </w:tr>
      <w:tr w:rsidR="001939FB" w:rsidRPr="008037BE" w14:paraId="64DE2EDC" w14:textId="77777777">
        <w:trPr>
          <w:cantSplit/>
          <w:trHeight w:val="20"/>
        </w:trPr>
        <w:tc>
          <w:tcPr>
            <w:tcW w:w="1770" w:type="dxa"/>
            <w:noWrap/>
            <w:vAlign w:val="center"/>
            <w:hideMark/>
          </w:tcPr>
          <w:p w14:paraId="1E9379B5" w14:textId="77777777" w:rsidR="001939FB" w:rsidRDefault="001939FB" w:rsidP="00215640">
            <w:pPr>
              <w:jc w:val="center"/>
              <w:rPr>
                <w:rFonts w:cs="Arial"/>
                <w:color w:val="000000"/>
                <w:szCs w:val="20"/>
              </w:rPr>
            </w:pPr>
            <w:r w:rsidRPr="008037BE">
              <w:rPr>
                <w:rFonts w:cs="Arial"/>
                <w:color w:val="000000"/>
                <w:szCs w:val="20"/>
              </w:rPr>
              <w:t>Enjaymo</w:t>
            </w:r>
            <w:r w:rsidRPr="008037BE">
              <w:rPr>
                <w:rFonts w:cs="Arial"/>
                <w:color w:val="000000"/>
                <w:szCs w:val="20"/>
                <w:vertAlign w:val="superscript"/>
              </w:rPr>
              <w:t>®</w:t>
            </w:r>
          </w:p>
          <w:p w14:paraId="1AB0CE87" w14:textId="77777777" w:rsidR="001939FB" w:rsidRPr="008037BE" w:rsidRDefault="001939FB" w:rsidP="00215640">
            <w:pPr>
              <w:jc w:val="center"/>
              <w:rPr>
                <w:rFonts w:cs="Arial"/>
                <w:color w:val="000000"/>
                <w:szCs w:val="20"/>
              </w:rPr>
            </w:pPr>
            <w:r>
              <w:rPr>
                <w:rFonts w:cs="Arial"/>
                <w:color w:val="000000"/>
                <w:szCs w:val="20"/>
              </w:rPr>
              <w:t>(s</w:t>
            </w:r>
            <w:r w:rsidRPr="008037BE">
              <w:rPr>
                <w:rFonts w:cs="Arial"/>
                <w:color w:val="000000"/>
                <w:szCs w:val="20"/>
              </w:rPr>
              <w:t>utimlimab-jome</w:t>
            </w:r>
            <w:r>
              <w:rPr>
                <w:rFonts w:cs="Arial"/>
                <w:color w:val="000000"/>
                <w:szCs w:val="20"/>
              </w:rPr>
              <w:t>)</w:t>
            </w:r>
          </w:p>
        </w:tc>
        <w:tc>
          <w:tcPr>
            <w:tcW w:w="1470" w:type="dxa"/>
            <w:noWrap/>
            <w:vAlign w:val="center"/>
            <w:hideMark/>
          </w:tcPr>
          <w:p w14:paraId="0BEFC63F" w14:textId="77777777" w:rsidR="001939FB" w:rsidRPr="008037BE" w:rsidRDefault="001939FB" w:rsidP="00215640">
            <w:pPr>
              <w:jc w:val="center"/>
              <w:rPr>
                <w:rFonts w:cs="Arial"/>
                <w:color w:val="000000"/>
                <w:szCs w:val="20"/>
              </w:rPr>
            </w:pPr>
            <w:r>
              <w:rPr>
                <w:rFonts w:cs="Arial"/>
                <w:color w:val="000000"/>
                <w:szCs w:val="20"/>
              </w:rPr>
              <w:t>-</w:t>
            </w:r>
          </w:p>
        </w:tc>
        <w:tc>
          <w:tcPr>
            <w:tcW w:w="2070" w:type="dxa"/>
            <w:noWrap/>
            <w:vAlign w:val="center"/>
            <w:hideMark/>
          </w:tcPr>
          <w:p w14:paraId="08951104" w14:textId="77777777" w:rsidR="001939FB" w:rsidRPr="008037BE" w:rsidRDefault="001939FB" w:rsidP="00215640">
            <w:pPr>
              <w:jc w:val="center"/>
              <w:rPr>
                <w:rFonts w:cs="Arial"/>
                <w:color w:val="000000"/>
                <w:szCs w:val="20"/>
              </w:rPr>
            </w:pPr>
            <w:r w:rsidRPr="008037BE">
              <w:rPr>
                <w:rFonts w:cs="Arial"/>
                <w:color w:val="000000"/>
                <w:szCs w:val="20"/>
              </w:rPr>
              <w:t>Anti-C1s monoclonal antibody</w:t>
            </w:r>
          </w:p>
        </w:tc>
        <w:tc>
          <w:tcPr>
            <w:tcW w:w="4410" w:type="dxa"/>
            <w:vAlign w:val="center"/>
            <w:hideMark/>
          </w:tcPr>
          <w:p w14:paraId="59BA8DC9" w14:textId="77777777" w:rsidR="001939FB" w:rsidRPr="008037BE" w:rsidRDefault="001939FB" w:rsidP="001939FB">
            <w:pPr>
              <w:pStyle w:val="ListParagraph"/>
              <w:numPr>
                <w:ilvl w:val="0"/>
                <w:numId w:val="24"/>
              </w:numPr>
              <w:ind w:left="159" w:hanging="180"/>
              <w:rPr>
                <w:rFonts w:cs="Arial"/>
                <w:color w:val="000000"/>
                <w:szCs w:val="20"/>
              </w:rPr>
            </w:pPr>
            <w:r w:rsidRPr="008037BE">
              <w:rPr>
                <w:rFonts w:cs="Arial"/>
                <w:color w:val="000000"/>
                <w:szCs w:val="20"/>
              </w:rPr>
              <w:t>cold agglutinin disease (CAD)</w:t>
            </w:r>
          </w:p>
        </w:tc>
      </w:tr>
      <w:tr w:rsidR="001939FB" w:rsidRPr="008037BE" w14:paraId="02D1D7E0" w14:textId="77777777">
        <w:trPr>
          <w:cantSplit/>
          <w:trHeight w:val="20"/>
        </w:trPr>
        <w:tc>
          <w:tcPr>
            <w:tcW w:w="1770" w:type="dxa"/>
            <w:noWrap/>
            <w:vAlign w:val="center"/>
            <w:hideMark/>
          </w:tcPr>
          <w:p w14:paraId="3AB89BC4" w14:textId="77777777" w:rsidR="001939FB" w:rsidRDefault="001939FB" w:rsidP="00215640">
            <w:pPr>
              <w:jc w:val="center"/>
              <w:rPr>
                <w:rFonts w:cs="Arial"/>
                <w:color w:val="000000"/>
                <w:szCs w:val="20"/>
              </w:rPr>
            </w:pPr>
            <w:r w:rsidRPr="008037BE">
              <w:rPr>
                <w:rFonts w:cs="Arial"/>
                <w:color w:val="000000"/>
                <w:szCs w:val="20"/>
              </w:rPr>
              <w:lastRenderedPageBreak/>
              <w:t>Fabhalta</w:t>
            </w:r>
            <w:r w:rsidRPr="008037BE">
              <w:rPr>
                <w:rFonts w:cs="Arial"/>
                <w:color w:val="000000"/>
                <w:szCs w:val="20"/>
                <w:vertAlign w:val="superscript"/>
              </w:rPr>
              <w:t>®</w:t>
            </w:r>
          </w:p>
          <w:p w14:paraId="573C92FB" w14:textId="77777777" w:rsidR="001939FB" w:rsidRPr="008037BE" w:rsidRDefault="001939FB" w:rsidP="00215640">
            <w:pPr>
              <w:jc w:val="center"/>
              <w:rPr>
                <w:rFonts w:cs="Arial"/>
                <w:color w:val="000000"/>
                <w:szCs w:val="20"/>
              </w:rPr>
            </w:pPr>
            <w:r>
              <w:rPr>
                <w:rFonts w:cs="Arial"/>
                <w:color w:val="000000"/>
                <w:szCs w:val="20"/>
              </w:rPr>
              <w:t>(i</w:t>
            </w:r>
            <w:r w:rsidRPr="008037BE">
              <w:rPr>
                <w:rFonts w:cs="Arial"/>
                <w:color w:val="000000"/>
                <w:szCs w:val="20"/>
              </w:rPr>
              <w:t>ptacopan</w:t>
            </w:r>
            <w:r>
              <w:rPr>
                <w:rFonts w:cs="Arial"/>
                <w:color w:val="000000"/>
                <w:szCs w:val="20"/>
              </w:rPr>
              <w:t>)</w:t>
            </w:r>
          </w:p>
        </w:tc>
        <w:tc>
          <w:tcPr>
            <w:tcW w:w="1470" w:type="dxa"/>
            <w:vAlign w:val="center"/>
            <w:hideMark/>
          </w:tcPr>
          <w:p w14:paraId="49DF8CC9" w14:textId="77777777" w:rsidR="001939FB" w:rsidRPr="008037BE" w:rsidRDefault="001939FB" w:rsidP="00215640">
            <w:pPr>
              <w:jc w:val="center"/>
              <w:rPr>
                <w:rFonts w:cs="Arial"/>
                <w:color w:val="000000"/>
                <w:szCs w:val="20"/>
              </w:rPr>
            </w:pPr>
            <w:r>
              <w:rPr>
                <w:rFonts w:cs="Arial"/>
                <w:color w:val="000000"/>
                <w:szCs w:val="20"/>
              </w:rPr>
              <w:t>-</w:t>
            </w:r>
          </w:p>
        </w:tc>
        <w:tc>
          <w:tcPr>
            <w:tcW w:w="2070" w:type="dxa"/>
            <w:noWrap/>
            <w:vAlign w:val="center"/>
            <w:hideMark/>
          </w:tcPr>
          <w:p w14:paraId="2028E08D" w14:textId="77777777" w:rsidR="001939FB" w:rsidRPr="008037BE" w:rsidRDefault="001939FB" w:rsidP="00215640">
            <w:pPr>
              <w:jc w:val="center"/>
              <w:rPr>
                <w:rFonts w:cs="Arial"/>
                <w:color w:val="000000"/>
                <w:szCs w:val="20"/>
              </w:rPr>
            </w:pPr>
            <w:r w:rsidRPr="008037BE">
              <w:rPr>
                <w:rFonts w:cs="Arial"/>
                <w:color w:val="000000"/>
                <w:szCs w:val="20"/>
              </w:rPr>
              <w:t>Complement factor B inhibitor</w:t>
            </w:r>
          </w:p>
        </w:tc>
        <w:tc>
          <w:tcPr>
            <w:tcW w:w="4410" w:type="dxa"/>
            <w:vAlign w:val="center"/>
            <w:hideMark/>
          </w:tcPr>
          <w:p w14:paraId="5B3B396B" w14:textId="77777777" w:rsidR="001939FB" w:rsidRDefault="001939FB" w:rsidP="001939FB">
            <w:pPr>
              <w:pStyle w:val="ListParagraph"/>
              <w:numPr>
                <w:ilvl w:val="0"/>
                <w:numId w:val="24"/>
              </w:numPr>
              <w:ind w:left="159" w:hanging="159"/>
              <w:rPr>
                <w:rFonts w:cs="Arial"/>
                <w:color w:val="000000"/>
                <w:szCs w:val="20"/>
              </w:rPr>
            </w:pPr>
            <w:r w:rsidRPr="008037BE">
              <w:rPr>
                <w:rFonts w:cs="Arial"/>
                <w:color w:val="000000"/>
                <w:szCs w:val="20"/>
              </w:rPr>
              <w:t>paroxysmal nocturnal hemoglobinuria (PNH)</w:t>
            </w:r>
          </w:p>
          <w:p w14:paraId="0A16A08E" w14:textId="77777777" w:rsidR="001939FB" w:rsidRPr="006F636F" w:rsidRDefault="001939FB" w:rsidP="001939FB">
            <w:pPr>
              <w:pStyle w:val="ListParagraph"/>
              <w:numPr>
                <w:ilvl w:val="0"/>
                <w:numId w:val="24"/>
              </w:numPr>
              <w:ind w:left="159" w:hanging="159"/>
              <w:rPr>
                <w:rFonts w:cs="Arial"/>
                <w:szCs w:val="20"/>
              </w:rPr>
            </w:pPr>
            <w:r w:rsidRPr="006F636F">
              <w:rPr>
                <w:rFonts w:cs="Arial"/>
                <w:szCs w:val="20"/>
              </w:rPr>
              <w:t>primary immunoglobulin A nephropathy (IgAN)</w:t>
            </w:r>
          </w:p>
          <w:p w14:paraId="211A2388" w14:textId="77777777" w:rsidR="001939FB" w:rsidRPr="00477803" w:rsidRDefault="001939FB" w:rsidP="001939FB">
            <w:pPr>
              <w:pStyle w:val="ListParagraph"/>
              <w:numPr>
                <w:ilvl w:val="0"/>
                <w:numId w:val="24"/>
              </w:numPr>
              <w:ind w:left="159" w:hanging="159"/>
              <w:rPr>
                <w:rFonts w:cs="Arial"/>
                <w:b/>
                <w:bCs/>
                <w:color w:val="000000"/>
                <w:szCs w:val="20"/>
              </w:rPr>
            </w:pPr>
            <w:r w:rsidRPr="006F636F">
              <w:rPr>
                <w:rFonts w:cs="Arial"/>
                <w:szCs w:val="20"/>
              </w:rPr>
              <w:t>complement 3 glomerulopathy (C3G)</w:t>
            </w:r>
          </w:p>
        </w:tc>
      </w:tr>
      <w:tr w:rsidR="001939FB" w:rsidRPr="008037BE" w14:paraId="4DE39805" w14:textId="77777777">
        <w:trPr>
          <w:cantSplit/>
          <w:trHeight w:val="20"/>
        </w:trPr>
        <w:tc>
          <w:tcPr>
            <w:tcW w:w="1770" w:type="dxa"/>
            <w:noWrap/>
            <w:vAlign w:val="center"/>
          </w:tcPr>
          <w:p w14:paraId="47535A15" w14:textId="77777777" w:rsidR="001939FB" w:rsidRPr="006F636F" w:rsidRDefault="001939FB" w:rsidP="00215640">
            <w:pPr>
              <w:jc w:val="center"/>
              <w:rPr>
                <w:rFonts w:cs="Arial"/>
                <w:spacing w:val="-3"/>
              </w:rPr>
            </w:pPr>
            <w:r w:rsidRPr="006F636F">
              <w:rPr>
                <w:rFonts w:cs="Arial"/>
                <w:spacing w:val="-3"/>
              </w:rPr>
              <w:t>Piasky</w:t>
            </w:r>
            <w:r w:rsidRPr="006F636F">
              <w:rPr>
                <w:rFonts w:cs="Arial"/>
                <w:spacing w:val="-3"/>
                <w:vertAlign w:val="superscript"/>
              </w:rPr>
              <w:t>®</w:t>
            </w:r>
          </w:p>
          <w:p w14:paraId="63B3A9D3" w14:textId="77777777" w:rsidR="001939FB" w:rsidRPr="006F636F" w:rsidRDefault="001939FB" w:rsidP="00215640">
            <w:pPr>
              <w:jc w:val="center"/>
              <w:rPr>
                <w:rFonts w:cs="Arial"/>
                <w:szCs w:val="20"/>
              </w:rPr>
            </w:pPr>
            <w:r w:rsidRPr="006F636F">
              <w:rPr>
                <w:rFonts w:cs="Arial"/>
                <w:spacing w:val="-3"/>
              </w:rPr>
              <w:t>(crovalimab-akkz)</w:t>
            </w:r>
          </w:p>
        </w:tc>
        <w:tc>
          <w:tcPr>
            <w:tcW w:w="1470" w:type="dxa"/>
            <w:noWrap/>
            <w:vAlign w:val="center"/>
          </w:tcPr>
          <w:p w14:paraId="7E86FE75" w14:textId="77777777" w:rsidR="001939FB" w:rsidRPr="006F636F" w:rsidRDefault="001939FB" w:rsidP="00215640">
            <w:pPr>
              <w:jc w:val="center"/>
              <w:rPr>
                <w:rFonts w:cs="Arial"/>
                <w:spacing w:val="-3"/>
                <w:szCs w:val="20"/>
              </w:rPr>
            </w:pPr>
            <w:r w:rsidRPr="006F636F">
              <w:rPr>
                <w:rFonts w:cs="Arial"/>
                <w:spacing w:val="-3"/>
                <w:szCs w:val="20"/>
              </w:rPr>
              <w:t>-</w:t>
            </w:r>
          </w:p>
        </w:tc>
        <w:tc>
          <w:tcPr>
            <w:tcW w:w="2070" w:type="dxa"/>
            <w:noWrap/>
            <w:vAlign w:val="center"/>
          </w:tcPr>
          <w:p w14:paraId="1BDCC38B" w14:textId="77777777" w:rsidR="001939FB" w:rsidRPr="006F636F" w:rsidRDefault="001939FB" w:rsidP="00215640">
            <w:pPr>
              <w:jc w:val="center"/>
              <w:rPr>
                <w:rFonts w:cs="Arial"/>
                <w:szCs w:val="20"/>
              </w:rPr>
            </w:pPr>
            <w:r w:rsidRPr="006F636F">
              <w:rPr>
                <w:rFonts w:cs="Arial"/>
                <w:szCs w:val="20"/>
              </w:rPr>
              <w:t>Anti-C5 monoclonal antibody</w:t>
            </w:r>
          </w:p>
        </w:tc>
        <w:tc>
          <w:tcPr>
            <w:tcW w:w="4410" w:type="dxa"/>
            <w:vAlign w:val="center"/>
          </w:tcPr>
          <w:p w14:paraId="7F467AD7" w14:textId="77777777" w:rsidR="001939FB" w:rsidRPr="006F636F" w:rsidRDefault="001939FB" w:rsidP="001939FB">
            <w:pPr>
              <w:pStyle w:val="ListParagraph"/>
              <w:numPr>
                <w:ilvl w:val="0"/>
                <w:numId w:val="23"/>
              </w:numPr>
              <w:ind w:left="159" w:hanging="159"/>
              <w:rPr>
                <w:rFonts w:cs="Arial"/>
                <w:szCs w:val="20"/>
              </w:rPr>
            </w:pPr>
            <w:r w:rsidRPr="006F636F">
              <w:rPr>
                <w:rFonts w:cs="Arial"/>
                <w:szCs w:val="20"/>
              </w:rPr>
              <w:t>paroxysmal nocturnal hemoglobinuria (PNH) (13 years old and older)</w:t>
            </w:r>
          </w:p>
        </w:tc>
      </w:tr>
      <w:tr w:rsidR="001939FB" w:rsidRPr="008037BE" w14:paraId="0D66FC04" w14:textId="77777777">
        <w:trPr>
          <w:cantSplit/>
          <w:trHeight w:val="20"/>
        </w:trPr>
        <w:tc>
          <w:tcPr>
            <w:tcW w:w="1770" w:type="dxa"/>
            <w:noWrap/>
            <w:vAlign w:val="center"/>
            <w:hideMark/>
          </w:tcPr>
          <w:p w14:paraId="2F4BD2DB" w14:textId="77777777" w:rsidR="001939FB" w:rsidRDefault="001939FB" w:rsidP="00215640">
            <w:pPr>
              <w:jc w:val="center"/>
              <w:rPr>
                <w:rFonts w:cs="Arial"/>
                <w:color w:val="000000"/>
                <w:szCs w:val="20"/>
              </w:rPr>
            </w:pPr>
            <w:r w:rsidRPr="008037BE">
              <w:rPr>
                <w:rFonts w:cs="Arial"/>
                <w:color w:val="000000"/>
                <w:szCs w:val="20"/>
              </w:rPr>
              <w:t>Soliris</w:t>
            </w:r>
            <w:r w:rsidRPr="008037BE">
              <w:rPr>
                <w:rFonts w:cs="Arial"/>
                <w:color w:val="000000"/>
                <w:szCs w:val="20"/>
                <w:vertAlign w:val="superscript"/>
              </w:rPr>
              <w:t>®</w:t>
            </w:r>
          </w:p>
          <w:p w14:paraId="0AE4E9A3" w14:textId="77777777" w:rsidR="001939FB" w:rsidRPr="008037BE" w:rsidRDefault="001939FB" w:rsidP="00215640">
            <w:pPr>
              <w:jc w:val="center"/>
              <w:rPr>
                <w:rFonts w:cs="Arial"/>
                <w:color w:val="000000"/>
                <w:szCs w:val="20"/>
              </w:rPr>
            </w:pPr>
            <w:r>
              <w:rPr>
                <w:rFonts w:cs="Arial"/>
                <w:color w:val="000000"/>
                <w:szCs w:val="20"/>
              </w:rPr>
              <w:t>(e</w:t>
            </w:r>
            <w:r w:rsidRPr="008037BE">
              <w:rPr>
                <w:rFonts w:cs="Arial"/>
                <w:color w:val="000000"/>
                <w:szCs w:val="20"/>
              </w:rPr>
              <w:t>culizumab</w:t>
            </w:r>
            <w:r>
              <w:rPr>
                <w:rFonts w:cs="Arial"/>
                <w:color w:val="000000"/>
                <w:szCs w:val="20"/>
              </w:rPr>
              <w:t>)</w:t>
            </w:r>
          </w:p>
        </w:tc>
        <w:tc>
          <w:tcPr>
            <w:tcW w:w="1470" w:type="dxa"/>
            <w:noWrap/>
            <w:vAlign w:val="center"/>
            <w:hideMark/>
          </w:tcPr>
          <w:p w14:paraId="0AE3D009" w14:textId="77777777" w:rsidR="001939FB" w:rsidRPr="006F636F" w:rsidRDefault="001939FB" w:rsidP="00215640">
            <w:pPr>
              <w:jc w:val="center"/>
              <w:rPr>
                <w:rFonts w:cs="Arial"/>
                <w:spacing w:val="-3"/>
                <w:szCs w:val="20"/>
              </w:rPr>
            </w:pPr>
            <w:r w:rsidRPr="006F636F">
              <w:rPr>
                <w:rFonts w:cs="Arial"/>
                <w:spacing w:val="-3"/>
                <w:szCs w:val="20"/>
              </w:rPr>
              <w:t>Bkemv</w:t>
            </w:r>
            <w:r w:rsidRPr="006F636F">
              <w:rPr>
                <w:rFonts w:cs="Arial"/>
                <w:spacing w:val="-3"/>
                <w:sz w:val="14"/>
                <w:szCs w:val="14"/>
                <w:vertAlign w:val="superscript"/>
              </w:rPr>
              <w:t>™</w:t>
            </w:r>
          </w:p>
          <w:p w14:paraId="60B09720" w14:textId="77777777" w:rsidR="001939FB" w:rsidRPr="006F636F" w:rsidRDefault="001939FB" w:rsidP="00215640">
            <w:pPr>
              <w:jc w:val="center"/>
              <w:rPr>
                <w:rFonts w:cs="Arial"/>
                <w:spacing w:val="-3"/>
                <w:szCs w:val="20"/>
              </w:rPr>
            </w:pPr>
            <w:r w:rsidRPr="006F636F">
              <w:rPr>
                <w:rFonts w:cs="Arial"/>
                <w:spacing w:val="-3"/>
                <w:szCs w:val="20"/>
              </w:rPr>
              <w:t>Epysqli</w:t>
            </w:r>
            <w:r w:rsidRPr="006F636F">
              <w:rPr>
                <w:rFonts w:cs="Arial"/>
                <w:spacing w:val="-3"/>
                <w:szCs w:val="20"/>
                <w:vertAlign w:val="superscript"/>
              </w:rPr>
              <w:t>®</w:t>
            </w:r>
          </w:p>
          <w:p w14:paraId="71A286C1" w14:textId="77777777" w:rsidR="001939FB" w:rsidRPr="008037BE" w:rsidRDefault="001939FB" w:rsidP="00215640">
            <w:pPr>
              <w:jc w:val="center"/>
              <w:rPr>
                <w:rFonts w:cs="Arial"/>
                <w:color w:val="000000"/>
                <w:szCs w:val="20"/>
              </w:rPr>
            </w:pPr>
          </w:p>
        </w:tc>
        <w:tc>
          <w:tcPr>
            <w:tcW w:w="2070" w:type="dxa"/>
            <w:noWrap/>
            <w:vAlign w:val="center"/>
            <w:hideMark/>
          </w:tcPr>
          <w:p w14:paraId="03189C0B" w14:textId="77777777" w:rsidR="001939FB" w:rsidRPr="008037BE" w:rsidRDefault="001939FB" w:rsidP="00215640">
            <w:pPr>
              <w:jc w:val="center"/>
              <w:rPr>
                <w:rFonts w:cs="Arial"/>
                <w:color w:val="000000"/>
                <w:szCs w:val="20"/>
              </w:rPr>
            </w:pPr>
            <w:r w:rsidRPr="008037BE">
              <w:rPr>
                <w:rFonts w:cs="Arial"/>
                <w:color w:val="000000"/>
                <w:szCs w:val="20"/>
              </w:rPr>
              <w:t>Anti-C5 monoclonal antibody</w:t>
            </w:r>
          </w:p>
        </w:tc>
        <w:tc>
          <w:tcPr>
            <w:tcW w:w="4410" w:type="dxa"/>
            <w:vAlign w:val="center"/>
            <w:hideMark/>
          </w:tcPr>
          <w:p w14:paraId="62270445"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 xml:space="preserve">atypical hemolytic uremic syndrome (aHUS) </w:t>
            </w:r>
            <w:r>
              <w:rPr>
                <w:rFonts w:cs="Arial"/>
                <w:color w:val="000000"/>
                <w:szCs w:val="20"/>
              </w:rPr>
              <w:t>(all ages)</w:t>
            </w:r>
          </w:p>
          <w:p w14:paraId="0DDBC6B4"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generalized myasthenia gravis (gMG) - A</w:t>
            </w:r>
            <w:r>
              <w:rPr>
                <w:rFonts w:cs="Arial"/>
                <w:color w:val="000000"/>
                <w:szCs w:val="20"/>
              </w:rPr>
              <w:t>C</w:t>
            </w:r>
            <w:r w:rsidRPr="008037BE">
              <w:rPr>
                <w:rFonts w:cs="Arial"/>
                <w:color w:val="000000"/>
                <w:szCs w:val="20"/>
              </w:rPr>
              <w:t>hR antibody positive</w:t>
            </w:r>
            <w:r>
              <w:rPr>
                <w:rFonts w:cs="Arial"/>
                <w:color w:val="000000"/>
                <w:szCs w:val="20"/>
              </w:rPr>
              <w:t xml:space="preserve"> </w:t>
            </w:r>
            <w:r w:rsidRPr="008B204A">
              <w:rPr>
                <w:rFonts w:cs="Arial"/>
                <w:szCs w:val="20"/>
              </w:rPr>
              <w:t>(6 years old and older)</w:t>
            </w:r>
          </w:p>
          <w:p w14:paraId="4362A6A1"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neuromyelitis optica spectrum disorder (NMOSD) - AQP4 antibody positive</w:t>
            </w:r>
          </w:p>
          <w:p w14:paraId="3A9F5404"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paroxysmal nocturnal hemoglobinuria (PNH)</w:t>
            </w:r>
          </w:p>
        </w:tc>
      </w:tr>
      <w:tr w:rsidR="001939FB" w:rsidRPr="008037BE" w14:paraId="1A26D232" w14:textId="77777777">
        <w:trPr>
          <w:cantSplit/>
          <w:trHeight w:val="20"/>
        </w:trPr>
        <w:tc>
          <w:tcPr>
            <w:tcW w:w="1770" w:type="dxa"/>
            <w:noWrap/>
            <w:vAlign w:val="center"/>
            <w:hideMark/>
          </w:tcPr>
          <w:p w14:paraId="42DEE1C5" w14:textId="77777777" w:rsidR="001939FB" w:rsidRDefault="001939FB" w:rsidP="00215640">
            <w:pPr>
              <w:jc w:val="center"/>
              <w:rPr>
                <w:rFonts w:cs="Arial"/>
                <w:color w:val="000000"/>
                <w:szCs w:val="20"/>
              </w:rPr>
            </w:pPr>
            <w:r w:rsidRPr="008037BE">
              <w:rPr>
                <w:rFonts w:cs="Arial"/>
                <w:color w:val="000000"/>
                <w:szCs w:val="20"/>
              </w:rPr>
              <w:t>Tavneos</w:t>
            </w:r>
            <w:r w:rsidRPr="008037BE">
              <w:rPr>
                <w:rFonts w:cs="Arial"/>
                <w:color w:val="000000"/>
                <w:szCs w:val="20"/>
                <w:vertAlign w:val="superscript"/>
              </w:rPr>
              <w:t>®</w:t>
            </w:r>
          </w:p>
          <w:p w14:paraId="7B8824DE" w14:textId="77777777" w:rsidR="001939FB" w:rsidRPr="008037BE" w:rsidRDefault="001939FB" w:rsidP="00215640">
            <w:pPr>
              <w:jc w:val="center"/>
              <w:rPr>
                <w:rFonts w:cs="Arial"/>
                <w:color w:val="000000"/>
                <w:szCs w:val="20"/>
              </w:rPr>
            </w:pPr>
            <w:r>
              <w:rPr>
                <w:rFonts w:cs="Arial"/>
                <w:color w:val="000000"/>
                <w:szCs w:val="20"/>
              </w:rPr>
              <w:t>(a</w:t>
            </w:r>
            <w:r w:rsidRPr="008037BE">
              <w:rPr>
                <w:rFonts w:cs="Arial"/>
                <w:color w:val="000000"/>
                <w:szCs w:val="20"/>
              </w:rPr>
              <w:t>vacopan</w:t>
            </w:r>
            <w:r>
              <w:rPr>
                <w:rFonts w:cs="Arial"/>
                <w:color w:val="000000"/>
                <w:szCs w:val="20"/>
              </w:rPr>
              <w:t>)</w:t>
            </w:r>
          </w:p>
        </w:tc>
        <w:tc>
          <w:tcPr>
            <w:tcW w:w="1470" w:type="dxa"/>
            <w:noWrap/>
            <w:vAlign w:val="center"/>
            <w:hideMark/>
          </w:tcPr>
          <w:p w14:paraId="30FB64D7" w14:textId="77777777" w:rsidR="001939FB" w:rsidRPr="008037BE" w:rsidRDefault="001939FB" w:rsidP="00215640">
            <w:pPr>
              <w:jc w:val="center"/>
              <w:rPr>
                <w:rFonts w:cs="Arial"/>
                <w:color w:val="000000"/>
                <w:szCs w:val="20"/>
              </w:rPr>
            </w:pPr>
            <w:r>
              <w:rPr>
                <w:rFonts w:cs="Arial"/>
                <w:color w:val="000000"/>
                <w:szCs w:val="20"/>
              </w:rPr>
              <w:t>-</w:t>
            </w:r>
          </w:p>
        </w:tc>
        <w:tc>
          <w:tcPr>
            <w:tcW w:w="2070" w:type="dxa"/>
            <w:vAlign w:val="center"/>
            <w:hideMark/>
          </w:tcPr>
          <w:p w14:paraId="37586040" w14:textId="77777777" w:rsidR="001939FB" w:rsidRPr="008037BE" w:rsidRDefault="001939FB" w:rsidP="00215640">
            <w:pPr>
              <w:jc w:val="center"/>
              <w:rPr>
                <w:rFonts w:cs="Arial"/>
                <w:color w:val="000000"/>
                <w:szCs w:val="20"/>
              </w:rPr>
            </w:pPr>
            <w:r w:rsidRPr="008037BE">
              <w:rPr>
                <w:rFonts w:cs="Arial"/>
                <w:color w:val="000000"/>
                <w:szCs w:val="20"/>
              </w:rPr>
              <w:t>Complement C5a Receptor Inhibitor</w:t>
            </w:r>
          </w:p>
        </w:tc>
        <w:tc>
          <w:tcPr>
            <w:tcW w:w="4410" w:type="dxa"/>
            <w:vAlign w:val="center"/>
            <w:hideMark/>
          </w:tcPr>
          <w:p w14:paraId="5471506A"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 xml:space="preserve">adjunctive treatment of active anti-neutrophil cytoplasmic autoantibody (ANCA)-associated vasculitis </w:t>
            </w:r>
          </w:p>
        </w:tc>
      </w:tr>
      <w:tr w:rsidR="001939FB" w:rsidRPr="008037BE" w14:paraId="44F04137" w14:textId="77777777">
        <w:trPr>
          <w:cantSplit/>
          <w:trHeight w:val="20"/>
        </w:trPr>
        <w:tc>
          <w:tcPr>
            <w:tcW w:w="1770" w:type="dxa"/>
            <w:noWrap/>
            <w:vAlign w:val="center"/>
            <w:hideMark/>
          </w:tcPr>
          <w:p w14:paraId="5E5A79EA" w14:textId="77777777" w:rsidR="001939FB" w:rsidRDefault="001939FB" w:rsidP="00215640">
            <w:pPr>
              <w:jc w:val="center"/>
              <w:rPr>
                <w:rFonts w:cs="Arial"/>
                <w:color w:val="000000"/>
                <w:szCs w:val="20"/>
              </w:rPr>
            </w:pPr>
            <w:r w:rsidRPr="008037BE">
              <w:rPr>
                <w:rFonts w:cs="Arial"/>
                <w:color w:val="000000"/>
                <w:szCs w:val="20"/>
              </w:rPr>
              <w:t>Ultomiris</w:t>
            </w:r>
            <w:r w:rsidRPr="008037BE">
              <w:rPr>
                <w:rFonts w:cs="Arial"/>
                <w:color w:val="000000"/>
                <w:szCs w:val="20"/>
                <w:vertAlign w:val="superscript"/>
              </w:rPr>
              <w:t>®</w:t>
            </w:r>
          </w:p>
          <w:p w14:paraId="5003F739" w14:textId="77777777" w:rsidR="001939FB" w:rsidRPr="008037BE" w:rsidRDefault="001939FB" w:rsidP="00215640">
            <w:pPr>
              <w:jc w:val="center"/>
              <w:rPr>
                <w:rFonts w:cs="Arial"/>
                <w:color w:val="000000"/>
                <w:szCs w:val="20"/>
              </w:rPr>
            </w:pPr>
            <w:r>
              <w:rPr>
                <w:rFonts w:cs="Arial"/>
                <w:color w:val="000000"/>
                <w:szCs w:val="20"/>
              </w:rPr>
              <w:t>(r</w:t>
            </w:r>
            <w:r w:rsidRPr="008037BE">
              <w:rPr>
                <w:rFonts w:cs="Arial"/>
                <w:color w:val="000000"/>
                <w:szCs w:val="20"/>
              </w:rPr>
              <w:t>avulizumab-cwvz</w:t>
            </w:r>
            <w:r>
              <w:rPr>
                <w:rFonts w:cs="Arial"/>
                <w:color w:val="000000"/>
                <w:szCs w:val="20"/>
              </w:rPr>
              <w:t>)</w:t>
            </w:r>
          </w:p>
        </w:tc>
        <w:tc>
          <w:tcPr>
            <w:tcW w:w="1470" w:type="dxa"/>
            <w:noWrap/>
            <w:vAlign w:val="center"/>
            <w:hideMark/>
          </w:tcPr>
          <w:p w14:paraId="43303128" w14:textId="77777777" w:rsidR="001939FB" w:rsidRPr="008037BE" w:rsidRDefault="001939FB" w:rsidP="00215640">
            <w:pPr>
              <w:jc w:val="center"/>
              <w:rPr>
                <w:rFonts w:cs="Arial"/>
                <w:color w:val="000000"/>
                <w:szCs w:val="20"/>
              </w:rPr>
            </w:pPr>
            <w:r>
              <w:rPr>
                <w:rFonts w:cs="Arial"/>
                <w:color w:val="000000"/>
                <w:szCs w:val="20"/>
              </w:rPr>
              <w:t>-</w:t>
            </w:r>
          </w:p>
        </w:tc>
        <w:tc>
          <w:tcPr>
            <w:tcW w:w="2070" w:type="dxa"/>
            <w:noWrap/>
            <w:vAlign w:val="center"/>
            <w:hideMark/>
          </w:tcPr>
          <w:p w14:paraId="2ADA9124" w14:textId="77777777" w:rsidR="001939FB" w:rsidRPr="008037BE" w:rsidRDefault="001939FB" w:rsidP="00215640">
            <w:pPr>
              <w:jc w:val="center"/>
              <w:rPr>
                <w:rFonts w:cs="Arial"/>
                <w:color w:val="000000"/>
                <w:szCs w:val="20"/>
              </w:rPr>
            </w:pPr>
            <w:r w:rsidRPr="008037BE">
              <w:rPr>
                <w:rFonts w:cs="Arial"/>
                <w:color w:val="000000"/>
                <w:szCs w:val="20"/>
              </w:rPr>
              <w:t>Anti-C5 monoclonal antibody</w:t>
            </w:r>
          </w:p>
        </w:tc>
        <w:tc>
          <w:tcPr>
            <w:tcW w:w="4410" w:type="dxa"/>
            <w:vAlign w:val="center"/>
            <w:hideMark/>
          </w:tcPr>
          <w:p w14:paraId="1DFEE21B"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atypical hemolytic uremic syndrome (aHUS)</w:t>
            </w:r>
            <w:r>
              <w:rPr>
                <w:rFonts w:cs="Arial"/>
                <w:color w:val="000000"/>
                <w:szCs w:val="20"/>
              </w:rPr>
              <w:t xml:space="preserve"> (all ages)</w:t>
            </w:r>
            <w:r w:rsidRPr="008037BE">
              <w:rPr>
                <w:rFonts w:cs="Arial"/>
                <w:color w:val="000000"/>
                <w:szCs w:val="20"/>
              </w:rPr>
              <w:t xml:space="preserve"> </w:t>
            </w:r>
          </w:p>
          <w:p w14:paraId="5634D8FC"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generalized myasthenia gravis (gMG) - AChR antibody-positive</w:t>
            </w:r>
          </w:p>
          <w:p w14:paraId="447517B5"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neuromyelitis optica spectrum disorder (NMOSD) - AQP4 antibody positive</w:t>
            </w:r>
          </w:p>
          <w:p w14:paraId="5B1B64A0"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paroxysmal nocturnal hemoglobinuria (PNH)</w:t>
            </w:r>
            <w:r>
              <w:rPr>
                <w:rFonts w:cs="Arial"/>
                <w:color w:val="000000"/>
                <w:szCs w:val="20"/>
              </w:rPr>
              <w:t xml:space="preserve"> (all ages)</w:t>
            </w:r>
          </w:p>
        </w:tc>
      </w:tr>
      <w:tr w:rsidR="001939FB" w:rsidRPr="008037BE" w14:paraId="2563936C" w14:textId="77777777">
        <w:trPr>
          <w:cantSplit/>
          <w:trHeight w:val="20"/>
        </w:trPr>
        <w:tc>
          <w:tcPr>
            <w:tcW w:w="1770" w:type="dxa"/>
            <w:noWrap/>
            <w:vAlign w:val="center"/>
            <w:hideMark/>
          </w:tcPr>
          <w:p w14:paraId="5002B4D2" w14:textId="77777777" w:rsidR="001939FB" w:rsidRDefault="001939FB" w:rsidP="00215640">
            <w:pPr>
              <w:jc w:val="center"/>
              <w:rPr>
                <w:rFonts w:cs="Arial"/>
                <w:color w:val="000000"/>
                <w:szCs w:val="20"/>
              </w:rPr>
            </w:pPr>
            <w:r w:rsidRPr="008037BE">
              <w:rPr>
                <w:rFonts w:cs="Arial"/>
                <w:color w:val="000000"/>
                <w:szCs w:val="20"/>
              </w:rPr>
              <w:t>Veopoz</w:t>
            </w:r>
            <w:r w:rsidRPr="008037BE">
              <w:rPr>
                <w:rFonts w:cs="Arial"/>
                <w:color w:val="000000"/>
                <w:szCs w:val="20"/>
                <w:vertAlign w:val="superscript"/>
              </w:rPr>
              <w:t>®</w:t>
            </w:r>
          </w:p>
          <w:p w14:paraId="12DFADF7" w14:textId="77777777" w:rsidR="001939FB" w:rsidRPr="008037BE" w:rsidRDefault="001939FB" w:rsidP="00215640">
            <w:pPr>
              <w:jc w:val="center"/>
              <w:rPr>
                <w:rFonts w:cs="Arial"/>
                <w:color w:val="000000"/>
                <w:szCs w:val="20"/>
              </w:rPr>
            </w:pPr>
            <w:r>
              <w:rPr>
                <w:rFonts w:cs="Arial"/>
                <w:color w:val="000000"/>
                <w:szCs w:val="20"/>
              </w:rPr>
              <w:t>(p</w:t>
            </w:r>
            <w:r w:rsidRPr="008037BE">
              <w:rPr>
                <w:rFonts w:cs="Arial"/>
                <w:color w:val="000000"/>
                <w:szCs w:val="20"/>
              </w:rPr>
              <w:t>ozelimab-bbfg</w:t>
            </w:r>
            <w:r>
              <w:rPr>
                <w:rFonts w:cs="Arial"/>
                <w:color w:val="000000"/>
                <w:szCs w:val="20"/>
              </w:rPr>
              <w:t>)</w:t>
            </w:r>
          </w:p>
        </w:tc>
        <w:tc>
          <w:tcPr>
            <w:tcW w:w="1470" w:type="dxa"/>
            <w:noWrap/>
            <w:vAlign w:val="center"/>
            <w:hideMark/>
          </w:tcPr>
          <w:p w14:paraId="2A218FC2" w14:textId="77777777" w:rsidR="001939FB" w:rsidRPr="008037BE" w:rsidRDefault="001939FB" w:rsidP="00215640">
            <w:pPr>
              <w:jc w:val="center"/>
              <w:rPr>
                <w:rFonts w:cs="Arial"/>
                <w:color w:val="000000"/>
                <w:szCs w:val="20"/>
              </w:rPr>
            </w:pPr>
            <w:r>
              <w:rPr>
                <w:rFonts w:cs="Arial"/>
                <w:color w:val="000000"/>
                <w:szCs w:val="20"/>
              </w:rPr>
              <w:t>-</w:t>
            </w:r>
          </w:p>
        </w:tc>
        <w:tc>
          <w:tcPr>
            <w:tcW w:w="2070" w:type="dxa"/>
            <w:noWrap/>
            <w:vAlign w:val="center"/>
            <w:hideMark/>
          </w:tcPr>
          <w:p w14:paraId="6494D3B3" w14:textId="77777777" w:rsidR="001939FB" w:rsidRPr="008037BE" w:rsidRDefault="001939FB" w:rsidP="00215640">
            <w:pPr>
              <w:jc w:val="center"/>
              <w:rPr>
                <w:rFonts w:cs="Arial"/>
                <w:color w:val="000000"/>
                <w:szCs w:val="20"/>
              </w:rPr>
            </w:pPr>
            <w:r w:rsidRPr="008037BE">
              <w:rPr>
                <w:rFonts w:cs="Arial"/>
                <w:color w:val="000000"/>
                <w:szCs w:val="20"/>
              </w:rPr>
              <w:t>Anti-C5 monoclonal antibody</w:t>
            </w:r>
          </w:p>
        </w:tc>
        <w:tc>
          <w:tcPr>
            <w:tcW w:w="4410" w:type="dxa"/>
            <w:vAlign w:val="center"/>
            <w:hideMark/>
          </w:tcPr>
          <w:p w14:paraId="3C8A6C25"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CD55-deficient protein-losing enteropathy (PLE), also known as CHAPLE disease</w:t>
            </w:r>
            <w:r>
              <w:rPr>
                <w:rFonts w:cs="Arial"/>
                <w:color w:val="000000"/>
                <w:szCs w:val="20"/>
              </w:rPr>
              <w:t xml:space="preserve"> (all ages)</w:t>
            </w:r>
          </w:p>
        </w:tc>
      </w:tr>
      <w:tr w:rsidR="001939FB" w:rsidRPr="008037BE" w14:paraId="7E016BC6" w14:textId="77777777">
        <w:trPr>
          <w:cantSplit/>
          <w:trHeight w:val="20"/>
        </w:trPr>
        <w:tc>
          <w:tcPr>
            <w:tcW w:w="1770" w:type="dxa"/>
            <w:noWrap/>
            <w:vAlign w:val="center"/>
          </w:tcPr>
          <w:p w14:paraId="781B50C0" w14:textId="77777777" w:rsidR="001939FB" w:rsidRPr="007053B6" w:rsidRDefault="001939FB" w:rsidP="00215640">
            <w:pPr>
              <w:jc w:val="center"/>
              <w:rPr>
                <w:rFonts w:cs="Arial"/>
                <w:szCs w:val="20"/>
              </w:rPr>
            </w:pPr>
            <w:r w:rsidRPr="007053B6">
              <w:rPr>
                <w:rFonts w:cs="Arial"/>
                <w:szCs w:val="20"/>
              </w:rPr>
              <w:t>Voydeya™</w:t>
            </w:r>
          </w:p>
          <w:p w14:paraId="4AF5D0A2" w14:textId="77777777" w:rsidR="001939FB" w:rsidRPr="007053B6" w:rsidRDefault="001939FB" w:rsidP="00215640">
            <w:pPr>
              <w:jc w:val="center"/>
              <w:rPr>
                <w:rFonts w:cs="Arial"/>
                <w:szCs w:val="20"/>
              </w:rPr>
            </w:pPr>
            <w:r w:rsidRPr="007053B6">
              <w:rPr>
                <w:rFonts w:cs="Arial"/>
                <w:szCs w:val="20"/>
              </w:rPr>
              <w:t>(danicopan)</w:t>
            </w:r>
          </w:p>
        </w:tc>
        <w:tc>
          <w:tcPr>
            <w:tcW w:w="1470" w:type="dxa"/>
            <w:noWrap/>
            <w:vAlign w:val="center"/>
          </w:tcPr>
          <w:p w14:paraId="5351AC7E" w14:textId="77777777" w:rsidR="001939FB" w:rsidRPr="007053B6" w:rsidRDefault="001939FB" w:rsidP="00215640">
            <w:pPr>
              <w:jc w:val="center"/>
              <w:rPr>
                <w:rFonts w:cs="Arial"/>
                <w:spacing w:val="-3"/>
                <w:szCs w:val="20"/>
              </w:rPr>
            </w:pPr>
            <w:r w:rsidRPr="007053B6">
              <w:rPr>
                <w:rFonts w:cs="Arial"/>
                <w:spacing w:val="-3"/>
                <w:szCs w:val="20"/>
              </w:rPr>
              <w:t>-</w:t>
            </w:r>
          </w:p>
        </w:tc>
        <w:tc>
          <w:tcPr>
            <w:tcW w:w="2070" w:type="dxa"/>
            <w:noWrap/>
            <w:vAlign w:val="center"/>
          </w:tcPr>
          <w:p w14:paraId="7F534F36" w14:textId="77777777" w:rsidR="001939FB" w:rsidRPr="007053B6" w:rsidRDefault="001939FB" w:rsidP="00215640">
            <w:pPr>
              <w:jc w:val="center"/>
              <w:rPr>
                <w:rFonts w:cs="Arial"/>
                <w:szCs w:val="20"/>
              </w:rPr>
            </w:pPr>
            <w:r w:rsidRPr="007053B6">
              <w:rPr>
                <w:rFonts w:cs="Arial"/>
                <w:szCs w:val="20"/>
              </w:rPr>
              <w:t>Complement factor D inhibitor</w:t>
            </w:r>
          </w:p>
        </w:tc>
        <w:tc>
          <w:tcPr>
            <w:tcW w:w="4410" w:type="dxa"/>
            <w:vAlign w:val="center"/>
          </w:tcPr>
          <w:p w14:paraId="3A12CAF8" w14:textId="77777777" w:rsidR="001939FB" w:rsidRPr="007053B6" w:rsidRDefault="001939FB" w:rsidP="001939FB">
            <w:pPr>
              <w:pStyle w:val="ListParagraph"/>
              <w:numPr>
                <w:ilvl w:val="0"/>
                <w:numId w:val="23"/>
              </w:numPr>
              <w:ind w:left="159" w:hanging="159"/>
              <w:rPr>
                <w:rFonts w:cs="Arial"/>
                <w:szCs w:val="20"/>
              </w:rPr>
            </w:pPr>
            <w:r w:rsidRPr="007053B6">
              <w:rPr>
                <w:rFonts w:cs="Arial"/>
                <w:szCs w:val="20"/>
              </w:rPr>
              <w:t>paroxysmal nocturnal hemoglobinuria (PNH), as add-on therapy to eculizumab or Ultomiris</w:t>
            </w:r>
          </w:p>
        </w:tc>
      </w:tr>
      <w:tr w:rsidR="001939FB" w:rsidRPr="008037BE" w14:paraId="0645B8A3" w14:textId="77777777">
        <w:trPr>
          <w:cantSplit/>
          <w:trHeight w:val="20"/>
        </w:trPr>
        <w:tc>
          <w:tcPr>
            <w:tcW w:w="1770" w:type="dxa"/>
            <w:noWrap/>
            <w:vAlign w:val="center"/>
            <w:hideMark/>
          </w:tcPr>
          <w:p w14:paraId="17908969" w14:textId="77777777" w:rsidR="001939FB" w:rsidRDefault="001939FB" w:rsidP="00215640">
            <w:pPr>
              <w:jc w:val="center"/>
              <w:rPr>
                <w:rFonts w:cs="Arial"/>
                <w:color w:val="000000"/>
                <w:szCs w:val="20"/>
              </w:rPr>
            </w:pPr>
            <w:r w:rsidRPr="008037BE">
              <w:rPr>
                <w:rFonts w:cs="Arial"/>
                <w:color w:val="000000"/>
                <w:szCs w:val="20"/>
              </w:rPr>
              <w:t>Zilbrysq</w:t>
            </w:r>
            <w:r w:rsidRPr="008037BE">
              <w:rPr>
                <w:rFonts w:cs="Arial"/>
                <w:color w:val="000000"/>
                <w:szCs w:val="20"/>
                <w:vertAlign w:val="superscript"/>
              </w:rPr>
              <w:t>®</w:t>
            </w:r>
          </w:p>
          <w:p w14:paraId="1EF44C00" w14:textId="77777777" w:rsidR="001939FB" w:rsidRPr="008037BE" w:rsidRDefault="001939FB" w:rsidP="00215640">
            <w:pPr>
              <w:jc w:val="center"/>
              <w:rPr>
                <w:rFonts w:cs="Arial"/>
                <w:color w:val="000000"/>
                <w:szCs w:val="20"/>
              </w:rPr>
            </w:pPr>
            <w:r>
              <w:rPr>
                <w:rFonts w:cs="Arial"/>
                <w:color w:val="000000"/>
                <w:szCs w:val="20"/>
              </w:rPr>
              <w:t>(z</w:t>
            </w:r>
            <w:r w:rsidRPr="008037BE">
              <w:rPr>
                <w:rFonts w:cs="Arial"/>
                <w:color w:val="000000"/>
                <w:szCs w:val="20"/>
              </w:rPr>
              <w:t>ilucoplan sodium</w:t>
            </w:r>
            <w:r>
              <w:rPr>
                <w:rFonts w:cs="Arial"/>
                <w:color w:val="000000"/>
                <w:szCs w:val="20"/>
              </w:rPr>
              <w:t>)</w:t>
            </w:r>
          </w:p>
        </w:tc>
        <w:tc>
          <w:tcPr>
            <w:tcW w:w="1470" w:type="dxa"/>
            <w:noWrap/>
            <w:vAlign w:val="center"/>
            <w:hideMark/>
          </w:tcPr>
          <w:p w14:paraId="1D146116" w14:textId="77777777" w:rsidR="001939FB" w:rsidRPr="008037BE" w:rsidRDefault="001939FB" w:rsidP="00215640">
            <w:pPr>
              <w:jc w:val="center"/>
              <w:rPr>
                <w:rFonts w:cs="Arial"/>
                <w:color w:val="000000"/>
                <w:szCs w:val="20"/>
              </w:rPr>
            </w:pPr>
            <w:r>
              <w:rPr>
                <w:rFonts w:cs="Arial"/>
                <w:color w:val="000000"/>
                <w:szCs w:val="20"/>
              </w:rPr>
              <w:t>-</w:t>
            </w:r>
          </w:p>
        </w:tc>
        <w:tc>
          <w:tcPr>
            <w:tcW w:w="2070" w:type="dxa"/>
            <w:noWrap/>
            <w:vAlign w:val="center"/>
            <w:hideMark/>
          </w:tcPr>
          <w:p w14:paraId="31DD4E9A" w14:textId="77777777" w:rsidR="001939FB" w:rsidRPr="008037BE" w:rsidRDefault="001939FB" w:rsidP="00215640">
            <w:pPr>
              <w:jc w:val="center"/>
              <w:rPr>
                <w:rFonts w:cs="Arial"/>
                <w:color w:val="000000"/>
                <w:szCs w:val="20"/>
              </w:rPr>
            </w:pPr>
            <w:r w:rsidRPr="008037BE">
              <w:rPr>
                <w:rFonts w:cs="Arial"/>
                <w:color w:val="000000"/>
                <w:szCs w:val="20"/>
              </w:rPr>
              <w:t>C5 inhibitor</w:t>
            </w:r>
          </w:p>
        </w:tc>
        <w:tc>
          <w:tcPr>
            <w:tcW w:w="4410" w:type="dxa"/>
            <w:vAlign w:val="center"/>
            <w:hideMark/>
          </w:tcPr>
          <w:p w14:paraId="121D39F9" w14:textId="77777777" w:rsidR="001939FB" w:rsidRPr="008037BE" w:rsidRDefault="001939FB" w:rsidP="001939FB">
            <w:pPr>
              <w:pStyle w:val="ListParagraph"/>
              <w:numPr>
                <w:ilvl w:val="0"/>
                <w:numId w:val="23"/>
              </w:numPr>
              <w:ind w:left="159" w:hanging="159"/>
              <w:rPr>
                <w:rFonts w:cs="Arial"/>
                <w:color w:val="000000"/>
                <w:szCs w:val="20"/>
              </w:rPr>
            </w:pPr>
            <w:r w:rsidRPr="008037BE">
              <w:rPr>
                <w:rFonts w:cs="Arial"/>
                <w:color w:val="000000"/>
                <w:szCs w:val="20"/>
              </w:rPr>
              <w:t>generalized myasthenia gravis (gMG) - AChR antibody positive.</w:t>
            </w:r>
          </w:p>
        </w:tc>
      </w:tr>
    </w:tbl>
    <w:p w14:paraId="03BB3163" w14:textId="77777777" w:rsidR="008323CF" w:rsidRDefault="008323CF" w:rsidP="00343D6B">
      <w:pPr>
        <w:pStyle w:val="Heading1"/>
        <w:rPr>
          <w:lang w:val="en-US"/>
        </w:rPr>
      </w:pPr>
      <w:bookmarkStart w:id="1" w:name="_Hlk34120952"/>
    </w:p>
    <w:p w14:paraId="050492C1" w14:textId="7A46A880" w:rsidR="00BC5635" w:rsidRPr="00C02553" w:rsidRDefault="00BC5635" w:rsidP="00343D6B">
      <w:pPr>
        <w:pStyle w:val="Heading1"/>
        <w:rPr>
          <w:lang w:val="en-US"/>
        </w:rPr>
      </w:pPr>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467E0997" w14:textId="0BDF3466" w:rsidR="00DF1837" w:rsidRPr="002C3836" w:rsidRDefault="00DF1837" w:rsidP="00DF1837">
      <w:pPr>
        <w:pStyle w:val="Header"/>
        <w:numPr>
          <w:ilvl w:val="0"/>
          <w:numId w:val="25"/>
        </w:numPr>
        <w:rPr>
          <w:rFonts w:cs="Arial"/>
          <w:sz w:val="20"/>
        </w:rPr>
      </w:pPr>
      <w:r w:rsidRPr="002C3836">
        <w:rPr>
          <w:rFonts w:cs="Arial"/>
          <w:sz w:val="20"/>
        </w:rPr>
        <w:t xml:space="preserve">Evidence-Based Medicine and Fiscal Analysis: “IMMUNOLOGIC AGENTS: Complement Inhibitors, Systemic”, Gainwell Technologies; Last updated </w:t>
      </w:r>
      <w:r w:rsidR="00AF65AA">
        <w:rPr>
          <w:rFonts w:cs="Arial"/>
          <w:sz w:val="20"/>
        </w:rPr>
        <w:t>March 20</w:t>
      </w:r>
      <w:r w:rsidRPr="002C3836">
        <w:rPr>
          <w:rFonts w:cs="Arial"/>
          <w:sz w:val="20"/>
        </w:rPr>
        <w:t>, 202</w:t>
      </w:r>
      <w:r w:rsidR="00AF65AA">
        <w:rPr>
          <w:rFonts w:cs="Arial"/>
          <w:sz w:val="20"/>
        </w:rPr>
        <w:t>6</w:t>
      </w:r>
      <w:r w:rsidRPr="002C3836">
        <w:rPr>
          <w:rFonts w:cs="Arial"/>
          <w:sz w:val="20"/>
        </w:rPr>
        <w:t>.</w:t>
      </w:r>
    </w:p>
    <w:p w14:paraId="6C42CF5A" w14:textId="733ACEE3" w:rsidR="00DF1837" w:rsidRPr="003805B3" w:rsidRDefault="00DF1837" w:rsidP="1755D970">
      <w:pPr>
        <w:pStyle w:val="Header"/>
        <w:numPr>
          <w:ilvl w:val="0"/>
          <w:numId w:val="25"/>
        </w:numPr>
        <w:rPr>
          <w:rFonts w:cs="Arial"/>
          <w:sz w:val="20"/>
        </w:rPr>
      </w:pPr>
      <w:r w:rsidRPr="1755D970">
        <w:rPr>
          <w:rFonts w:cs="Arial"/>
          <w:sz w:val="20"/>
        </w:rPr>
        <w:t>Evidence-Based Medicine Analysis: “Complement Inhibitors”, UMKC-DIC; Ma</w:t>
      </w:r>
      <w:r w:rsidR="7A127B93" w:rsidRPr="1755D970">
        <w:rPr>
          <w:rFonts w:cs="Arial"/>
          <w:sz w:val="20"/>
        </w:rPr>
        <w:t>y</w:t>
      </w:r>
      <w:r w:rsidRPr="1755D970">
        <w:rPr>
          <w:rFonts w:cs="Arial"/>
          <w:sz w:val="20"/>
        </w:rPr>
        <w:t xml:space="preserve"> 202</w:t>
      </w:r>
      <w:r w:rsidR="6D2E6B7B" w:rsidRPr="1755D970">
        <w:rPr>
          <w:rFonts w:cs="Arial"/>
          <w:sz w:val="20"/>
        </w:rPr>
        <w:t>6</w:t>
      </w:r>
      <w:r w:rsidRPr="1755D970">
        <w:rPr>
          <w:rFonts w:cs="Arial"/>
          <w:sz w:val="20"/>
        </w:rPr>
        <w:t xml:space="preserve">. </w:t>
      </w:r>
    </w:p>
    <w:p w14:paraId="5A19A64E" w14:textId="77777777" w:rsidR="00DF1837" w:rsidRDefault="00DF1837" w:rsidP="00DF1837">
      <w:pPr>
        <w:pStyle w:val="Header"/>
        <w:numPr>
          <w:ilvl w:val="0"/>
          <w:numId w:val="25"/>
        </w:numPr>
        <w:tabs>
          <w:tab w:val="clear" w:pos="4320"/>
          <w:tab w:val="clear" w:pos="8640"/>
        </w:tabs>
        <w:rPr>
          <w:rFonts w:cs="Arial"/>
          <w:sz w:val="20"/>
        </w:rPr>
      </w:pPr>
      <w:r>
        <w:rPr>
          <w:rFonts w:cs="Arial"/>
          <w:sz w:val="20"/>
        </w:rPr>
        <w:t xml:space="preserve">Soliris (eculizumab) [package insert]. Boston, MA: Alexion Pharmaceuticals, Inc.; February 2025. </w:t>
      </w:r>
    </w:p>
    <w:p w14:paraId="250DECDB" w14:textId="77777777" w:rsidR="00DF1837" w:rsidRDefault="00DF1837" w:rsidP="00DF1837">
      <w:pPr>
        <w:pStyle w:val="Header"/>
        <w:numPr>
          <w:ilvl w:val="0"/>
          <w:numId w:val="25"/>
        </w:numPr>
        <w:tabs>
          <w:tab w:val="clear" w:pos="4320"/>
          <w:tab w:val="clear" w:pos="8640"/>
        </w:tabs>
        <w:rPr>
          <w:rFonts w:cs="Arial"/>
          <w:sz w:val="20"/>
        </w:rPr>
      </w:pPr>
      <w:r>
        <w:rPr>
          <w:rFonts w:cs="Arial"/>
          <w:sz w:val="20"/>
        </w:rPr>
        <w:t>Ultomiris (ravulizumab-cwvz) [package insert]. Boston, MA: Alexion Pharmaceuticals, Inc.; September 2024.</w:t>
      </w:r>
    </w:p>
    <w:p w14:paraId="22446454" w14:textId="77777777" w:rsidR="00DF1837" w:rsidRPr="00B75EAC" w:rsidRDefault="00DF1837" w:rsidP="00DF1837">
      <w:pPr>
        <w:pStyle w:val="Header"/>
        <w:numPr>
          <w:ilvl w:val="0"/>
          <w:numId w:val="25"/>
        </w:numPr>
        <w:tabs>
          <w:tab w:val="clear" w:pos="4320"/>
          <w:tab w:val="clear" w:pos="8640"/>
        </w:tabs>
        <w:rPr>
          <w:rStyle w:val="bkciteavail"/>
          <w:rFonts w:cs="Arial"/>
          <w:sz w:val="20"/>
        </w:rPr>
      </w:pPr>
      <w:r w:rsidRPr="00D3038A">
        <w:rPr>
          <w:rFonts w:cs="Arial"/>
          <w:sz w:val="20"/>
          <w:shd w:val="clear" w:color="auto" w:fill="FFFFFF"/>
        </w:rPr>
        <w:t>Janeway C, Travers P, Walport M, et al. Immunobiology: The Immune System in Health and Disease. 5th edition. New York: Garland Science; 2001. The complement system and innate immunity.</w:t>
      </w:r>
      <w:r w:rsidRPr="00D3038A">
        <w:rPr>
          <w:rStyle w:val="bkciteavail"/>
          <w:rFonts w:cs="Arial"/>
          <w:sz w:val="20"/>
          <w:shd w:val="clear" w:color="auto" w:fill="FFFFFF"/>
        </w:rPr>
        <w:t> </w:t>
      </w:r>
      <w:r w:rsidRPr="008A7870">
        <w:rPr>
          <w:rStyle w:val="bkciteavail"/>
          <w:rFonts w:cs="Arial"/>
          <w:sz w:val="20"/>
          <w:shd w:val="clear" w:color="auto" w:fill="FFFFFF"/>
        </w:rPr>
        <w:t xml:space="preserve">Available from: </w:t>
      </w:r>
      <w:hyperlink r:id="rId14" w:history="1">
        <w:r w:rsidRPr="008A7870">
          <w:rPr>
            <w:rStyle w:val="Hyperlink"/>
            <w:rFonts w:cs="Arial"/>
            <w:sz w:val="20"/>
            <w:shd w:val="clear" w:color="auto" w:fill="FFFFFF"/>
          </w:rPr>
          <w:t>https://www.ncbi.nlm.nih.gov/books/NBK27100/</w:t>
        </w:r>
      </w:hyperlink>
      <w:r w:rsidRPr="008A7870">
        <w:rPr>
          <w:rStyle w:val="bkciteavail"/>
          <w:rFonts w:cs="Arial"/>
          <w:color w:val="222222"/>
          <w:sz w:val="20"/>
          <w:shd w:val="clear" w:color="auto" w:fill="FFFFFF"/>
        </w:rPr>
        <w:t xml:space="preserve">. </w:t>
      </w:r>
      <w:r w:rsidRPr="008A7870">
        <w:rPr>
          <w:rStyle w:val="bkciteavail"/>
          <w:rFonts w:cs="Arial"/>
          <w:sz w:val="20"/>
          <w:shd w:val="clear" w:color="auto" w:fill="FFFFFF"/>
        </w:rPr>
        <w:t xml:space="preserve">Accessed </w:t>
      </w:r>
      <w:r>
        <w:rPr>
          <w:rStyle w:val="bkciteavail"/>
          <w:rFonts w:cs="Arial"/>
          <w:sz w:val="20"/>
          <w:shd w:val="clear" w:color="auto" w:fill="FFFFFF"/>
        </w:rPr>
        <w:t>May 28, 2025.</w:t>
      </w:r>
      <w:r w:rsidRPr="00B75EAC">
        <w:rPr>
          <w:rStyle w:val="bkciteavail"/>
          <w:rFonts w:cs="Arial"/>
          <w:sz w:val="20"/>
          <w:shd w:val="clear" w:color="auto" w:fill="FFFFFF"/>
        </w:rPr>
        <w:t xml:space="preserve"> </w:t>
      </w:r>
    </w:p>
    <w:p w14:paraId="34C9AB08" w14:textId="77777777" w:rsidR="00DF1837" w:rsidRPr="00413343" w:rsidRDefault="00DF1837" w:rsidP="00DF1837">
      <w:pPr>
        <w:pStyle w:val="Header"/>
        <w:numPr>
          <w:ilvl w:val="0"/>
          <w:numId w:val="25"/>
        </w:numPr>
        <w:tabs>
          <w:tab w:val="clear" w:pos="4320"/>
          <w:tab w:val="clear" w:pos="8640"/>
        </w:tabs>
        <w:rPr>
          <w:rFonts w:cs="Arial"/>
          <w:sz w:val="20"/>
        </w:rPr>
      </w:pPr>
      <w:r w:rsidRPr="00B75EAC">
        <w:rPr>
          <w:rFonts w:cs="Arial"/>
          <w:sz w:val="20"/>
          <w:shd w:val="clear" w:color="auto" w:fill="FCFCFC"/>
        </w:rPr>
        <w:lastRenderedPageBreak/>
        <w:t>Kessler, R.A., Mealy, M.A. &amp; Levy, M. Treatment of Neuromyelitis Optica Spectrum Disorder: Acute, Preventive</w:t>
      </w:r>
      <w:r w:rsidRPr="00413343">
        <w:rPr>
          <w:rFonts w:cs="Arial"/>
          <w:sz w:val="20"/>
          <w:shd w:val="clear" w:color="auto" w:fill="FCFCFC"/>
        </w:rPr>
        <w:t>, and Symptomatic. </w:t>
      </w:r>
      <w:r w:rsidRPr="00413343">
        <w:rPr>
          <w:rFonts w:cs="Arial"/>
          <w:i/>
          <w:iCs/>
          <w:sz w:val="20"/>
          <w:shd w:val="clear" w:color="auto" w:fill="FCFCFC"/>
        </w:rPr>
        <w:t>Curr Treat Options Neurol</w:t>
      </w:r>
      <w:r w:rsidRPr="00413343">
        <w:rPr>
          <w:rFonts w:cs="Arial"/>
          <w:sz w:val="20"/>
          <w:shd w:val="clear" w:color="auto" w:fill="FCFCFC"/>
        </w:rPr>
        <w:t> 18</w:t>
      </w:r>
      <w:r w:rsidRPr="00413343">
        <w:rPr>
          <w:rFonts w:cs="Arial"/>
          <w:b/>
          <w:bCs/>
          <w:sz w:val="20"/>
          <w:shd w:val="clear" w:color="auto" w:fill="FCFCFC"/>
        </w:rPr>
        <w:t>, </w:t>
      </w:r>
      <w:r w:rsidRPr="00413343">
        <w:rPr>
          <w:rFonts w:cs="Arial"/>
          <w:sz w:val="20"/>
          <w:shd w:val="clear" w:color="auto" w:fill="FCFCFC"/>
        </w:rPr>
        <w:t xml:space="preserve">2 (2016). </w:t>
      </w:r>
      <w:hyperlink r:id="rId15" w:history="1">
        <w:r w:rsidRPr="00413343">
          <w:rPr>
            <w:rStyle w:val="Hyperlink"/>
            <w:rFonts w:cs="Arial"/>
            <w:sz w:val="20"/>
            <w:shd w:val="clear" w:color="auto" w:fill="FCFCFC"/>
          </w:rPr>
          <w:t>https://doi.org/10.1007/s11940-015-0387-9</w:t>
        </w:r>
      </w:hyperlink>
      <w:r w:rsidRPr="00413343">
        <w:rPr>
          <w:rFonts w:cs="Arial"/>
          <w:sz w:val="20"/>
          <w:shd w:val="clear" w:color="auto" w:fill="FCFCFC"/>
        </w:rPr>
        <w:t xml:space="preserve">. Accessed </w:t>
      </w:r>
      <w:r>
        <w:rPr>
          <w:rFonts w:cs="Arial"/>
          <w:sz w:val="20"/>
          <w:shd w:val="clear" w:color="auto" w:fill="FCFCFC"/>
        </w:rPr>
        <w:t>May 22, 2025.</w:t>
      </w:r>
    </w:p>
    <w:p w14:paraId="37B31472" w14:textId="77777777" w:rsidR="00DF1837" w:rsidRPr="00413343" w:rsidRDefault="00DF1837" w:rsidP="00DF1837">
      <w:pPr>
        <w:pStyle w:val="Header"/>
        <w:numPr>
          <w:ilvl w:val="0"/>
          <w:numId w:val="25"/>
        </w:numPr>
        <w:tabs>
          <w:tab w:val="clear" w:pos="4320"/>
          <w:tab w:val="clear" w:pos="8640"/>
        </w:tabs>
        <w:rPr>
          <w:rFonts w:cs="Arial"/>
          <w:sz w:val="20"/>
        </w:rPr>
      </w:pPr>
      <w:r w:rsidRPr="00413343">
        <w:rPr>
          <w:rFonts w:cs="Arial"/>
          <w:sz w:val="20"/>
          <w:shd w:val="clear" w:color="auto" w:fill="FCFCFC"/>
        </w:rPr>
        <w:t xml:space="preserve">Farmakidis C, Pasnoor M, Dimachkie M, et al. Treatment of Myasthenia Gravis. </w:t>
      </w:r>
      <w:r w:rsidRPr="00413343">
        <w:rPr>
          <w:rFonts w:cs="Arial"/>
          <w:i/>
          <w:iCs/>
          <w:sz w:val="20"/>
          <w:shd w:val="clear" w:color="auto" w:fill="FCFCFC"/>
        </w:rPr>
        <w:t>Neurologic Clinics</w:t>
      </w:r>
      <w:r w:rsidRPr="00413343">
        <w:rPr>
          <w:rFonts w:cs="Arial"/>
          <w:sz w:val="20"/>
          <w:shd w:val="clear" w:color="auto" w:fill="FCFCFC"/>
        </w:rPr>
        <w:t xml:space="preserve"> 36, 311-337 (2018). </w:t>
      </w:r>
      <w:hyperlink r:id="rId16" w:tgtFrame="_blank" w:tooltip="Persistent link using digital object identifier" w:history="1">
        <w:r w:rsidRPr="00075C25">
          <w:rPr>
            <w:rStyle w:val="Hyperlink"/>
            <w:rFonts w:cs="Arial"/>
            <w:sz w:val="20"/>
            <w:shd w:val="clear" w:color="auto" w:fill="FCFCFC"/>
          </w:rPr>
          <w:t>https://doi.org/10.1016/j.ncl.2018.01.011</w:t>
        </w:r>
      </w:hyperlink>
      <w:r w:rsidRPr="00413343">
        <w:rPr>
          <w:sz w:val="20"/>
        </w:rPr>
        <w:t xml:space="preserve">. Accessed </w:t>
      </w:r>
      <w:r>
        <w:rPr>
          <w:sz w:val="20"/>
        </w:rPr>
        <w:t>May 22, 2025.</w:t>
      </w:r>
      <w:r w:rsidRPr="00413343">
        <w:rPr>
          <w:sz w:val="20"/>
        </w:rPr>
        <w:t xml:space="preserve"> </w:t>
      </w:r>
    </w:p>
    <w:p w14:paraId="6C241847" w14:textId="77777777" w:rsidR="00DF1837" w:rsidRPr="00271EB1" w:rsidRDefault="00DF1837" w:rsidP="00DF1837">
      <w:pPr>
        <w:pStyle w:val="Header"/>
        <w:numPr>
          <w:ilvl w:val="0"/>
          <w:numId w:val="25"/>
        </w:numPr>
        <w:rPr>
          <w:rFonts w:cs="Arial"/>
          <w:sz w:val="20"/>
        </w:rPr>
      </w:pPr>
      <w:r w:rsidRPr="00271EB1">
        <w:rPr>
          <w:rFonts w:cs="Arial"/>
          <w:sz w:val="20"/>
        </w:rPr>
        <w:t xml:space="preserve">Veopoz (pozelimab-bbfg). [package insert]. Regeneron Pharmaceuticals, Inc.; </w:t>
      </w:r>
      <w:r>
        <w:rPr>
          <w:rFonts w:cs="Arial"/>
          <w:sz w:val="20"/>
        </w:rPr>
        <w:t>March 2024.</w:t>
      </w:r>
    </w:p>
    <w:p w14:paraId="3FC444D8" w14:textId="77777777" w:rsidR="00DF1837" w:rsidRDefault="00DF1837" w:rsidP="00DF1837">
      <w:pPr>
        <w:pStyle w:val="Header"/>
        <w:numPr>
          <w:ilvl w:val="0"/>
          <w:numId w:val="25"/>
        </w:numPr>
        <w:rPr>
          <w:rFonts w:cs="Arial"/>
          <w:sz w:val="20"/>
        </w:rPr>
      </w:pPr>
      <w:r w:rsidRPr="00271EB1">
        <w:rPr>
          <w:rFonts w:cs="Arial"/>
          <w:sz w:val="20"/>
        </w:rPr>
        <w:t>IPD Analytics. New Drug Rev</w:t>
      </w:r>
      <w:r w:rsidRPr="0039459F">
        <w:rPr>
          <w:rFonts w:cs="Arial"/>
          <w:sz w:val="20"/>
        </w:rPr>
        <w:t>iew: Veopoz (pozelimab-bbfg). September 2023.</w:t>
      </w:r>
    </w:p>
    <w:p w14:paraId="6791DF6B" w14:textId="3F536AE1" w:rsidR="00DF1837" w:rsidRPr="00E86574" w:rsidRDefault="00DF1837" w:rsidP="00DF1837">
      <w:pPr>
        <w:pStyle w:val="Header"/>
        <w:numPr>
          <w:ilvl w:val="0"/>
          <w:numId w:val="25"/>
        </w:numPr>
        <w:rPr>
          <w:rFonts w:cs="Arial"/>
          <w:sz w:val="20"/>
        </w:rPr>
      </w:pPr>
      <w:r w:rsidRPr="00E86574">
        <w:rPr>
          <w:rFonts w:cs="Arial"/>
          <w:sz w:val="20"/>
        </w:rPr>
        <w:t xml:space="preserve">Empaveli (pegcetacoplan) [package insert]. Waltham, MA: Apellis Pharmaceuticals, Inc.; </w:t>
      </w:r>
      <w:r w:rsidR="00C85C6C">
        <w:rPr>
          <w:rFonts w:cs="Arial"/>
          <w:sz w:val="20"/>
        </w:rPr>
        <w:t>July</w:t>
      </w:r>
      <w:r>
        <w:rPr>
          <w:rFonts w:cs="Arial"/>
          <w:sz w:val="20"/>
        </w:rPr>
        <w:t xml:space="preserve"> 202</w:t>
      </w:r>
      <w:r w:rsidR="00C85C6C">
        <w:rPr>
          <w:rFonts w:cs="Arial"/>
          <w:sz w:val="20"/>
        </w:rPr>
        <w:t>5</w:t>
      </w:r>
      <w:r>
        <w:rPr>
          <w:rFonts w:cs="Arial"/>
          <w:sz w:val="20"/>
        </w:rPr>
        <w:t>.</w:t>
      </w:r>
      <w:r w:rsidRPr="00E86574">
        <w:rPr>
          <w:rFonts w:cs="Arial"/>
          <w:sz w:val="20"/>
        </w:rPr>
        <w:t xml:space="preserve"> </w:t>
      </w:r>
    </w:p>
    <w:p w14:paraId="6234FA9D" w14:textId="77777777" w:rsidR="00DF1837" w:rsidRPr="00E86574" w:rsidRDefault="00DF1837" w:rsidP="00DF1837">
      <w:pPr>
        <w:pStyle w:val="Header"/>
        <w:numPr>
          <w:ilvl w:val="0"/>
          <w:numId w:val="25"/>
        </w:numPr>
        <w:rPr>
          <w:rFonts w:cs="Arial"/>
          <w:sz w:val="20"/>
        </w:rPr>
      </w:pPr>
      <w:r w:rsidRPr="00E86574">
        <w:rPr>
          <w:rFonts w:cs="Arial"/>
          <w:sz w:val="20"/>
        </w:rPr>
        <w:t xml:space="preserve">IPD Analytics. New Drug Review: Empaveli (pegcetacoplan). May 2021.  </w:t>
      </w:r>
    </w:p>
    <w:p w14:paraId="257F44B6" w14:textId="77777777" w:rsidR="00DF1837" w:rsidRPr="00477E0B" w:rsidRDefault="00DF1837" w:rsidP="00DF1837">
      <w:pPr>
        <w:pStyle w:val="Header"/>
        <w:numPr>
          <w:ilvl w:val="0"/>
          <w:numId w:val="25"/>
        </w:numPr>
        <w:rPr>
          <w:rFonts w:cs="Arial"/>
          <w:sz w:val="20"/>
        </w:rPr>
      </w:pPr>
      <w:r w:rsidRPr="00477E0B">
        <w:rPr>
          <w:rFonts w:cs="Arial"/>
          <w:sz w:val="20"/>
        </w:rPr>
        <w:t>Enjaym</w:t>
      </w:r>
      <w:r>
        <w:rPr>
          <w:rFonts w:cs="Arial"/>
          <w:sz w:val="20"/>
        </w:rPr>
        <w:t>o</w:t>
      </w:r>
      <w:r w:rsidRPr="00477E0B">
        <w:rPr>
          <w:rFonts w:cs="Arial"/>
          <w:sz w:val="20"/>
        </w:rPr>
        <w:t xml:space="preserve"> (sutimlimab-jome) [package insert]. Waltham, MA: Bioverativ USA Inc.; </w:t>
      </w:r>
      <w:r>
        <w:rPr>
          <w:rFonts w:cs="Arial"/>
          <w:sz w:val="20"/>
        </w:rPr>
        <w:t>February 2024.</w:t>
      </w:r>
      <w:r w:rsidRPr="00477E0B">
        <w:rPr>
          <w:rFonts w:cs="Arial"/>
          <w:sz w:val="20"/>
        </w:rPr>
        <w:t xml:space="preserve"> </w:t>
      </w:r>
    </w:p>
    <w:p w14:paraId="1E7BAE45" w14:textId="77777777" w:rsidR="00DF1837" w:rsidRPr="00477E0B" w:rsidRDefault="00DF1837" w:rsidP="00DF1837">
      <w:pPr>
        <w:pStyle w:val="Header"/>
        <w:numPr>
          <w:ilvl w:val="0"/>
          <w:numId w:val="25"/>
        </w:numPr>
        <w:rPr>
          <w:rFonts w:cs="Arial"/>
          <w:sz w:val="20"/>
        </w:rPr>
      </w:pPr>
      <w:r w:rsidRPr="00477E0B">
        <w:rPr>
          <w:rFonts w:cs="Arial"/>
          <w:sz w:val="20"/>
        </w:rPr>
        <w:t xml:space="preserve">IPD Analytics: New Drug Review: Enjaymo (sutimlimab-jome). Accessed March 30, 2022. </w:t>
      </w:r>
    </w:p>
    <w:p w14:paraId="09D950BB" w14:textId="77777777" w:rsidR="00DF1837" w:rsidRDefault="00DF1837" w:rsidP="00DF1837">
      <w:pPr>
        <w:pStyle w:val="ListParagraph"/>
        <w:numPr>
          <w:ilvl w:val="0"/>
          <w:numId w:val="25"/>
        </w:numPr>
        <w:rPr>
          <w:rFonts w:cs="Arial"/>
          <w:szCs w:val="20"/>
        </w:rPr>
      </w:pPr>
      <w:r w:rsidRPr="00F324EE">
        <w:rPr>
          <w:rFonts w:cs="Arial"/>
          <w:szCs w:val="20"/>
        </w:rPr>
        <w:t xml:space="preserve">Tavneos (avacopan) [package insert]. Cincinnati, OH: ChemoCentryx, Inc.; </w:t>
      </w:r>
      <w:r w:rsidRPr="00074830">
        <w:rPr>
          <w:rFonts w:cs="Arial"/>
          <w:szCs w:val="20"/>
        </w:rPr>
        <w:t>June 2024</w:t>
      </w:r>
      <w:r>
        <w:rPr>
          <w:rFonts w:cs="Arial"/>
          <w:szCs w:val="20"/>
        </w:rPr>
        <w:t>.</w:t>
      </w:r>
    </w:p>
    <w:p w14:paraId="4FCA0518" w14:textId="0D3DF155" w:rsidR="00C00357" w:rsidRPr="00F324EE" w:rsidRDefault="005E1BFC" w:rsidP="00DF1837">
      <w:pPr>
        <w:pStyle w:val="ListParagraph"/>
        <w:numPr>
          <w:ilvl w:val="0"/>
          <w:numId w:val="25"/>
        </w:numPr>
        <w:rPr>
          <w:rFonts w:cs="Arial"/>
          <w:szCs w:val="20"/>
        </w:rPr>
      </w:pPr>
      <w:r w:rsidRPr="005E1BFC">
        <w:rPr>
          <w:rFonts w:cs="Arial"/>
          <w:szCs w:val="20"/>
        </w:rPr>
        <w:t>FDA Identifies Cases of Serious Liver Injury in Patients Taking Tavneos (avacopan) for Severe Active Anti-neutrophil Cytoplasmic Autoantibody (ANCA)-associated Vasculitis</w:t>
      </w:r>
      <w:r w:rsidR="001B6779">
        <w:rPr>
          <w:rFonts w:cs="Arial"/>
          <w:szCs w:val="20"/>
        </w:rPr>
        <w:t xml:space="preserve">. Drug </w:t>
      </w:r>
      <w:r w:rsidR="001A5FA2">
        <w:rPr>
          <w:rFonts w:cs="Arial"/>
          <w:szCs w:val="20"/>
        </w:rPr>
        <w:t xml:space="preserve">Safety </w:t>
      </w:r>
      <w:r w:rsidR="001B6779">
        <w:rPr>
          <w:rFonts w:cs="Arial"/>
          <w:szCs w:val="20"/>
        </w:rPr>
        <w:t xml:space="preserve">Communication. </w:t>
      </w:r>
      <w:hyperlink r:id="rId17" w:history="1">
        <w:r w:rsidR="001B6779">
          <w:rPr>
            <w:rStyle w:val="Hyperlink"/>
            <w:rFonts w:cs="Arial"/>
            <w:szCs w:val="20"/>
          </w:rPr>
          <w:t>https://www.fda.gov/media/191708/download?attachment</w:t>
        </w:r>
      </w:hyperlink>
      <w:r w:rsidR="001B6779">
        <w:rPr>
          <w:rFonts w:cs="Arial"/>
          <w:szCs w:val="20"/>
        </w:rPr>
        <w:t>.</w:t>
      </w:r>
      <w:r w:rsidR="00A70280">
        <w:rPr>
          <w:rFonts w:cs="Arial"/>
          <w:szCs w:val="20"/>
        </w:rPr>
        <w:t xml:space="preserve"> March 2026.</w:t>
      </w:r>
    </w:p>
    <w:p w14:paraId="70FACA3B" w14:textId="77777777" w:rsidR="00DF1837" w:rsidRPr="004771EB" w:rsidRDefault="00DF1837" w:rsidP="00DF1837">
      <w:pPr>
        <w:pStyle w:val="ListParagraph"/>
        <w:numPr>
          <w:ilvl w:val="0"/>
          <w:numId w:val="25"/>
        </w:numPr>
        <w:rPr>
          <w:rFonts w:cs="Arial"/>
          <w:szCs w:val="20"/>
        </w:rPr>
      </w:pPr>
      <w:r w:rsidRPr="004771EB">
        <w:rPr>
          <w:rFonts w:cs="Arial"/>
          <w:szCs w:val="20"/>
        </w:rPr>
        <w:t xml:space="preserve">Fabhalta (iptacopan) [package insert]. East Hanover, New Jersey: Novartis; </w:t>
      </w:r>
      <w:r>
        <w:rPr>
          <w:rFonts w:cs="Arial"/>
          <w:szCs w:val="20"/>
        </w:rPr>
        <w:t>March 2025.</w:t>
      </w:r>
    </w:p>
    <w:p w14:paraId="3FA1E7DB" w14:textId="196A1478" w:rsidR="00777CA4" w:rsidRPr="00DF1837" w:rsidRDefault="00DF1837" w:rsidP="00DF1837">
      <w:pPr>
        <w:pStyle w:val="Header"/>
        <w:numPr>
          <w:ilvl w:val="0"/>
          <w:numId w:val="25"/>
        </w:numPr>
        <w:rPr>
          <w:rFonts w:cs="Arial"/>
          <w:sz w:val="20"/>
        </w:rPr>
      </w:pPr>
      <w:r>
        <w:rPr>
          <w:rFonts w:cs="Arial"/>
          <w:sz w:val="20"/>
        </w:rPr>
        <w:t>Zilbrysq (zilucoplan) [package insert]. Smyrna, GA: UCB Inc; February 2025.</w:t>
      </w:r>
    </w:p>
    <w:sectPr w:rsidR="00777CA4" w:rsidRPr="00DF1837" w:rsidSect="00AB0B9F">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11DF" w14:textId="77777777" w:rsidR="006539D6" w:rsidRPr="00C02553" w:rsidRDefault="006539D6" w:rsidP="00AE77DB">
      <w:r w:rsidRPr="00C02553">
        <w:separator/>
      </w:r>
    </w:p>
  </w:endnote>
  <w:endnote w:type="continuationSeparator" w:id="0">
    <w:p w14:paraId="353FE347" w14:textId="77777777" w:rsidR="006539D6" w:rsidRPr="00C02553" w:rsidRDefault="006539D6" w:rsidP="00AE77DB">
      <w:r w:rsidRPr="00C02553">
        <w:continuationSeparator/>
      </w:r>
    </w:p>
  </w:endnote>
  <w:endnote w:type="continuationNotice" w:id="1">
    <w:p w14:paraId="43A3030E" w14:textId="77777777" w:rsidR="006539D6" w:rsidRPr="00C02553" w:rsidRDefault="00653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12CD" w14:textId="77777777" w:rsidR="006539D6" w:rsidRPr="00C02553" w:rsidRDefault="006539D6" w:rsidP="00AE77DB">
      <w:r w:rsidRPr="00C02553">
        <w:separator/>
      </w:r>
    </w:p>
  </w:footnote>
  <w:footnote w:type="continuationSeparator" w:id="0">
    <w:p w14:paraId="3930C3BB" w14:textId="77777777" w:rsidR="006539D6" w:rsidRPr="00C02553" w:rsidRDefault="006539D6" w:rsidP="00AE77DB">
      <w:r w:rsidRPr="00C02553">
        <w:continuationSeparator/>
      </w:r>
    </w:p>
  </w:footnote>
  <w:footnote w:type="continuationNotice" w:id="1">
    <w:p w14:paraId="6E99F8E2" w14:textId="77777777" w:rsidR="006539D6" w:rsidRPr="00C02553" w:rsidRDefault="00653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EE14FD">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EE14FD">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3"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EE14FD">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8240;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46226"/>
    <w:multiLevelType w:val="hybridMultilevel"/>
    <w:tmpl w:val="2C6EE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1D3F76"/>
    <w:multiLevelType w:val="hybridMultilevel"/>
    <w:tmpl w:val="898AEAE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848F4"/>
    <w:multiLevelType w:val="hybridMultilevel"/>
    <w:tmpl w:val="D66C8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6810F1"/>
    <w:multiLevelType w:val="hybridMultilevel"/>
    <w:tmpl w:val="CD585FEA"/>
    <w:lvl w:ilvl="0" w:tplc="383475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1751D"/>
    <w:multiLevelType w:val="hybridMultilevel"/>
    <w:tmpl w:val="7390D3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1860C0"/>
    <w:multiLevelType w:val="hybridMultilevel"/>
    <w:tmpl w:val="F5D6BB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C05D25"/>
    <w:multiLevelType w:val="hybridMultilevel"/>
    <w:tmpl w:val="3EE2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A90380"/>
    <w:multiLevelType w:val="hybridMultilevel"/>
    <w:tmpl w:val="7E980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AB37B0"/>
    <w:multiLevelType w:val="hybridMultilevel"/>
    <w:tmpl w:val="6D082F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4C11B3"/>
    <w:multiLevelType w:val="hybridMultilevel"/>
    <w:tmpl w:val="9D2064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C353422"/>
    <w:multiLevelType w:val="hybridMultilevel"/>
    <w:tmpl w:val="C3148890"/>
    <w:lvl w:ilvl="0" w:tplc="A8A43FF4">
      <w:numFmt w:val="bullet"/>
      <w:lvlText w:val=""/>
      <w:lvlJc w:val="left"/>
      <w:pPr>
        <w:ind w:left="360" w:hanging="360"/>
      </w:pPr>
      <w:rPr>
        <w:rFonts w:ascii="Symbol" w:eastAsia="Arial" w:hAnsi="Symbol" w:cs="Aria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112A3E"/>
    <w:multiLevelType w:val="multilevel"/>
    <w:tmpl w:val="83D6278E"/>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064CF6"/>
    <w:multiLevelType w:val="hybridMultilevel"/>
    <w:tmpl w:val="8D847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5"/>
  </w:num>
  <w:num w:numId="3" w16cid:durableId="1729067566">
    <w:abstractNumId w:val="4"/>
  </w:num>
  <w:num w:numId="4" w16cid:durableId="320159068">
    <w:abstractNumId w:val="7"/>
  </w:num>
  <w:num w:numId="5" w16cid:durableId="1769498754">
    <w:abstractNumId w:val="3"/>
  </w:num>
  <w:num w:numId="6" w16cid:durableId="1094596320">
    <w:abstractNumId w:val="22"/>
  </w:num>
  <w:num w:numId="7" w16cid:durableId="2110008555">
    <w:abstractNumId w:val="2"/>
  </w:num>
  <w:num w:numId="8" w16cid:durableId="489712751">
    <w:abstractNumId w:val="6"/>
  </w:num>
  <w:num w:numId="9" w16cid:durableId="1085147965">
    <w:abstractNumId w:val="11"/>
  </w:num>
  <w:num w:numId="10" w16cid:durableId="917518096">
    <w:abstractNumId w:val="8"/>
  </w:num>
  <w:num w:numId="11" w16cid:durableId="1894998475">
    <w:abstractNumId w:val="1"/>
  </w:num>
  <w:num w:numId="12" w16cid:durableId="1418215296">
    <w:abstractNumId w:val="23"/>
  </w:num>
  <w:num w:numId="13" w16cid:durableId="604729665">
    <w:abstractNumId w:val="5"/>
  </w:num>
  <w:num w:numId="14" w16cid:durableId="1805081292">
    <w:abstractNumId w:val="18"/>
  </w:num>
  <w:num w:numId="15" w16cid:durableId="70851593">
    <w:abstractNumId w:val="10"/>
  </w:num>
  <w:num w:numId="16" w16cid:durableId="1020205102">
    <w:abstractNumId w:val="12"/>
  </w:num>
  <w:num w:numId="17" w16cid:durableId="159778893">
    <w:abstractNumId w:val="9"/>
  </w:num>
  <w:num w:numId="18" w16cid:durableId="421728307">
    <w:abstractNumId w:val="19"/>
  </w:num>
  <w:num w:numId="19" w16cid:durableId="1093402894">
    <w:abstractNumId w:val="21"/>
  </w:num>
  <w:num w:numId="20" w16cid:durableId="1718580142">
    <w:abstractNumId w:val="14"/>
  </w:num>
  <w:num w:numId="21" w16cid:durableId="428278031">
    <w:abstractNumId w:val="15"/>
  </w:num>
  <w:num w:numId="22" w16cid:durableId="657195424">
    <w:abstractNumId w:val="24"/>
  </w:num>
  <w:num w:numId="23" w16cid:durableId="1785996375">
    <w:abstractNumId w:val="17"/>
  </w:num>
  <w:num w:numId="24" w16cid:durableId="1609312040">
    <w:abstractNumId w:val="16"/>
  </w:num>
  <w:num w:numId="25" w16cid:durableId="861675700">
    <w:abstractNumId w:val="20"/>
  </w:num>
  <w:num w:numId="26" w16cid:durableId="1763405923">
    <w:abstractNumId w:val="19"/>
  </w:num>
  <w:num w:numId="27" w16cid:durableId="214034149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u4/c8k9pFALgPdk8nTVNH96Yspl9T6aAtZJF376k54JTebjKSW5tURHduJ2N3h4+bDGi4RJBtrN3UzlFg2iy5w==" w:salt="F8ZTyCPZmAYNZcereBwy0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392"/>
    <w:rsid w:val="0000390A"/>
    <w:rsid w:val="0000457E"/>
    <w:rsid w:val="00006A61"/>
    <w:rsid w:val="000273F2"/>
    <w:rsid w:val="000275B4"/>
    <w:rsid w:val="000276D9"/>
    <w:rsid w:val="000344C5"/>
    <w:rsid w:val="00040AD3"/>
    <w:rsid w:val="00053807"/>
    <w:rsid w:val="000572E5"/>
    <w:rsid w:val="00057F84"/>
    <w:rsid w:val="00061541"/>
    <w:rsid w:val="00064162"/>
    <w:rsid w:val="00065C22"/>
    <w:rsid w:val="00066885"/>
    <w:rsid w:val="00074464"/>
    <w:rsid w:val="00074830"/>
    <w:rsid w:val="0007571C"/>
    <w:rsid w:val="00075C25"/>
    <w:rsid w:val="00076030"/>
    <w:rsid w:val="00082590"/>
    <w:rsid w:val="0008422C"/>
    <w:rsid w:val="000913C3"/>
    <w:rsid w:val="000953B9"/>
    <w:rsid w:val="000A3A02"/>
    <w:rsid w:val="000A413B"/>
    <w:rsid w:val="000A6279"/>
    <w:rsid w:val="000B496B"/>
    <w:rsid w:val="000C3940"/>
    <w:rsid w:val="000C5992"/>
    <w:rsid w:val="000E1479"/>
    <w:rsid w:val="000E231E"/>
    <w:rsid w:val="000E247D"/>
    <w:rsid w:val="000E549A"/>
    <w:rsid w:val="000E696B"/>
    <w:rsid w:val="000E6B14"/>
    <w:rsid w:val="000E70D8"/>
    <w:rsid w:val="00102A04"/>
    <w:rsid w:val="001062F6"/>
    <w:rsid w:val="00112FC7"/>
    <w:rsid w:val="00121A46"/>
    <w:rsid w:val="00125F5F"/>
    <w:rsid w:val="00126951"/>
    <w:rsid w:val="00126B60"/>
    <w:rsid w:val="001273EB"/>
    <w:rsid w:val="00127EF6"/>
    <w:rsid w:val="001310AD"/>
    <w:rsid w:val="001314A5"/>
    <w:rsid w:val="00132C7F"/>
    <w:rsid w:val="00134863"/>
    <w:rsid w:val="00140B76"/>
    <w:rsid w:val="001428BC"/>
    <w:rsid w:val="0014411B"/>
    <w:rsid w:val="00144DBE"/>
    <w:rsid w:val="001516BC"/>
    <w:rsid w:val="00152C8B"/>
    <w:rsid w:val="0015636A"/>
    <w:rsid w:val="00163943"/>
    <w:rsid w:val="00172053"/>
    <w:rsid w:val="00177A80"/>
    <w:rsid w:val="00181E01"/>
    <w:rsid w:val="001939FB"/>
    <w:rsid w:val="00196520"/>
    <w:rsid w:val="001A50CB"/>
    <w:rsid w:val="001A5FA2"/>
    <w:rsid w:val="001A74B7"/>
    <w:rsid w:val="001B2D47"/>
    <w:rsid w:val="001B6651"/>
    <w:rsid w:val="001B6779"/>
    <w:rsid w:val="001B68D2"/>
    <w:rsid w:val="001C0250"/>
    <w:rsid w:val="001C1489"/>
    <w:rsid w:val="001C6DA4"/>
    <w:rsid w:val="001C73B1"/>
    <w:rsid w:val="001D14F4"/>
    <w:rsid w:val="001D1E7D"/>
    <w:rsid w:val="001D2F80"/>
    <w:rsid w:val="001D6567"/>
    <w:rsid w:val="001E2CCB"/>
    <w:rsid w:val="001E3E00"/>
    <w:rsid w:val="001E4CBA"/>
    <w:rsid w:val="001E523C"/>
    <w:rsid w:val="001E61DF"/>
    <w:rsid w:val="001F2B9F"/>
    <w:rsid w:val="001F5954"/>
    <w:rsid w:val="00202DD3"/>
    <w:rsid w:val="00203C09"/>
    <w:rsid w:val="00205193"/>
    <w:rsid w:val="00206E7D"/>
    <w:rsid w:val="00217E14"/>
    <w:rsid w:val="00217EFD"/>
    <w:rsid w:val="00222134"/>
    <w:rsid w:val="0022233F"/>
    <w:rsid w:val="00226275"/>
    <w:rsid w:val="00246564"/>
    <w:rsid w:val="00246A3B"/>
    <w:rsid w:val="0024764B"/>
    <w:rsid w:val="00254439"/>
    <w:rsid w:val="00255404"/>
    <w:rsid w:val="0025594F"/>
    <w:rsid w:val="00270C5E"/>
    <w:rsid w:val="00290A03"/>
    <w:rsid w:val="0029159A"/>
    <w:rsid w:val="00291600"/>
    <w:rsid w:val="002A02F4"/>
    <w:rsid w:val="002C2C41"/>
    <w:rsid w:val="002C62E7"/>
    <w:rsid w:val="002C6825"/>
    <w:rsid w:val="002D18C7"/>
    <w:rsid w:val="002D3864"/>
    <w:rsid w:val="002E05E2"/>
    <w:rsid w:val="002E2DD6"/>
    <w:rsid w:val="002E3F28"/>
    <w:rsid w:val="002E61C6"/>
    <w:rsid w:val="002F0E52"/>
    <w:rsid w:val="002F2274"/>
    <w:rsid w:val="002F2405"/>
    <w:rsid w:val="002F690F"/>
    <w:rsid w:val="002F6EE0"/>
    <w:rsid w:val="0030301F"/>
    <w:rsid w:val="00303B21"/>
    <w:rsid w:val="00313701"/>
    <w:rsid w:val="00314430"/>
    <w:rsid w:val="00316188"/>
    <w:rsid w:val="003171AF"/>
    <w:rsid w:val="00317469"/>
    <w:rsid w:val="0032215C"/>
    <w:rsid w:val="0032616B"/>
    <w:rsid w:val="00326687"/>
    <w:rsid w:val="003275F9"/>
    <w:rsid w:val="003355AC"/>
    <w:rsid w:val="0034368F"/>
    <w:rsid w:val="00343D6B"/>
    <w:rsid w:val="00345264"/>
    <w:rsid w:val="00347FB5"/>
    <w:rsid w:val="00355515"/>
    <w:rsid w:val="003573E7"/>
    <w:rsid w:val="003608B5"/>
    <w:rsid w:val="003613AF"/>
    <w:rsid w:val="003663B5"/>
    <w:rsid w:val="003673B9"/>
    <w:rsid w:val="003674C7"/>
    <w:rsid w:val="00375F2A"/>
    <w:rsid w:val="00383EB7"/>
    <w:rsid w:val="003878C1"/>
    <w:rsid w:val="003947FF"/>
    <w:rsid w:val="00396C0B"/>
    <w:rsid w:val="00397478"/>
    <w:rsid w:val="003A128F"/>
    <w:rsid w:val="003A630F"/>
    <w:rsid w:val="003B3958"/>
    <w:rsid w:val="003B4820"/>
    <w:rsid w:val="003B5559"/>
    <w:rsid w:val="003B5F4B"/>
    <w:rsid w:val="003B682F"/>
    <w:rsid w:val="003C53FC"/>
    <w:rsid w:val="003C7013"/>
    <w:rsid w:val="003D641B"/>
    <w:rsid w:val="003E0819"/>
    <w:rsid w:val="003E28AE"/>
    <w:rsid w:val="003E361D"/>
    <w:rsid w:val="003F227C"/>
    <w:rsid w:val="00400B70"/>
    <w:rsid w:val="004023CC"/>
    <w:rsid w:val="00402C63"/>
    <w:rsid w:val="00407564"/>
    <w:rsid w:val="00411152"/>
    <w:rsid w:val="00412969"/>
    <w:rsid w:val="00413754"/>
    <w:rsid w:val="004156AA"/>
    <w:rsid w:val="0042510A"/>
    <w:rsid w:val="004253A1"/>
    <w:rsid w:val="004313B6"/>
    <w:rsid w:val="00433339"/>
    <w:rsid w:val="00436159"/>
    <w:rsid w:val="00446BBC"/>
    <w:rsid w:val="004472C0"/>
    <w:rsid w:val="00450705"/>
    <w:rsid w:val="00451928"/>
    <w:rsid w:val="00464AE8"/>
    <w:rsid w:val="0046618B"/>
    <w:rsid w:val="00467997"/>
    <w:rsid w:val="00473DE2"/>
    <w:rsid w:val="004779A7"/>
    <w:rsid w:val="0048608C"/>
    <w:rsid w:val="004914C9"/>
    <w:rsid w:val="00496E57"/>
    <w:rsid w:val="004A17F6"/>
    <w:rsid w:val="004A6960"/>
    <w:rsid w:val="004B3E10"/>
    <w:rsid w:val="004B4A1E"/>
    <w:rsid w:val="004C0F5D"/>
    <w:rsid w:val="004C2942"/>
    <w:rsid w:val="004C375A"/>
    <w:rsid w:val="004C4954"/>
    <w:rsid w:val="004C5767"/>
    <w:rsid w:val="004D5322"/>
    <w:rsid w:val="004D5D87"/>
    <w:rsid w:val="004D78B0"/>
    <w:rsid w:val="004E3433"/>
    <w:rsid w:val="004E611F"/>
    <w:rsid w:val="004F2A79"/>
    <w:rsid w:val="004F4D37"/>
    <w:rsid w:val="004F617A"/>
    <w:rsid w:val="00501A14"/>
    <w:rsid w:val="00501DE3"/>
    <w:rsid w:val="00505488"/>
    <w:rsid w:val="005058CB"/>
    <w:rsid w:val="00510181"/>
    <w:rsid w:val="0051044D"/>
    <w:rsid w:val="005139E4"/>
    <w:rsid w:val="00515075"/>
    <w:rsid w:val="00520990"/>
    <w:rsid w:val="00520FE9"/>
    <w:rsid w:val="00521FC4"/>
    <w:rsid w:val="005233E7"/>
    <w:rsid w:val="00525EB7"/>
    <w:rsid w:val="005328B2"/>
    <w:rsid w:val="00535BD5"/>
    <w:rsid w:val="00537AC0"/>
    <w:rsid w:val="00540977"/>
    <w:rsid w:val="00551212"/>
    <w:rsid w:val="00551668"/>
    <w:rsid w:val="005572D5"/>
    <w:rsid w:val="005629DB"/>
    <w:rsid w:val="00566BE4"/>
    <w:rsid w:val="00570D21"/>
    <w:rsid w:val="00573856"/>
    <w:rsid w:val="00576113"/>
    <w:rsid w:val="00587D91"/>
    <w:rsid w:val="00590652"/>
    <w:rsid w:val="0059235F"/>
    <w:rsid w:val="00596936"/>
    <w:rsid w:val="005A2F1E"/>
    <w:rsid w:val="005A4232"/>
    <w:rsid w:val="005A4C2F"/>
    <w:rsid w:val="005B5911"/>
    <w:rsid w:val="005C3616"/>
    <w:rsid w:val="005D36B2"/>
    <w:rsid w:val="005D52E7"/>
    <w:rsid w:val="005D78B5"/>
    <w:rsid w:val="005E1BFC"/>
    <w:rsid w:val="005E3572"/>
    <w:rsid w:val="005E45E4"/>
    <w:rsid w:val="005F0A81"/>
    <w:rsid w:val="005F0FCF"/>
    <w:rsid w:val="005F77E4"/>
    <w:rsid w:val="0060042F"/>
    <w:rsid w:val="006008BC"/>
    <w:rsid w:val="00602CFD"/>
    <w:rsid w:val="00606B55"/>
    <w:rsid w:val="00612A7B"/>
    <w:rsid w:val="00616E5E"/>
    <w:rsid w:val="006173A4"/>
    <w:rsid w:val="00617E50"/>
    <w:rsid w:val="006205AD"/>
    <w:rsid w:val="00625C3A"/>
    <w:rsid w:val="00626BF9"/>
    <w:rsid w:val="0063253A"/>
    <w:rsid w:val="00635DDB"/>
    <w:rsid w:val="0064149A"/>
    <w:rsid w:val="00646DFE"/>
    <w:rsid w:val="00650530"/>
    <w:rsid w:val="00650C96"/>
    <w:rsid w:val="006532F1"/>
    <w:rsid w:val="00653788"/>
    <w:rsid w:val="006539D6"/>
    <w:rsid w:val="0065477F"/>
    <w:rsid w:val="00656896"/>
    <w:rsid w:val="00661656"/>
    <w:rsid w:val="00662B62"/>
    <w:rsid w:val="0066374F"/>
    <w:rsid w:val="00665B9F"/>
    <w:rsid w:val="00677932"/>
    <w:rsid w:val="00677C65"/>
    <w:rsid w:val="0069277D"/>
    <w:rsid w:val="00693152"/>
    <w:rsid w:val="00694FAE"/>
    <w:rsid w:val="00696E3A"/>
    <w:rsid w:val="006A0834"/>
    <w:rsid w:val="006A47B6"/>
    <w:rsid w:val="006A4BBD"/>
    <w:rsid w:val="006A52F1"/>
    <w:rsid w:val="006A6E83"/>
    <w:rsid w:val="006B561D"/>
    <w:rsid w:val="006B6D5D"/>
    <w:rsid w:val="006C37CA"/>
    <w:rsid w:val="006D2330"/>
    <w:rsid w:val="006E0C08"/>
    <w:rsid w:val="006E0F8B"/>
    <w:rsid w:val="006E12F7"/>
    <w:rsid w:val="006E29D7"/>
    <w:rsid w:val="006E52ED"/>
    <w:rsid w:val="006F40B3"/>
    <w:rsid w:val="006F636F"/>
    <w:rsid w:val="00700B98"/>
    <w:rsid w:val="007053B6"/>
    <w:rsid w:val="007068A4"/>
    <w:rsid w:val="00706D67"/>
    <w:rsid w:val="00711D8F"/>
    <w:rsid w:val="00713052"/>
    <w:rsid w:val="00721367"/>
    <w:rsid w:val="007231FA"/>
    <w:rsid w:val="00723449"/>
    <w:rsid w:val="00732C67"/>
    <w:rsid w:val="00733CBE"/>
    <w:rsid w:val="00734418"/>
    <w:rsid w:val="00753132"/>
    <w:rsid w:val="007571EB"/>
    <w:rsid w:val="00757826"/>
    <w:rsid w:val="007632B7"/>
    <w:rsid w:val="0076382F"/>
    <w:rsid w:val="00765768"/>
    <w:rsid w:val="00765D10"/>
    <w:rsid w:val="00766AC8"/>
    <w:rsid w:val="00767486"/>
    <w:rsid w:val="0077070E"/>
    <w:rsid w:val="0077296A"/>
    <w:rsid w:val="00777CA4"/>
    <w:rsid w:val="00785C93"/>
    <w:rsid w:val="00792DF0"/>
    <w:rsid w:val="0079438F"/>
    <w:rsid w:val="00794A47"/>
    <w:rsid w:val="0079590E"/>
    <w:rsid w:val="007A3034"/>
    <w:rsid w:val="007A527E"/>
    <w:rsid w:val="007A53E7"/>
    <w:rsid w:val="007A78F7"/>
    <w:rsid w:val="007A7C9B"/>
    <w:rsid w:val="007B3333"/>
    <w:rsid w:val="007B379F"/>
    <w:rsid w:val="007B37D6"/>
    <w:rsid w:val="007B5D30"/>
    <w:rsid w:val="007B6B20"/>
    <w:rsid w:val="007C3288"/>
    <w:rsid w:val="007C712B"/>
    <w:rsid w:val="007D25F0"/>
    <w:rsid w:val="007D2920"/>
    <w:rsid w:val="007D2F4A"/>
    <w:rsid w:val="007D42DD"/>
    <w:rsid w:val="007D7BDA"/>
    <w:rsid w:val="007E6A37"/>
    <w:rsid w:val="007F1774"/>
    <w:rsid w:val="007F6915"/>
    <w:rsid w:val="00811A70"/>
    <w:rsid w:val="0081406E"/>
    <w:rsid w:val="00816A7F"/>
    <w:rsid w:val="00820B1B"/>
    <w:rsid w:val="00826E73"/>
    <w:rsid w:val="00832211"/>
    <w:rsid w:val="008323CF"/>
    <w:rsid w:val="008325F4"/>
    <w:rsid w:val="00832AC8"/>
    <w:rsid w:val="008356D7"/>
    <w:rsid w:val="008359E1"/>
    <w:rsid w:val="00835BFB"/>
    <w:rsid w:val="00842249"/>
    <w:rsid w:val="00844981"/>
    <w:rsid w:val="00846FA4"/>
    <w:rsid w:val="008524BA"/>
    <w:rsid w:val="00852B74"/>
    <w:rsid w:val="008541BE"/>
    <w:rsid w:val="008553A8"/>
    <w:rsid w:val="00856928"/>
    <w:rsid w:val="00865538"/>
    <w:rsid w:val="00870875"/>
    <w:rsid w:val="0088225C"/>
    <w:rsid w:val="00884026"/>
    <w:rsid w:val="00884C78"/>
    <w:rsid w:val="008859E1"/>
    <w:rsid w:val="00886C6B"/>
    <w:rsid w:val="00896264"/>
    <w:rsid w:val="008A5D88"/>
    <w:rsid w:val="008B2851"/>
    <w:rsid w:val="008C000E"/>
    <w:rsid w:val="008C0EA7"/>
    <w:rsid w:val="008D031B"/>
    <w:rsid w:val="008D0F2F"/>
    <w:rsid w:val="008D10B2"/>
    <w:rsid w:val="008D237F"/>
    <w:rsid w:val="008D4B32"/>
    <w:rsid w:val="008D6B05"/>
    <w:rsid w:val="008E0EE5"/>
    <w:rsid w:val="008E426F"/>
    <w:rsid w:val="008E7D2D"/>
    <w:rsid w:val="008F44C0"/>
    <w:rsid w:val="008F4DA1"/>
    <w:rsid w:val="008F5999"/>
    <w:rsid w:val="008F5B33"/>
    <w:rsid w:val="00901218"/>
    <w:rsid w:val="00903AD6"/>
    <w:rsid w:val="009047C3"/>
    <w:rsid w:val="00904D7A"/>
    <w:rsid w:val="00915332"/>
    <w:rsid w:val="009162AE"/>
    <w:rsid w:val="009204BB"/>
    <w:rsid w:val="00931F00"/>
    <w:rsid w:val="00934F60"/>
    <w:rsid w:val="00935918"/>
    <w:rsid w:val="00935EC3"/>
    <w:rsid w:val="009366A2"/>
    <w:rsid w:val="00951097"/>
    <w:rsid w:val="00953C1E"/>
    <w:rsid w:val="0096116A"/>
    <w:rsid w:val="0096210F"/>
    <w:rsid w:val="00962633"/>
    <w:rsid w:val="00963187"/>
    <w:rsid w:val="00963ACF"/>
    <w:rsid w:val="00963D1C"/>
    <w:rsid w:val="00964284"/>
    <w:rsid w:val="0097028A"/>
    <w:rsid w:val="00973BD6"/>
    <w:rsid w:val="00981B02"/>
    <w:rsid w:val="00984549"/>
    <w:rsid w:val="00985D28"/>
    <w:rsid w:val="00991BF0"/>
    <w:rsid w:val="009A0FB1"/>
    <w:rsid w:val="009A1FAC"/>
    <w:rsid w:val="009B001A"/>
    <w:rsid w:val="009B1A62"/>
    <w:rsid w:val="009B304E"/>
    <w:rsid w:val="009B5424"/>
    <w:rsid w:val="009C37C0"/>
    <w:rsid w:val="009C3CC7"/>
    <w:rsid w:val="009D2057"/>
    <w:rsid w:val="009D3D6C"/>
    <w:rsid w:val="009D5551"/>
    <w:rsid w:val="009D62DB"/>
    <w:rsid w:val="009E3B42"/>
    <w:rsid w:val="00A04016"/>
    <w:rsid w:val="00A05B60"/>
    <w:rsid w:val="00A13266"/>
    <w:rsid w:val="00A14FA6"/>
    <w:rsid w:val="00A15D64"/>
    <w:rsid w:val="00A17B8F"/>
    <w:rsid w:val="00A20575"/>
    <w:rsid w:val="00A22013"/>
    <w:rsid w:val="00A263D3"/>
    <w:rsid w:val="00A32452"/>
    <w:rsid w:val="00A32BBF"/>
    <w:rsid w:val="00A33BDA"/>
    <w:rsid w:val="00A35C60"/>
    <w:rsid w:val="00A37444"/>
    <w:rsid w:val="00A4281A"/>
    <w:rsid w:val="00A459CF"/>
    <w:rsid w:val="00A5014D"/>
    <w:rsid w:val="00A53E96"/>
    <w:rsid w:val="00A56F18"/>
    <w:rsid w:val="00A628F8"/>
    <w:rsid w:val="00A62BAA"/>
    <w:rsid w:val="00A66172"/>
    <w:rsid w:val="00A70280"/>
    <w:rsid w:val="00A7097D"/>
    <w:rsid w:val="00A744C3"/>
    <w:rsid w:val="00A771B6"/>
    <w:rsid w:val="00A82160"/>
    <w:rsid w:val="00A93EDD"/>
    <w:rsid w:val="00A96662"/>
    <w:rsid w:val="00AA70AB"/>
    <w:rsid w:val="00AB0B9F"/>
    <w:rsid w:val="00AB1713"/>
    <w:rsid w:val="00AB1E3F"/>
    <w:rsid w:val="00AB3F58"/>
    <w:rsid w:val="00AB63BE"/>
    <w:rsid w:val="00AC1EBC"/>
    <w:rsid w:val="00AC2599"/>
    <w:rsid w:val="00AC2DE9"/>
    <w:rsid w:val="00AD0F62"/>
    <w:rsid w:val="00AD2C5F"/>
    <w:rsid w:val="00AD2ED8"/>
    <w:rsid w:val="00AE1481"/>
    <w:rsid w:val="00AE27F9"/>
    <w:rsid w:val="00AE77DB"/>
    <w:rsid w:val="00AF65AA"/>
    <w:rsid w:val="00AF7372"/>
    <w:rsid w:val="00AF7453"/>
    <w:rsid w:val="00B00FFF"/>
    <w:rsid w:val="00B04A72"/>
    <w:rsid w:val="00B06084"/>
    <w:rsid w:val="00B121FE"/>
    <w:rsid w:val="00B16735"/>
    <w:rsid w:val="00B17EDE"/>
    <w:rsid w:val="00B22585"/>
    <w:rsid w:val="00B33693"/>
    <w:rsid w:val="00B34C53"/>
    <w:rsid w:val="00B42BDC"/>
    <w:rsid w:val="00B507A5"/>
    <w:rsid w:val="00B52475"/>
    <w:rsid w:val="00B52549"/>
    <w:rsid w:val="00B535DA"/>
    <w:rsid w:val="00B56A16"/>
    <w:rsid w:val="00B56DCC"/>
    <w:rsid w:val="00B56F54"/>
    <w:rsid w:val="00B638C2"/>
    <w:rsid w:val="00B758AB"/>
    <w:rsid w:val="00B76277"/>
    <w:rsid w:val="00B772AB"/>
    <w:rsid w:val="00B80395"/>
    <w:rsid w:val="00B80B56"/>
    <w:rsid w:val="00B86372"/>
    <w:rsid w:val="00B8676B"/>
    <w:rsid w:val="00BA1C17"/>
    <w:rsid w:val="00BA1D65"/>
    <w:rsid w:val="00BA3A44"/>
    <w:rsid w:val="00BB2B12"/>
    <w:rsid w:val="00BB3B4D"/>
    <w:rsid w:val="00BC071F"/>
    <w:rsid w:val="00BC351E"/>
    <w:rsid w:val="00BC3F77"/>
    <w:rsid w:val="00BC5635"/>
    <w:rsid w:val="00BC5675"/>
    <w:rsid w:val="00BD081C"/>
    <w:rsid w:val="00BD277B"/>
    <w:rsid w:val="00BD47CA"/>
    <w:rsid w:val="00BD4DC4"/>
    <w:rsid w:val="00BD5F58"/>
    <w:rsid w:val="00BD62C7"/>
    <w:rsid w:val="00BE020D"/>
    <w:rsid w:val="00BE27DC"/>
    <w:rsid w:val="00BE354A"/>
    <w:rsid w:val="00BE4F6F"/>
    <w:rsid w:val="00BE54BE"/>
    <w:rsid w:val="00BF03A8"/>
    <w:rsid w:val="00BF32B6"/>
    <w:rsid w:val="00BF5EEF"/>
    <w:rsid w:val="00C00357"/>
    <w:rsid w:val="00C02553"/>
    <w:rsid w:val="00C03299"/>
    <w:rsid w:val="00C04EB6"/>
    <w:rsid w:val="00C056F9"/>
    <w:rsid w:val="00C1018C"/>
    <w:rsid w:val="00C1150E"/>
    <w:rsid w:val="00C12FE4"/>
    <w:rsid w:val="00C14D52"/>
    <w:rsid w:val="00C24FBD"/>
    <w:rsid w:val="00C2586C"/>
    <w:rsid w:val="00C26001"/>
    <w:rsid w:val="00C27B63"/>
    <w:rsid w:val="00C323BD"/>
    <w:rsid w:val="00C34E72"/>
    <w:rsid w:val="00C5308F"/>
    <w:rsid w:val="00C56B1F"/>
    <w:rsid w:val="00C61B52"/>
    <w:rsid w:val="00C61B8F"/>
    <w:rsid w:val="00C62745"/>
    <w:rsid w:val="00C640FE"/>
    <w:rsid w:val="00C654CA"/>
    <w:rsid w:val="00C67C0C"/>
    <w:rsid w:val="00C70500"/>
    <w:rsid w:val="00C722C9"/>
    <w:rsid w:val="00C73BF3"/>
    <w:rsid w:val="00C763BD"/>
    <w:rsid w:val="00C779A8"/>
    <w:rsid w:val="00C82E19"/>
    <w:rsid w:val="00C85C6C"/>
    <w:rsid w:val="00C90F7B"/>
    <w:rsid w:val="00C96873"/>
    <w:rsid w:val="00CA0456"/>
    <w:rsid w:val="00CA1735"/>
    <w:rsid w:val="00CA3C4B"/>
    <w:rsid w:val="00CA7252"/>
    <w:rsid w:val="00CB2C5A"/>
    <w:rsid w:val="00CB68F2"/>
    <w:rsid w:val="00CD45F7"/>
    <w:rsid w:val="00CE0C1C"/>
    <w:rsid w:val="00CE34AF"/>
    <w:rsid w:val="00CF00A4"/>
    <w:rsid w:val="00CF25FB"/>
    <w:rsid w:val="00CF614C"/>
    <w:rsid w:val="00D02F34"/>
    <w:rsid w:val="00D13D87"/>
    <w:rsid w:val="00D148AD"/>
    <w:rsid w:val="00D16590"/>
    <w:rsid w:val="00D20720"/>
    <w:rsid w:val="00D24E10"/>
    <w:rsid w:val="00D250D9"/>
    <w:rsid w:val="00D27533"/>
    <w:rsid w:val="00D27CB8"/>
    <w:rsid w:val="00D33078"/>
    <w:rsid w:val="00D42DA3"/>
    <w:rsid w:val="00D4546D"/>
    <w:rsid w:val="00D47996"/>
    <w:rsid w:val="00D60AAF"/>
    <w:rsid w:val="00D61118"/>
    <w:rsid w:val="00D614F1"/>
    <w:rsid w:val="00D70D50"/>
    <w:rsid w:val="00D71917"/>
    <w:rsid w:val="00D7220C"/>
    <w:rsid w:val="00D778F4"/>
    <w:rsid w:val="00DA3A0F"/>
    <w:rsid w:val="00DA4E62"/>
    <w:rsid w:val="00DA5A5D"/>
    <w:rsid w:val="00DA5EE4"/>
    <w:rsid w:val="00DA6990"/>
    <w:rsid w:val="00DB27BA"/>
    <w:rsid w:val="00DB337A"/>
    <w:rsid w:val="00DB6BF6"/>
    <w:rsid w:val="00DC02DB"/>
    <w:rsid w:val="00DC51CB"/>
    <w:rsid w:val="00DD4819"/>
    <w:rsid w:val="00DD4B8A"/>
    <w:rsid w:val="00DD5403"/>
    <w:rsid w:val="00DE1388"/>
    <w:rsid w:val="00DE29DA"/>
    <w:rsid w:val="00DE7501"/>
    <w:rsid w:val="00DF1837"/>
    <w:rsid w:val="00DF3146"/>
    <w:rsid w:val="00DF3548"/>
    <w:rsid w:val="00DF393C"/>
    <w:rsid w:val="00DF57C3"/>
    <w:rsid w:val="00E008D9"/>
    <w:rsid w:val="00E02FE0"/>
    <w:rsid w:val="00E07ABE"/>
    <w:rsid w:val="00E1004D"/>
    <w:rsid w:val="00E11A3F"/>
    <w:rsid w:val="00E1386E"/>
    <w:rsid w:val="00E2369B"/>
    <w:rsid w:val="00E23EC0"/>
    <w:rsid w:val="00E243C5"/>
    <w:rsid w:val="00E34158"/>
    <w:rsid w:val="00E354AA"/>
    <w:rsid w:val="00E43D54"/>
    <w:rsid w:val="00E44205"/>
    <w:rsid w:val="00E442FB"/>
    <w:rsid w:val="00E45C76"/>
    <w:rsid w:val="00E50E57"/>
    <w:rsid w:val="00E529DB"/>
    <w:rsid w:val="00E53A5E"/>
    <w:rsid w:val="00E6466A"/>
    <w:rsid w:val="00E72221"/>
    <w:rsid w:val="00E74ED3"/>
    <w:rsid w:val="00E82721"/>
    <w:rsid w:val="00E83428"/>
    <w:rsid w:val="00E84C58"/>
    <w:rsid w:val="00E873A5"/>
    <w:rsid w:val="00E90D11"/>
    <w:rsid w:val="00E915E5"/>
    <w:rsid w:val="00EA5440"/>
    <w:rsid w:val="00EB0367"/>
    <w:rsid w:val="00EB0B8B"/>
    <w:rsid w:val="00EB4FB9"/>
    <w:rsid w:val="00EB5BC8"/>
    <w:rsid w:val="00EB70C8"/>
    <w:rsid w:val="00EC2738"/>
    <w:rsid w:val="00EC29E8"/>
    <w:rsid w:val="00EC3550"/>
    <w:rsid w:val="00EC633E"/>
    <w:rsid w:val="00ED30C7"/>
    <w:rsid w:val="00ED7B42"/>
    <w:rsid w:val="00ED7FAD"/>
    <w:rsid w:val="00EE14FD"/>
    <w:rsid w:val="00EE3EA5"/>
    <w:rsid w:val="00EE613F"/>
    <w:rsid w:val="00EE6BD1"/>
    <w:rsid w:val="00EF0262"/>
    <w:rsid w:val="00EF0828"/>
    <w:rsid w:val="00EF6F8B"/>
    <w:rsid w:val="00F03898"/>
    <w:rsid w:val="00F11D95"/>
    <w:rsid w:val="00F1527A"/>
    <w:rsid w:val="00F2696B"/>
    <w:rsid w:val="00F27821"/>
    <w:rsid w:val="00F314C3"/>
    <w:rsid w:val="00F35AA8"/>
    <w:rsid w:val="00F4092A"/>
    <w:rsid w:val="00F41F69"/>
    <w:rsid w:val="00F43E41"/>
    <w:rsid w:val="00F4790C"/>
    <w:rsid w:val="00F50C4B"/>
    <w:rsid w:val="00F5468E"/>
    <w:rsid w:val="00F54C08"/>
    <w:rsid w:val="00F553A2"/>
    <w:rsid w:val="00F6068C"/>
    <w:rsid w:val="00F61A1A"/>
    <w:rsid w:val="00F62F33"/>
    <w:rsid w:val="00F63A52"/>
    <w:rsid w:val="00F72862"/>
    <w:rsid w:val="00F730BA"/>
    <w:rsid w:val="00F75292"/>
    <w:rsid w:val="00F754C2"/>
    <w:rsid w:val="00F77A1D"/>
    <w:rsid w:val="00F80E20"/>
    <w:rsid w:val="00F903BE"/>
    <w:rsid w:val="00F92CD2"/>
    <w:rsid w:val="00F95D04"/>
    <w:rsid w:val="00FA04F2"/>
    <w:rsid w:val="00FA0A43"/>
    <w:rsid w:val="00FA16EC"/>
    <w:rsid w:val="00FA1F73"/>
    <w:rsid w:val="00FA2559"/>
    <w:rsid w:val="00FA2811"/>
    <w:rsid w:val="00FA2CFB"/>
    <w:rsid w:val="00FA4837"/>
    <w:rsid w:val="00FB1D33"/>
    <w:rsid w:val="00FB5E96"/>
    <w:rsid w:val="00FC008C"/>
    <w:rsid w:val="00FC05A0"/>
    <w:rsid w:val="00FC6758"/>
    <w:rsid w:val="00FD3014"/>
    <w:rsid w:val="00FD34EA"/>
    <w:rsid w:val="00FE3F3E"/>
    <w:rsid w:val="00FE4D52"/>
    <w:rsid w:val="00FE5AEE"/>
    <w:rsid w:val="00FF106B"/>
    <w:rsid w:val="1755D970"/>
    <w:rsid w:val="6D2E6B7B"/>
    <w:rsid w:val="6EB7A09E"/>
    <w:rsid w:val="70E341D6"/>
    <w:rsid w:val="7A12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bkciteavail">
    <w:name w:val="bk_cite_avail"/>
    <w:basedOn w:val="DefaultParagraphFont"/>
    <w:rsid w:val="00DF1837"/>
  </w:style>
  <w:style w:type="character" w:styleId="CommentReference">
    <w:name w:val="annotation reference"/>
    <w:basedOn w:val="DefaultParagraphFont"/>
    <w:uiPriority w:val="99"/>
    <w:semiHidden/>
    <w:unhideWhenUsed/>
    <w:rsid w:val="00C5308F"/>
    <w:rPr>
      <w:sz w:val="16"/>
      <w:szCs w:val="16"/>
    </w:rPr>
  </w:style>
  <w:style w:type="paragraph" w:styleId="CommentSubject">
    <w:name w:val="annotation subject"/>
    <w:basedOn w:val="CommentText"/>
    <w:next w:val="CommentText"/>
    <w:link w:val="CommentSubjectChar"/>
    <w:uiPriority w:val="99"/>
    <w:semiHidden/>
    <w:unhideWhenUsed/>
    <w:rsid w:val="00C5308F"/>
    <w:rPr>
      <w:b/>
      <w:bCs/>
    </w:rPr>
  </w:style>
  <w:style w:type="character" w:customStyle="1" w:styleId="CommentTextChar">
    <w:name w:val="Comment Text Char"/>
    <w:basedOn w:val="DefaultParagraphFont"/>
    <w:link w:val="CommentText"/>
    <w:semiHidden/>
    <w:rsid w:val="00C5308F"/>
    <w:rPr>
      <w:rFonts w:ascii="Arial" w:hAnsi="Arial"/>
    </w:rPr>
  </w:style>
  <w:style w:type="character" w:customStyle="1" w:styleId="CommentSubjectChar">
    <w:name w:val="Comment Subject Char"/>
    <w:basedOn w:val="CommentTextChar"/>
    <w:link w:val="CommentSubject"/>
    <w:uiPriority w:val="99"/>
    <w:semiHidden/>
    <w:rsid w:val="00C5308F"/>
    <w:rPr>
      <w:rFonts w:ascii="Arial" w:hAnsi="Arial"/>
      <w:b/>
      <w:bCs/>
    </w:rPr>
  </w:style>
  <w:style w:type="character" w:styleId="FollowedHyperlink">
    <w:name w:val="FollowedHyperlink"/>
    <w:basedOn w:val="DefaultParagraphFont"/>
    <w:uiPriority w:val="99"/>
    <w:semiHidden/>
    <w:unhideWhenUsed/>
    <w:rsid w:val="00A709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mydss.mo.gov/mhd/pharmacy-clinical-edits-pdl__;!!Mh0G0HQJXw!Ftntf4uiw5MU21pklbS14xE_VFdv-QswbQ7Ygqy9IP_XiQhNonJ128hUnwn9QwwCXMNzvL5FA68XQFxs84P4HiFCuNFmnaq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rldefense.com/v3/__https:/mydss.mo.gov/mhd/pharmacy-clinical-edits-pdl__;!!Mh0G0HQJXw!Ftntf4uiw5MU21pklbS14xE_VFdv-QswbQ7Ygqy9IP_XiQhNonJ128hUnwn9QwwCXMNzvL5FA68XQFxs84P4HiFCuNFmnaql$" TargetMode="External"/><Relationship Id="rId17" Type="http://schemas.openxmlformats.org/officeDocument/2006/relationships/hyperlink" Target="https://www.fda.gov/media/191708/download?attach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ncl.2018.01.0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mydss.mo.gov/mhd/pharmacy-clinical-edits-pdl__;!!Mh0G0HQJXw!Ftntf4uiw5MU21pklbS14xE_VFdv-QswbQ7Ygqy9IP_XiQhNonJ128hUnwn9QwwCXMNzvL5FA68XQFxs84P4HiFCuNFmnaq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07/s11940-015-0387-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books/NBK27100/"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f5eefb00-5952-4f7e-8cf8-96f81cfadd01"/>
    <ds:schemaRef ds:uri="http://purl.org/dc/elements/1.1/"/>
    <ds:schemaRef ds:uri="http://schemas.microsoft.com/office/2006/documentManagement/types"/>
    <ds:schemaRef ds:uri="aba01ddc-ae9a-4c9e-819c-7140b4239cd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5EF5C23-F155-482E-95D9-FE0EF7467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2684</Words>
  <Characters>16828</Characters>
  <Application>Microsoft Office Word</Application>
  <DocSecurity>10</DocSecurity>
  <Lines>140</Lines>
  <Paragraphs>38</Paragraphs>
  <ScaleCrop>false</ScaleCrop>
  <HeadingPairs>
    <vt:vector size="2" baseType="variant">
      <vt:variant>
        <vt:lpstr>Title</vt:lpstr>
      </vt:variant>
      <vt:variant>
        <vt:i4>1</vt:i4>
      </vt:variant>
    </vt:vector>
  </HeadingPairs>
  <TitlesOfParts>
    <vt:vector size="1" baseType="lpstr">
      <vt:lpstr>Complement Inhibitor PDL</vt:lpstr>
    </vt:vector>
  </TitlesOfParts>
  <Company>DSS</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Complement Inhibitor PDL</dc:title>
  <dc:creator>DMS</dc:creator>
  <cp:lastModifiedBy>Heriford, Katherine</cp:lastModifiedBy>
  <cp:revision>166</cp:revision>
  <cp:lastPrinted>2018-10-31T20:17:00Z</cp:lastPrinted>
  <dcterms:created xsi:type="dcterms:W3CDTF">2025-09-19T16:48:00Z</dcterms:created>
  <dcterms:modified xsi:type="dcterms:W3CDTF">2026-07-06T22:11:00Z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