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3C519B2F" w:rsidR="004C5767" w:rsidRPr="00051FD0" w:rsidRDefault="004C5767" w:rsidP="00D27533">
      <w:pPr>
        <w:pStyle w:val="tbody"/>
        <w:rPr>
          <w:b w:val="0"/>
          <w:bCs/>
        </w:rPr>
      </w:pPr>
      <w:r w:rsidRPr="00C02553">
        <w:t>Drug/Drug Class:</w:t>
      </w:r>
      <w:r w:rsidR="003B4820">
        <w:t xml:space="preserve"> </w:t>
      </w:r>
      <w:proofErr w:type="spellStart"/>
      <w:r w:rsidR="005F564D" w:rsidRPr="005F564D">
        <w:rPr>
          <w:b w:val="0"/>
          <w:bCs/>
        </w:rPr>
        <w:t>Gamifant</w:t>
      </w:r>
      <w:proofErr w:type="spellEnd"/>
      <w:r w:rsidR="005F564D" w:rsidRPr="005F564D">
        <w:rPr>
          <w:b w:val="0"/>
          <w:bCs/>
        </w:rPr>
        <w:t xml:space="preserve"> Clinical Edit</w:t>
      </w:r>
    </w:p>
    <w:p w14:paraId="7AD7FFCE" w14:textId="77A90A8E" w:rsidR="004C5767" w:rsidRPr="00051FD0" w:rsidRDefault="004C5767" w:rsidP="00D27533">
      <w:pPr>
        <w:pStyle w:val="tbody"/>
        <w:rPr>
          <w:b w:val="0"/>
          <w:bCs/>
        </w:rPr>
      </w:pPr>
      <w:r w:rsidRPr="00C02553">
        <w:t xml:space="preserve">First Implementation Date: </w:t>
      </w:r>
      <w:r w:rsidR="00BD3D5F" w:rsidRPr="00BD3D5F">
        <w:rPr>
          <w:b w:val="0"/>
          <w:bCs/>
        </w:rPr>
        <w:t>October 17, 2019</w:t>
      </w:r>
    </w:p>
    <w:p w14:paraId="4B7D760D" w14:textId="4B647F9E" w:rsidR="004C5767" w:rsidRPr="00D232D9" w:rsidRDefault="00D95E68" w:rsidP="15EB50BA">
      <w:pPr>
        <w:pStyle w:val="tbody"/>
        <w:rPr>
          <w:b w:val="0"/>
        </w:rPr>
      </w:pPr>
      <w:r>
        <w:t>Proposed</w:t>
      </w:r>
      <w:r w:rsidR="004C5767">
        <w:t xml:space="preserve"> Date:</w:t>
      </w:r>
      <w:r w:rsidR="00065C22">
        <w:t xml:space="preserve"> </w:t>
      </w:r>
      <w:r w:rsidR="00F62763">
        <w:rPr>
          <w:b w:val="0"/>
        </w:rPr>
        <w:t>July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4C4EACD" w:rsidR="004C5767" w:rsidRPr="00D27533" w:rsidRDefault="004C5767" w:rsidP="00D27533">
      <w:pPr>
        <w:pStyle w:val="tbody"/>
        <w:rPr>
          <w:b w:val="0"/>
          <w:bCs/>
          <w:spacing w:val="-3"/>
        </w:rPr>
      </w:pPr>
      <w:r w:rsidRPr="00C02553">
        <w:t xml:space="preserve">Criteria Status: </w:t>
      </w:r>
      <w:r w:rsidR="00566BE4" w:rsidRPr="00BD3D5F">
        <w:rPr>
          <w:b w:val="0"/>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5DB93816" w:rsidR="00D47996" w:rsidRDefault="79EEA449" w:rsidP="00696E3A">
      <w:r>
        <w:t>Ensure appropriate utilization and control of</w:t>
      </w:r>
      <w:r w:rsidR="00D47996">
        <w:t xml:space="preserve"> </w:t>
      </w:r>
      <w:r w:rsidR="00493462" w:rsidRPr="00EF703F">
        <w:rPr>
          <w:rFonts w:cs="Arial"/>
          <w:spacing w:val="-3"/>
        </w:rPr>
        <w:t>Gamifant</w:t>
      </w:r>
      <w:r w:rsidR="00493462" w:rsidRPr="00E022E3">
        <w:rPr>
          <w:rFonts w:cs="Arial"/>
          <w:spacing w:val="-3"/>
          <w:vertAlign w:val="superscript"/>
        </w:rPr>
        <w:t>®</w:t>
      </w:r>
      <w:r w:rsidR="00493462">
        <w:rPr>
          <w:rFonts w:cs="Arial"/>
          <w:spacing w:val="-3"/>
        </w:rPr>
        <w:t xml:space="preserve"> </w:t>
      </w:r>
      <w:r w:rsidR="00493462" w:rsidRPr="00EF703F">
        <w:rPr>
          <w:rFonts w:cs="Arial"/>
          <w:spacing w:val="-3"/>
        </w:rPr>
        <w:t>(emapalumab-lzsg) injection</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7D2F3355" w:rsidR="00B56DCC" w:rsidRDefault="00BF332C" w:rsidP="00696E3A">
      <w:pPr>
        <w:rPr>
          <w:rFonts w:cs="Arial"/>
          <w:spacing w:val="-3"/>
        </w:rPr>
      </w:pPr>
      <w:r w:rsidRPr="00627971">
        <w:rPr>
          <w:rFonts w:cs="Arial"/>
          <w:spacing w:val="-3"/>
        </w:rPr>
        <w:t>On November 20, 2018, Gamifant</w:t>
      </w:r>
      <w:r w:rsidRPr="00627971">
        <w:rPr>
          <w:rFonts w:cs="Arial"/>
          <w:spacing w:val="-3"/>
          <w:vertAlign w:val="superscript"/>
        </w:rPr>
        <w:t>®</w:t>
      </w:r>
      <w:r w:rsidRPr="00627971">
        <w:rPr>
          <w:rFonts w:cs="Arial"/>
          <w:spacing w:val="-3"/>
        </w:rPr>
        <w:t xml:space="preserve"> (emapalumab-lzsg) injection was FDA approved for the treatment of adult and pediatric patients with primary hemophagocytic lymphohistiocytosis (HLH) with refractory, recurrent or progressive disease or intolerance with conventional HLH therapy.  Primary HLH is a predominately pediatric, ultra-rare, rapidly progressive, hyperinflammatory syndrome caused by massive hyperproduction of interferon gamma that may lead to organ failure and death if not appropriately treated.  Gamifant is a monoclonal antibody that binds to and neutralizes interferon gamma.  It is the first and only FDA approved treatment specifically developed for primary HLH; steroids and chemotherapy are conventionally used off-label to treat HLH and decrease the body’s overwhelming inflammatory response prior to hematopoietic stem-cell transplantation.  </w:t>
      </w:r>
      <w:r w:rsidR="000B2803">
        <w:rPr>
          <w:rFonts w:cs="Arial"/>
          <w:spacing w:val="-3"/>
        </w:rPr>
        <w:t>Glu</w:t>
      </w:r>
      <w:r w:rsidR="00D25C2E">
        <w:rPr>
          <w:rFonts w:cs="Arial"/>
          <w:spacing w:val="-3"/>
        </w:rPr>
        <w:t>cocorticoids</w:t>
      </w:r>
      <w:r w:rsidRPr="00627971">
        <w:rPr>
          <w:rFonts w:cs="Arial"/>
          <w:spacing w:val="-3"/>
        </w:rPr>
        <w:t xml:space="preserve"> should be administered concomitantly with </w:t>
      </w:r>
      <w:proofErr w:type="spellStart"/>
      <w:r w:rsidRPr="00627971">
        <w:rPr>
          <w:rFonts w:cs="Arial"/>
          <w:spacing w:val="-3"/>
        </w:rPr>
        <w:t>Gamifant</w:t>
      </w:r>
      <w:proofErr w:type="spellEnd"/>
      <w:r w:rsidRPr="00627971">
        <w:rPr>
          <w:rFonts w:cs="Arial"/>
          <w:spacing w:val="-3"/>
        </w:rPr>
        <w:t xml:space="preserve">. HLH affects 1 in 100,000 </w:t>
      </w:r>
      <w:proofErr w:type="gramStart"/>
      <w:r w:rsidRPr="00627971">
        <w:rPr>
          <w:rFonts w:cs="Arial"/>
          <w:spacing w:val="-3"/>
        </w:rPr>
        <w:t>persons</w:t>
      </w:r>
      <w:proofErr w:type="gramEnd"/>
      <w:r w:rsidRPr="00627971">
        <w:rPr>
          <w:rFonts w:cs="Arial"/>
          <w:spacing w:val="-3"/>
        </w:rPr>
        <w:t xml:space="preserve"> younger than 18 years.  The manufacturer has indicated that fewer than 100 cases of HLH are diagnosed in the US each year. </w:t>
      </w:r>
      <w:r w:rsidR="008F1051">
        <w:rPr>
          <w:rFonts w:cs="Arial"/>
          <w:spacing w:val="-3"/>
        </w:rPr>
        <w:t>In June 2025, Gamifant</w:t>
      </w:r>
      <w:r w:rsidR="00B93017">
        <w:rPr>
          <w:rFonts w:cs="Arial"/>
          <w:spacing w:val="-3"/>
        </w:rPr>
        <w:t xml:space="preserve"> </w:t>
      </w:r>
      <w:r w:rsidR="00214056">
        <w:rPr>
          <w:rFonts w:cs="Arial"/>
          <w:spacing w:val="-3"/>
        </w:rPr>
        <w:t>gained FDA approval for the use in macrophage activation syndrom</w:t>
      </w:r>
      <w:r w:rsidR="00297777">
        <w:rPr>
          <w:rFonts w:cs="Arial"/>
          <w:spacing w:val="-3"/>
        </w:rPr>
        <w:t>e in patients with known or suspected juvenile idiopathic arthritis.</w:t>
      </w:r>
      <w:r w:rsidRPr="00627971">
        <w:rPr>
          <w:rFonts w:cs="Arial"/>
          <w:spacing w:val="-3"/>
        </w:rPr>
        <w:t xml:space="preserve"> Due to Gamifant’s highly specific indication, challenges in diagnosis, and place in therapy behind standard HLH therapies, MO HealthNet will impose criteria to ensure appropriate utilization.</w:t>
      </w:r>
    </w:p>
    <w:p w14:paraId="281B630D" w14:textId="77777777" w:rsidR="00BF332C" w:rsidRDefault="00BF332C" w:rsidP="00696E3A"/>
    <w:p w14:paraId="5B5260CF" w14:textId="1338FD65" w:rsidR="003D4704" w:rsidRPr="00AD17B7" w:rsidRDefault="003D4704" w:rsidP="003D4704">
      <w:r>
        <w:rPr>
          <w:b/>
          <w:bCs/>
        </w:rPr>
        <w:t xml:space="preserve">Program-Specific Information: </w:t>
      </w:r>
      <w:r>
        <w:t>Dat</w:t>
      </w:r>
      <w:r w:rsidR="00ED760F">
        <w:t>e</w:t>
      </w:r>
      <w:r>
        <w:t xml:space="preserve"> Ranges FFS </w:t>
      </w:r>
      <w:r w:rsidR="00F62763">
        <w:t>4-1</w:t>
      </w:r>
      <w:r>
        <w:t>-202</w:t>
      </w:r>
      <w:r w:rsidR="00F62763">
        <w:t>5</w:t>
      </w:r>
      <w:r>
        <w:t xml:space="preserve"> to </w:t>
      </w:r>
      <w:r w:rsidR="00F62763">
        <w:t>3</w:t>
      </w:r>
      <w:r>
        <w:t>-3</w:t>
      </w:r>
      <w:r w:rsidR="00F62763">
        <w:t>1</w:t>
      </w:r>
      <w:r>
        <w:t>-202</w:t>
      </w:r>
      <w:r w:rsidR="00F62763">
        <w:t>6</w:t>
      </w:r>
    </w:p>
    <w:tbl>
      <w:tblPr>
        <w:tblW w:w="9715" w:type="dxa"/>
        <w:jc w:val="center"/>
        <w:tblLayout w:type="fixed"/>
        <w:tblLook w:val="04A0" w:firstRow="1" w:lastRow="0" w:firstColumn="1" w:lastColumn="0" w:noHBand="0" w:noVBand="1"/>
      </w:tblPr>
      <w:tblGrid>
        <w:gridCol w:w="3145"/>
        <w:gridCol w:w="1440"/>
        <w:gridCol w:w="1080"/>
        <w:gridCol w:w="1620"/>
        <w:gridCol w:w="2430"/>
      </w:tblGrid>
      <w:tr w:rsidR="005B5BB4" w:rsidRPr="00902CF9" w14:paraId="7E639B47" w14:textId="77777777" w:rsidTr="000C64DB">
        <w:trPr>
          <w:trHeight w:val="232"/>
          <w:jc w:val="center"/>
        </w:trPr>
        <w:tc>
          <w:tcPr>
            <w:tcW w:w="314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4AA6CF5E" w:rsidR="005B5BB4" w:rsidRPr="00902CF9" w:rsidRDefault="005B5BB4" w:rsidP="001F3A35">
            <w:pPr>
              <w:jc w:val="center"/>
              <w:rPr>
                <w:rFonts w:cs="Arial"/>
                <w:b/>
                <w:bCs/>
                <w:spacing w:val="-3"/>
                <w:szCs w:val="20"/>
              </w:rPr>
            </w:pPr>
            <w:r w:rsidRPr="00902CF9">
              <w:rPr>
                <w:rFonts w:cs="Arial"/>
                <w:b/>
                <w:bCs/>
                <w:spacing w:val="-3"/>
                <w:szCs w:val="20"/>
              </w:rPr>
              <w:t>Drug</w:t>
            </w:r>
          </w:p>
        </w:tc>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2B3AD350" w:rsidR="005B5BB4" w:rsidRPr="00902CF9" w:rsidRDefault="005B5BB4" w:rsidP="001F3A35">
            <w:pPr>
              <w:jc w:val="center"/>
              <w:rPr>
                <w:rFonts w:cs="Arial"/>
                <w:b/>
                <w:bCs/>
                <w:spacing w:val="-3"/>
                <w:szCs w:val="20"/>
              </w:rPr>
            </w:pPr>
            <w:r w:rsidRPr="00B10DBF">
              <w:rPr>
                <w:rFonts w:cs="Arial"/>
                <w:b/>
                <w:spacing w:val="-3"/>
                <w:szCs w:val="20"/>
              </w:rPr>
              <w:t>Participants</w:t>
            </w:r>
          </w:p>
        </w:tc>
        <w:tc>
          <w:tcPr>
            <w:tcW w:w="108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CB31E97" w14:textId="551D9E14" w:rsidR="005B5BB4" w:rsidRPr="00D17247" w:rsidRDefault="005B5BB4" w:rsidP="001F3A35">
            <w:pPr>
              <w:jc w:val="center"/>
              <w:rPr>
                <w:rFonts w:cs="Arial"/>
                <w:b/>
                <w:spacing w:val="-3"/>
                <w:szCs w:val="20"/>
              </w:rPr>
            </w:pPr>
            <w:r>
              <w:rPr>
                <w:rFonts w:cs="Arial"/>
                <w:b/>
                <w:spacing w:val="-3"/>
                <w:szCs w:val="20"/>
              </w:rPr>
              <w:t>Claims</w:t>
            </w:r>
          </w:p>
        </w:tc>
        <w:tc>
          <w:tcPr>
            <w:tcW w:w="162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B35B678" w14:textId="353404B6" w:rsidR="005B5BB4" w:rsidRPr="00D17247" w:rsidRDefault="000710DE" w:rsidP="001F3A35">
            <w:pPr>
              <w:jc w:val="center"/>
              <w:rPr>
                <w:rFonts w:cs="Arial"/>
                <w:b/>
                <w:spacing w:val="-3"/>
                <w:szCs w:val="20"/>
              </w:rPr>
            </w:pPr>
            <w:r>
              <w:rPr>
                <w:rFonts w:cs="Arial"/>
                <w:b/>
                <w:spacing w:val="-3"/>
                <w:szCs w:val="20"/>
              </w:rPr>
              <w:t>Spend</w:t>
            </w:r>
          </w:p>
        </w:tc>
        <w:tc>
          <w:tcPr>
            <w:tcW w:w="243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29B88FC9" w:rsidR="005B5BB4" w:rsidRPr="00902CF9" w:rsidRDefault="00EC057F" w:rsidP="001F3A35">
            <w:pPr>
              <w:jc w:val="center"/>
              <w:rPr>
                <w:rFonts w:cs="Arial"/>
                <w:b/>
                <w:bCs/>
                <w:spacing w:val="-3"/>
                <w:szCs w:val="20"/>
              </w:rPr>
            </w:pPr>
            <w:r>
              <w:rPr>
                <w:rFonts w:cs="Arial"/>
                <w:b/>
                <w:spacing w:val="-3"/>
                <w:szCs w:val="20"/>
              </w:rPr>
              <w:t>Avg Spend Per Claim</w:t>
            </w:r>
          </w:p>
        </w:tc>
      </w:tr>
      <w:tr w:rsidR="003E0296" w:rsidRPr="00902CF9" w14:paraId="29C2C6B5" w14:textId="77777777" w:rsidTr="000C64DB">
        <w:trPr>
          <w:trHeight w:val="232"/>
          <w:jc w:val="center"/>
        </w:trPr>
        <w:tc>
          <w:tcPr>
            <w:tcW w:w="3145" w:type="dxa"/>
            <w:tcBorders>
              <w:top w:val="single" w:sz="4" w:space="0" w:color="auto"/>
              <w:left w:val="single" w:sz="4" w:space="0" w:color="auto"/>
              <w:bottom w:val="single" w:sz="4" w:space="0" w:color="auto"/>
              <w:right w:val="single" w:sz="4" w:space="0" w:color="auto"/>
            </w:tcBorders>
            <w:vAlign w:val="center"/>
          </w:tcPr>
          <w:p w14:paraId="4E48F17F" w14:textId="673804EC" w:rsidR="003E0296" w:rsidRPr="00902CF9" w:rsidRDefault="003E0296" w:rsidP="003E0296">
            <w:pPr>
              <w:rPr>
                <w:rFonts w:cs="Arial"/>
                <w:szCs w:val="20"/>
              </w:rPr>
            </w:pPr>
            <w:r w:rsidRPr="00B10DBF">
              <w:rPr>
                <w:rFonts w:cs="Arial"/>
                <w:szCs w:val="20"/>
              </w:rPr>
              <w:t>GAMIFANT 10</w:t>
            </w:r>
            <w:r>
              <w:rPr>
                <w:rFonts w:cs="Arial"/>
                <w:szCs w:val="20"/>
              </w:rPr>
              <w:t xml:space="preserve"> </w:t>
            </w:r>
            <w:r w:rsidRPr="00B10DBF">
              <w:rPr>
                <w:rFonts w:cs="Arial"/>
                <w:szCs w:val="20"/>
              </w:rPr>
              <w:t>MG/2</w:t>
            </w:r>
            <w:r>
              <w:rPr>
                <w:rFonts w:cs="Arial"/>
                <w:szCs w:val="20"/>
              </w:rPr>
              <w:t xml:space="preserve"> </w:t>
            </w:r>
            <w:r w:rsidRPr="00B10DBF">
              <w:rPr>
                <w:rFonts w:cs="Arial"/>
                <w:szCs w:val="20"/>
              </w:rPr>
              <w:t>ML VIAL</w:t>
            </w:r>
          </w:p>
        </w:tc>
        <w:tc>
          <w:tcPr>
            <w:tcW w:w="1440" w:type="dxa"/>
            <w:tcBorders>
              <w:top w:val="single" w:sz="4" w:space="0" w:color="auto"/>
              <w:left w:val="single" w:sz="4" w:space="0" w:color="auto"/>
              <w:bottom w:val="single" w:sz="4" w:space="0" w:color="auto"/>
              <w:right w:val="single" w:sz="4" w:space="0" w:color="auto"/>
            </w:tcBorders>
            <w:vAlign w:val="center"/>
          </w:tcPr>
          <w:p w14:paraId="52453425" w14:textId="449B649B" w:rsidR="003E0296" w:rsidRPr="00902CF9" w:rsidRDefault="00015B1F" w:rsidP="003E0296">
            <w:pPr>
              <w:jc w:val="center"/>
              <w:rPr>
                <w:rFonts w:cs="Arial"/>
                <w:szCs w:val="20"/>
              </w:rPr>
            </w:pPr>
            <w:r>
              <w:rPr>
                <w:rFonts w:cs="Arial"/>
                <w:szCs w:val="20"/>
              </w:rPr>
              <w:t>1</w:t>
            </w:r>
          </w:p>
        </w:tc>
        <w:tc>
          <w:tcPr>
            <w:tcW w:w="1080" w:type="dxa"/>
            <w:tcBorders>
              <w:top w:val="single" w:sz="4" w:space="0" w:color="auto"/>
              <w:left w:val="single" w:sz="4" w:space="0" w:color="auto"/>
              <w:bottom w:val="single" w:sz="4" w:space="0" w:color="auto"/>
              <w:right w:val="single" w:sz="4" w:space="0" w:color="auto"/>
            </w:tcBorders>
            <w:vAlign w:val="bottom"/>
          </w:tcPr>
          <w:p w14:paraId="77909C54" w14:textId="0778C721" w:rsidR="003E0296" w:rsidRPr="00902CF9" w:rsidRDefault="003E0296" w:rsidP="003E0296">
            <w:pPr>
              <w:jc w:val="center"/>
              <w:rPr>
                <w:rFonts w:cs="Arial"/>
                <w:szCs w:val="20"/>
              </w:rPr>
            </w:pPr>
            <w:r>
              <w:rPr>
                <w:rFonts w:cs="Arial"/>
                <w:szCs w:val="20"/>
              </w:rPr>
              <w:t>5</w:t>
            </w:r>
          </w:p>
        </w:tc>
        <w:tc>
          <w:tcPr>
            <w:tcW w:w="1620" w:type="dxa"/>
            <w:tcBorders>
              <w:top w:val="single" w:sz="4" w:space="0" w:color="auto"/>
              <w:left w:val="single" w:sz="4" w:space="0" w:color="auto"/>
              <w:bottom w:val="single" w:sz="4" w:space="0" w:color="auto"/>
              <w:right w:val="single" w:sz="4" w:space="0" w:color="auto"/>
            </w:tcBorders>
            <w:vAlign w:val="bottom"/>
          </w:tcPr>
          <w:p w14:paraId="24E7BA3D" w14:textId="139096B4" w:rsidR="003E0296" w:rsidRPr="00902CF9" w:rsidRDefault="003E0296" w:rsidP="003E0296">
            <w:pPr>
              <w:jc w:val="center"/>
              <w:rPr>
                <w:rFonts w:cs="Arial"/>
                <w:szCs w:val="20"/>
              </w:rPr>
            </w:pPr>
            <w:r>
              <w:rPr>
                <w:rFonts w:cs="Arial"/>
                <w:szCs w:val="20"/>
              </w:rPr>
              <w:t>$108,411.20</w:t>
            </w:r>
          </w:p>
        </w:tc>
        <w:tc>
          <w:tcPr>
            <w:tcW w:w="2430" w:type="dxa"/>
            <w:tcBorders>
              <w:top w:val="single" w:sz="4" w:space="0" w:color="auto"/>
              <w:left w:val="single" w:sz="4" w:space="0" w:color="auto"/>
              <w:bottom w:val="single" w:sz="4" w:space="0" w:color="auto"/>
              <w:right w:val="single" w:sz="4" w:space="0" w:color="auto"/>
            </w:tcBorders>
            <w:vAlign w:val="bottom"/>
          </w:tcPr>
          <w:p w14:paraId="43EE586B" w14:textId="62C4E869" w:rsidR="003E0296" w:rsidRPr="00902CF9" w:rsidRDefault="003E0296" w:rsidP="003E0296">
            <w:pPr>
              <w:jc w:val="center"/>
              <w:rPr>
                <w:rFonts w:cs="Arial"/>
                <w:szCs w:val="20"/>
              </w:rPr>
            </w:pPr>
            <w:r>
              <w:rPr>
                <w:rFonts w:cs="Arial"/>
                <w:szCs w:val="20"/>
              </w:rPr>
              <w:t>$21,682.24</w:t>
            </w:r>
          </w:p>
        </w:tc>
      </w:tr>
      <w:tr w:rsidR="003619D3" w:rsidRPr="00902CF9" w14:paraId="0A1EF85E" w14:textId="77777777" w:rsidTr="000C64DB">
        <w:trPr>
          <w:trHeight w:val="232"/>
          <w:jc w:val="center"/>
        </w:trPr>
        <w:tc>
          <w:tcPr>
            <w:tcW w:w="3145" w:type="dxa"/>
            <w:tcBorders>
              <w:top w:val="single" w:sz="4" w:space="0" w:color="auto"/>
              <w:left w:val="single" w:sz="4" w:space="0" w:color="auto"/>
              <w:bottom w:val="single" w:sz="4" w:space="0" w:color="auto"/>
              <w:right w:val="single" w:sz="4" w:space="0" w:color="auto"/>
            </w:tcBorders>
            <w:vAlign w:val="center"/>
          </w:tcPr>
          <w:p w14:paraId="77B43C05" w14:textId="792BCC93" w:rsidR="003619D3" w:rsidRPr="00902CF9" w:rsidRDefault="003619D3" w:rsidP="003619D3">
            <w:pPr>
              <w:rPr>
                <w:rFonts w:cs="Arial"/>
                <w:szCs w:val="20"/>
              </w:rPr>
            </w:pPr>
            <w:r w:rsidRPr="00B10DBF">
              <w:rPr>
                <w:rFonts w:cs="Arial"/>
                <w:szCs w:val="20"/>
              </w:rPr>
              <w:t>GAMIFANT 50</w:t>
            </w:r>
            <w:r>
              <w:rPr>
                <w:rFonts w:cs="Arial"/>
                <w:szCs w:val="20"/>
              </w:rPr>
              <w:t xml:space="preserve"> </w:t>
            </w:r>
            <w:r w:rsidRPr="00B10DBF">
              <w:rPr>
                <w:rFonts w:cs="Arial"/>
                <w:szCs w:val="20"/>
              </w:rPr>
              <w:t>MG/10</w:t>
            </w:r>
            <w:r>
              <w:rPr>
                <w:rFonts w:cs="Arial"/>
                <w:szCs w:val="20"/>
              </w:rPr>
              <w:t xml:space="preserve"> </w:t>
            </w:r>
            <w:r w:rsidRPr="00B10DBF">
              <w:rPr>
                <w:rFonts w:cs="Arial"/>
                <w:szCs w:val="20"/>
              </w:rPr>
              <w:t>ML VIAL</w:t>
            </w:r>
          </w:p>
        </w:tc>
        <w:tc>
          <w:tcPr>
            <w:tcW w:w="1440" w:type="dxa"/>
            <w:tcBorders>
              <w:top w:val="single" w:sz="4" w:space="0" w:color="auto"/>
              <w:left w:val="single" w:sz="4" w:space="0" w:color="auto"/>
              <w:bottom w:val="single" w:sz="4" w:space="0" w:color="auto"/>
              <w:right w:val="single" w:sz="4" w:space="0" w:color="auto"/>
            </w:tcBorders>
            <w:vAlign w:val="center"/>
          </w:tcPr>
          <w:p w14:paraId="4B838051" w14:textId="476EAFA0" w:rsidR="003619D3" w:rsidRPr="00902CF9" w:rsidRDefault="0053511B" w:rsidP="003619D3">
            <w:pPr>
              <w:jc w:val="center"/>
              <w:rPr>
                <w:rFonts w:cs="Arial"/>
                <w:szCs w:val="20"/>
              </w:rPr>
            </w:pPr>
            <w:r>
              <w:rPr>
                <w:rFonts w:cs="Arial"/>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14:paraId="146CE58E" w14:textId="5C70C589" w:rsidR="003619D3" w:rsidRPr="00902CF9" w:rsidRDefault="003619D3" w:rsidP="003619D3">
            <w:pPr>
              <w:jc w:val="center"/>
              <w:rPr>
                <w:rFonts w:cs="Arial"/>
                <w:szCs w:val="20"/>
              </w:rPr>
            </w:pPr>
            <w:r>
              <w:rPr>
                <w:rFonts w:cs="Arial"/>
                <w:szCs w:val="20"/>
              </w:rPr>
              <w:t>8</w:t>
            </w:r>
          </w:p>
        </w:tc>
        <w:tc>
          <w:tcPr>
            <w:tcW w:w="1620" w:type="dxa"/>
            <w:tcBorders>
              <w:top w:val="single" w:sz="4" w:space="0" w:color="auto"/>
              <w:left w:val="single" w:sz="4" w:space="0" w:color="auto"/>
              <w:bottom w:val="single" w:sz="4" w:space="0" w:color="auto"/>
              <w:right w:val="single" w:sz="4" w:space="0" w:color="auto"/>
            </w:tcBorders>
            <w:vAlign w:val="bottom"/>
          </w:tcPr>
          <w:p w14:paraId="78E15468" w14:textId="3AE864E1" w:rsidR="003619D3" w:rsidRPr="00902CF9" w:rsidRDefault="003619D3" w:rsidP="003619D3">
            <w:pPr>
              <w:jc w:val="center"/>
              <w:rPr>
                <w:rFonts w:cs="Arial"/>
                <w:szCs w:val="20"/>
              </w:rPr>
            </w:pPr>
            <w:r>
              <w:rPr>
                <w:rFonts w:cs="Arial"/>
                <w:szCs w:val="20"/>
              </w:rPr>
              <w:t>$155,184.76</w:t>
            </w:r>
          </w:p>
        </w:tc>
        <w:tc>
          <w:tcPr>
            <w:tcW w:w="2430" w:type="dxa"/>
            <w:tcBorders>
              <w:top w:val="single" w:sz="4" w:space="0" w:color="auto"/>
              <w:left w:val="single" w:sz="4" w:space="0" w:color="auto"/>
              <w:bottom w:val="single" w:sz="4" w:space="0" w:color="auto"/>
              <w:right w:val="single" w:sz="4" w:space="0" w:color="auto"/>
            </w:tcBorders>
            <w:vAlign w:val="bottom"/>
          </w:tcPr>
          <w:p w14:paraId="0EDE8848" w14:textId="53512B43" w:rsidR="003619D3" w:rsidRPr="00902CF9" w:rsidRDefault="003619D3" w:rsidP="003619D3">
            <w:pPr>
              <w:jc w:val="center"/>
              <w:rPr>
                <w:rFonts w:cs="Arial"/>
                <w:szCs w:val="20"/>
              </w:rPr>
            </w:pPr>
            <w:r>
              <w:rPr>
                <w:rFonts w:cs="Arial"/>
                <w:szCs w:val="20"/>
              </w:rPr>
              <w:t>$19,398.10</w:t>
            </w:r>
          </w:p>
        </w:tc>
      </w:tr>
      <w:tr w:rsidR="000710DE" w:rsidRPr="00902CF9" w14:paraId="5A77BEA3" w14:textId="77777777" w:rsidTr="000C64DB">
        <w:trPr>
          <w:trHeight w:val="232"/>
          <w:jc w:val="center"/>
        </w:trPr>
        <w:tc>
          <w:tcPr>
            <w:tcW w:w="3145" w:type="dxa"/>
            <w:tcBorders>
              <w:top w:val="single" w:sz="4" w:space="0" w:color="auto"/>
              <w:left w:val="single" w:sz="4" w:space="0" w:color="auto"/>
              <w:bottom w:val="single" w:sz="4" w:space="0" w:color="auto"/>
              <w:right w:val="single" w:sz="4" w:space="0" w:color="auto"/>
            </w:tcBorders>
            <w:vAlign w:val="center"/>
          </w:tcPr>
          <w:p w14:paraId="5692DA97" w14:textId="072DD6AF" w:rsidR="000710DE" w:rsidRPr="00902CF9" w:rsidRDefault="000710DE" w:rsidP="000710DE">
            <w:pPr>
              <w:rPr>
                <w:rFonts w:cs="Arial"/>
                <w:szCs w:val="20"/>
              </w:rPr>
            </w:pPr>
            <w:r w:rsidRPr="00B10DBF">
              <w:rPr>
                <w:rFonts w:cs="Arial"/>
                <w:szCs w:val="20"/>
              </w:rPr>
              <w:t>GAMIFANT 100</w:t>
            </w:r>
            <w:r>
              <w:rPr>
                <w:rFonts w:cs="Arial"/>
                <w:szCs w:val="20"/>
              </w:rPr>
              <w:t xml:space="preserve"> </w:t>
            </w:r>
            <w:r w:rsidRPr="00B10DBF">
              <w:rPr>
                <w:rFonts w:cs="Arial"/>
                <w:szCs w:val="20"/>
              </w:rPr>
              <w:t>MG/20</w:t>
            </w:r>
            <w:r>
              <w:rPr>
                <w:rFonts w:cs="Arial"/>
                <w:szCs w:val="20"/>
              </w:rPr>
              <w:t xml:space="preserve"> </w:t>
            </w:r>
            <w:r w:rsidRPr="00B10DBF">
              <w:rPr>
                <w:rFonts w:cs="Arial"/>
                <w:szCs w:val="20"/>
              </w:rPr>
              <w:t>ML VIAL</w:t>
            </w:r>
          </w:p>
        </w:tc>
        <w:tc>
          <w:tcPr>
            <w:tcW w:w="1440" w:type="dxa"/>
            <w:tcBorders>
              <w:top w:val="single" w:sz="4" w:space="0" w:color="auto"/>
              <w:left w:val="single" w:sz="4" w:space="0" w:color="auto"/>
              <w:bottom w:val="single" w:sz="4" w:space="0" w:color="auto"/>
              <w:right w:val="single" w:sz="4" w:space="0" w:color="auto"/>
            </w:tcBorders>
            <w:vAlign w:val="center"/>
          </w:tcPr>
          <w:p w14:paraId="47A4EEDB" w14:textId="130D3C97" w:rsidR="000710DE" w:rsidRPr="00902CF9" w:rsidRDefault="000710DE" w:rsidP="000710DE">
            <w:pPr>
              <w:jc w:val="center"/>
              <w:rPr>
                <w:rFonts w:cs="Arial"/>
                <w:szCs w:val="20"/>
              </w:rPr>
            </w:pPr>
            <w:r>
              <w:rPr>
                <w:rFonts w:cs="Arial"/>
                <w:szCs w:val="20"/>
              </w:rPr>
              <w:t>1</w:t>
            </w:r>
          </w:p>
        </w:tc>
        <w:tc>
          <w:tcPr>
            <w:tcW w:w="1080" w:type="dxa"/>
            <w:tcBorders>
              <w:top w:val="single" w:sz="4" w:space="0" w:color="auto"/>
              <w:left w:val="single" w:sz="4" w:space="0" w:color="auto"/>
              <w:bottom w:val="single" w:sz="4" w:space="0" w:color="auto"/>
              <w:right w:val="single" w:sz="4" w:space="0" w:color="auto"/>
            </w:tcBorders>
          </w:tcPr>
          <w:p w14:paraId="116324EE" w14:textId="7DDA3A54" w:rsidR="000710DE" w:rsidRPr="00902CF9" w:rsidRDefault="000710DE" w:rsidP="000710DE">
            <w:pPr>
              <w:jc w:val="center"/>
              <w:rPr>
                <w:rFonts w:cs="Arial"/>
                <w:szCs w:val="20"/>
              </w:rPr>
            </w:pPr>
            <w:r>
              <w:rPr>
                <w:rFonts w:cs="Arial"/>
                <w:szCs w:val="20"/>
              </w:rPr>
              <w:t>1</w:t>
            </w:r>
          </w:p>
        </w:tc>
        <w:tc>
          <w:tcPr>
            <w:tcW w:w="1620" w:type="dxa"/>
            <w:tcBorders>
              <w:top w:val="single" w:sz="4" w:space="0" w:color="auto"/>
              <w:left w:val="single" w:sz="4" w:space="0" w:color="auto"/>
              <w:bottom w:val="single" w:sz="4" w:space="0" w:color="auto"/>
              <w:right w:val="single" w:sz="4" w:space="0" w:color="auto"/>
            </w:tcBorders>
            <w:vAlign w:val="bottom"/>
          </w:tcPr>
          <w:p w14:paraId="1AC0D23C" w14:textId="1666CB22" w:rsidR="000710DE" w:rsidRPr="00902CF9" w:rsidRDefault="000710DE" w:rsidP="000710DE">
            <w:pPr>
              <w:jc w:val="center"/>
              <w:rPr>
                <w:rFonts w:cs="Arial"/>
                <w:szCs w:val="20"/>
              </w:rPr>
            </w:pPr>
            <w:r>
              <w:rPr>
                <w:rFonts w:cs="Arial"/>
                <w:szCs w:val="20"/>
              </w:rPr>
              <w:t>$59,167.37</w:t>
            </w:r>
          </w:p>
        </w:tc>
        <w:tc>
          <w:tcPr>
            <w:tcW w:w="2430" w:type="dxa"/>
            <w:tcBorders>
              <w:top w:val="single" w:sz="4" w:space="0" w:color="auto"/>
              <w:left w:val="single" w:sz="4" w:space="0" w:color="auto"/>
              <w:bottom w:val="single" w:sz="4" w:space="0" w:color="auto"/>
              <w:right w:val="single" w:sz="4" w:space="0" w:color="auto"/>
            </w:tcBorders>
            <w:vAlign w:val="bottom"/>
          </w:tcPr>
          <w:p w14:paraId="1D6C2FF0" w14:textId="008BA774" w:rsidR="000710DE" w:rsidRPr="00902CF9" w:rsidRDefault="000710DE" w:rsidP="000710DE">
            <w:pPr>
              <w:jc w:val="center"/>
              <w:rPr>
                <w:rFonts w:cs="Arial"/>
                <w:szCs w:val="20"/>
              </w:rPr>
            </w:pPr>
            <w:r>
              <w:rPr>
                <w:rFonts w:cs="Arial"/>
                <w:szCs w:val="20"/>
              </w:rPr>
              <w:t>$59,167.37</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2BB10429" w:rsidR="0097028A" w:rsidRPr="0079438F" w:rsidRDefault="0097028A" w:rsidP="00696E3A">
      <w:pPr>
        <w:rPr>
          <w:b/>
        </w:rPr>
      </w:pPr>
      <w:r w:rsidRPr="00696E3A">
        <w:rPr>
          <w:b/>
          <w:bCs/>
        </w:rPr>
        <w:t>Drug class for review:</w:t>
      </w:r>
      <w:r w:rsidRPr="00C02553">
        <w:t xml:space="preserve"> </w:t>
      </w:r>
      <w:r w:rsidR="00EA2084" w:rsidRPr="00EF703F">
        <w:rPr>
          <w:rFonts w:cs="Arial"/>
          <w:spacing w:val="-3"/>
          <w:szCs w:val="20"/>
        </w:rPr>
        <w:t>Gamifant</w:t>
      </w:r>
      <w:r w:rsidR="00EA2084" w:rsidRPr="00627971">
        <w:rPr>
          <w:rFonts w:cs="Arial"/>
          <w:spacing w:val="-3"/>
          <w:szCs w:val="20"/>
          <w:vertAlign w:val="superscript"/>
        </w:rPr>
        <w:t>®</w:t>
      </w:r>
      <w:r w:rsidR="00EA2084" w:rsidRPr="00EF703F">
        <w:rPr>
          <w:rFonts w:cs="Arial"/>
          <w:spacing w:val="-3"/>
          <w:szCs w:val="20"/>
        </w:rPr>
        <w:t xml:space="preserve"> (emapalumab-lzsg) injection</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7F697F96" w14:textId="77777777" w:rsidR="00635DDB" w:rsidRDefault="00635DDB" w:rsidP="00B22E85">
      <w:pPr>
        <w:pStyle w:val="ListParagraph"/>
        <w:numPr>
          <w:ilvl w:val="0"/>
          <w:numId w:val="16"/>
        </w:numPr>
        <w:rPr>
          <w:rFonts w:cs="Arial"/>
          <w:szCs w:val="20"/>
        </w:rPr>
      </w:pPr>
      <w:r>
        <w:rPr>
          <w:rFonts w:cs="Arial"/>
          <w:szCs w:val="20"/>
        </w:rPr>
        <w:t xml:space="preserve">Must meet </w:t>
      </w:r>
      <w:proofErr w:type="gramStart"/>
      <w:r>
        <w:rPr>
          <w:rFonts w:cs="Arial"/>
          <w:szCs w:val="20"/>
        </w:rPr>
        <w:t>all of</w:t>
      </w:r>
      <w:proofErr w:type="gramEnd"/>
      <w:r>
        <w:rPr>
          <w:rFonts w:cs="Arial"/>
          <w:szCs w:val="20"/>
        </w:rPr>
        <w:t xml:space="preserve"> the following:</w:t>
      </w:r>
    </w:p>
    <w:p w14:paraId="0D5096A8" w14:textId="77777777" w:rsidR="00B22E85" w:rsidRDefault="00B22E85" w:rsidP="00B22E85">
      <w:pPr>
        <w:pStyle w:val="ListParagraph"/>
        <w:numPr>
          <w:ilvl w:val="1"/>
          <w:numId w:val="16"/>
        </w:numPr>
        <w:ind w:left="720"/>
        <w:rPr>
          <w:rFonts w:cs="Arial"/>
          <w:bCs/>
          <w:szCs w:val="20"/>
        </w:rPr>
      </w:pPr>
      <w:r>
        <w:rPr>
          <w:rFonts w:cs="Arial"/>
          <w:bCs/>
          <w:szCs w:val="20"/>
        </w:rPr>
        <w:t>Must meet one of the following:</w:t>
      </w:r>
    </w:p>
    <w:p w14:paraId="67B05391" w14:textId="77777777" w:rsidR="00B22E85" w:rsidRDefault="00B22E85" w:rsidP="00B22E85">
      <w:pPr>
        <w:pStyle w:val="ListParagraph"/>
        <w:numPr>
          <w:ilvl w:val="2"/>
          <w:numId w:val="16"/>
        </w:numPr>
        <w:tabs>
          <w:tab w:val="left" w:pos="1080"/>
        </w:tabs>
        <w:ind w:left="1080"/>
        <w:rPr>
          <w:rFonts w:cs="Arial"/>
          <w:bCs/>
          <w:szCs w:val="20"/>
        </w:rPr>
      </w:pPr>
      <w:r>
        <w:rPr>
          <w:rFonts w:cs="Arial"/>
          <w:bCs/>
          <w:szCs w:val="20"/>
        </w:rPr>
        <w:t>Documented d</w:t>
      </w:r>
      <w:r w:rsidRPr="009E0BB2">
        <w:rPr>
          <w:rFonts w:cs="Arial"/>
          <w:bCs/>
          <w:szCs w:val="20"/>
        </w:rPr>
        <w:t>iagnosis of primary hemophagocytic lymphohistiocytosis based on a molecular diagnosis</w:t>
      </w:r>
      <w:r>
        <w:rPr>
          <w:rFonts w:cs="Arial"/>
          <w:bCs/>
          <w:szCs w:val="20"/>
        </w:rPr>
        <w:t>;</w:t>
      </w:r>
    </w:p>
    <w:p w14:paraId="7282C5C7" w14:textId="77777777" w:rsidR="00B22E85" w:rsidRPr="00B22E85" w:rsidRDefault="00B22E85" w:rsidP="00B22E85">
      <w:pPr>
        <w:pStyle w:val="ListParagraph"/>
        <w:numPr>
          <w:ilvl w:val="2"/>
          <w:numId w:val="16"/>
        </w:numPr>
        <w:tabs>
          <w:tab w:val="left" w:pos="1080"/>
        </w:tabs>
        <w:ind w:left="1080"/>
        <w:rPr>
          <w:rFonts w:cs="Arial"/>
          <w:b/>
          <w:color w:val="1F497D" w:themeColor="text2"/>
          <w:szCs w:val="20"/>
        </w:rPr>
      </w:pPr>
      <w:r w:rsidRPr="00B22E85">
        <w:rPr>
          <w:rFonts w:cs="Arial"/>
          <w:b/>
          <w:color w:val="1F497D" w:themeColor="text2"/>
          <w:szCs w:val="20"/>
        </w:rPr>
        <w:lastRenderedPageBreak/>
        <w:t xml:space="preserve">Documented diagnosis of macrophage activation syndrome with known or suspected systemic juvenile idiopathic arthritis; </w:t>
      </w:r>
    </w:p>
    <w:p w14:paraId="1DEA56E9" w14:textId="77777777" w:rsidR="00B22E85" w:rsidRDefault="00B22E85" w:rsidP="00B22E85">
      <w:pPr>
        <w:pStyle w:val="ListParagraph"/>
        <w:numPr>
          <w:ilvl w:val="2"/>
          <w:numId w:val="16"/>
        </w:numPr>
        <w:tabs>
          <w:tab w:val="left" w:pos="1080"/>
        </w:tabs>
        <w:ind w:left="1080"/>
        <w:rPr>
          <w:rFonts w:cs="Arial"/>
          <w:bCs/>
          <w:szCs w:val="20"/>
        </w:rPr>
      </w:pPr>
      <w:r>
        <w:rPr>
          <w:rFonts w:cs="Arial"/>
          <w:bCs/>
          <w:szCs w:val="20"/>
        </w:rPr>
        <w:t xml:space="preserve">Documented </w:t>
      </w:r>
      <w:r w:rsidRPr="009E0BB2">
        <w:rPr>
          <w:rFonts w:cs="Arial"/>
          <w:bCs/>
          <w:szCs w:val="20"/>
        </w:rPr>
        <w:t>family history consistent with primary HLH</w:t>
      </w:r>
      <w:r>
        <w:rPr>
          <w:rFonts w:cs="Arial"/>
          <w:bCs/>
          <w:szCs w:val="20"/>
        </w:rPr>
        <w:t xml:space="preserve">; </w:t>
      </w:r>
      <w:r w:rsidRPr="00D609BE">
        <w:rPr>
          <w:rFonts w:cs="Arial"/>
          <w:b/>
          <w:szCs w:val="20"/>
        </w:rPr>
        <w:t>OR</w:t>
      </w:r>
    </w:p>
    <w:p w14:paraId="4214E69C" w14:textId="77777777" w:rsidR="00B22E85" w:rsidRPr="00EA07C7" w:rsidRDefault="00B22E85" w:rsidP="00B22E85">
      <w:pPr>
        <w:pStyle w:val="ListParagraph"/>
        <w:numPr>
          <w:ilvl w:val="2"/>
          <w:numId w:val="16"/>
        </w:numPr>
        <w:tabs>
          <w:tab w:val="left" w:pos="1080"/>
        </w:tabs>
        <w:ind w:left="1080"/>
        <w:rPr>
          <w:rFonts w:cs="Arial"/>
          <w:bCs/>
          <w:szCs w:val="20"/>
        </w:rPr>
      </w:pPr>
      <w:r>
        <w:rPr>
          <w:rFonts w:cs="Arial"/>
          <w:bCs/>
          <w:szCs w:val="20"/>
        </w:rPr>
        <w:t>I</w:t>
      </w:r>
      <w:r w:rsidRPr="00EA07C7">
        <w:rPr>
          <w:rFonts w:cs="Arial"/>
          <w:bCs/>
          <w:szCs w:val="20"/>
        </w:rPr>
        <w:t xml:space="preserve">f </w:t>
      </w:r>
      <w:proofErr w:type="gramStart"/>
      <w:r w:rsidRPr="00EA07C7">
        <w:rPr>
          <w:rFonts w:cs="Arial"/>
          <w:bCs/>
          <w:szCs w:val="20"/>
        </w:rPr>
        <w:t>no</w:t>
      </w:r>
      <w:proofErr w:type="gramEnd"/>
      <w:r w:rsidRPr="00EA07C7">
        <w:rPr>
          <w:rFonts w:cs="Arial"/>
          <w:bCs/>
          <w:szCs w:val="20"/>
        </w:rPr>
        <w:t xml:space="preserve"> </w:t>
      </w:r>
      <w:r>
        <w:rPr>
          <w:rFonts w:cs="Arial"/>
          <w:bCs/>
          <w:szCs w:val="20"/>
        </w:rPr>
        <w:t xml:space="preserve">documented </w:t>
      </w:r>
      <w:r w:rsidRPr="00EA07C7">
        <w:rPr>
          <w:rFonts w:cs="Arial"/>
          <w:bCs/>
          <w:szCs w:val="20"/>
        </w:rPr>
        <w:t>diagnosis</w:t>
      </w:r>
      <w:r>
        <w:rPr>
          <w:rFonts w:cs="Arial"/>
          <w:bCs/>
          <w:szCs w:val="20"/>
        </w:rPr>
        <w:t>,</w:t>
      </w:r>
      <w:r w:rsidRPr="00EA07C7">
        <w:rPr>
          <w:rFonts w:cs="Arial"/>
          <w:bCs/>
          <w:szCs w:val="20"/>
        </w:rPr>
        <w:t xml:space="preserve"> then 5 out of the following 8 criteria fulfilled:</w:t>
      </w:r>
    </w:p>
    <w:p w14:paraId="36DFD0D4" w14:textId="77777777" w:rsidR="00B22E85" w:rsidRPr="00EA07C7" w:rsidRDefault="00B22E85" w:rsidP="00B22E85">
      <w:pPr>
        <w:pStyle w:val="ListParagraph"/>
        <w:numPr>
          <w:ilvl w:val="3"/>
          <w:numId w:val="16"/>
        </w:numPr>
        <w:ind w:left="1440"/>
        <w:rPr>
          <w:rFonts w:cs="Arial"/>
          <w:bCs/>
          <w:szCs w:val="20"/>
        </w:rPr>
      </w:pPr>
      <w:r w:rsidRPr="00EA07C7">
        <w:rPr>
          <w:rFonts w:cs="Arial"/>
          <w:bCs/>
          <w:szCs w:val="20"/>
        </w:rPr>
        <w:t>Fever</w:t>
      </w:r>
      <w:r>
        <w:rPr>
          <w:rFonts w:cs="Arial"/>
          <w:bCs/>
          <w:szCs w:val="20"/>
        </w:rPr>
        <w:t>;</w:t>
      </w:r>
    </w:p>
    <w:p w14:paraId="435B2CE8" w14:textId="77777777" w:rsidR="00B22E85" w:rsidRPr="00EA07C7" w:rsidRDefault="00B22E85" w:rsidP="00B22E85">
      <w:pPr>
        <w:pStyle w:val="ListParagraph"/>
        <w:numPr>
          <w:ilvl w:val="3"/>
          <w:numId w:val="16"/>
        </w:numPr>
        <w:ind w:left="1440"/>
        <w:rPr>
          <w:rFonts w:cs="Arial"/>
          <w:bCs/>
          <w:szCs w:val="20"/>
        </w:rPr>
      </w:pPr>
      <w:r w:rsidRPr="00EA07C7">
        <w:rPr>
          <w:rFonts w:cs="Arial"/>
          <w:bCs/>
          <w:szCs w:val="20"/>
        </w:rPr>
        <w:t>Splenomegaly</w:t>
      </w:r>
      <w:r>
        <w:rPr>
          <w:rFonts w:cs="Arial"/>
          <w:bCs/>
          <w:szCs w:val="20"/>
        </w:rPr>
        <w:t>;</w:t>
      </w:r>
    </w:p>
    <w:p w14:paraId="1BD69C98" w14:textId="77777777" w:rsidR="00B22E85" w:rsidRPr="00EA07C7" w:rsidRDefault="00B22E85" w:rsidP="00B22E85">
      <w:pPr>
        <w:pStyle w:val="ListParagraph"/>
        <w:numPr>
          <w:ilvl w:val="3"/>
          <w:numId w:val="16"/>
        </w:numPr>
        <w:ind w:left="1440"/>
        <w:rPr>
          <w:rFonts w:cs="Arial"/>
          <w:bCs/>
          <w:szCs w:val="20"/>
        </w:rPr>
      </w:pPr>
      <w:r w:rsidRPr="00EA07C7">
        <w:rPr>
          <w:rFonts w:cs="Arial"/>
          <w:bCs/>
          <w:szCs w:val="20"/>
        </w:rPr>
        <w:t>Cytopenias affecting 2 of 3 lineages in the peripheral blood: hemoglobin &lt; 9, platelets &lt; 100 x 10</w:t>
      </w:r>
      <w:r w:rsidRPr="00497832">
        <w:rPr>
          <w:rFonts w:cs="Arial"/>
          <w:bCs/>
          <w:szCs w:val="20"/>
          <w:vertAlign w:val="superscript"/>
        </w:rPr>
        <w:t>9</w:t>
      </w:r>
      <w:r w:rsidRPr="00EA07C7">
        <w:rPr>
          <w:rFonts w:cs="Arial"/>
          <w:bCs/>
          <w:szCs w:val="20"/>
        </w:rPr>
        <w:t>/L, neutrophils &lt;1 x 10</w:t>
      </w:r>
      <w:r w:rsidRPr="00497832">
        <w:rPr>
          <w:rFonts w:cs="Arial"/>
          <w:bCs/>
          <w:szCs w:val="20"/>
          <w:vertAlign w:val="superscript"/>
        </w:rPr>
        <w:t>9</w:t>
      </w:r>
      <w:r w:rsidRPr="00EA07C7">
        <w:rPr>
          <w:rFonts w:cs="Arial"/>
          <w:bCs/>
          <w:szCs w:val="20"/>
        </w:rPr>
        <w:t>/L</w:t>
      </w:r>
      <w:r>
        <w:rPr>
          <w:rFonts w:cs="Arial"/>
          <w:bCs/>
          <w:szCs w:val="20"/>
        </w:rPr>
        <w:t>;</w:t>
      </w:r>
    </w:p>
    <w:p w14:paraId="134244AB" w14:textId="77777777" w:rsidR="00B22E85" w:rsidRPr="00EA07C7" w:rsidRDefault="00B22E85" w:rsidP="00B22E85">
      <w:pPr>
        <w:pStyle w:val="ListParagraph"/>
        <w:numPr>
          <w:ilvl w:val="3"/>
          <w:numId w:val="16"/>
        </w:numPr>
        <w:ind w:left="1440"/>
        <w:rPr>
          <w:rFonts w:cs="Arial"/>
          <w:bCs/>
          <w:szCs w:val="20"/>
        </w:rPr>
      </w:pPr>
      <w:r w:rsidRPr="00EA07C7">
        <w:rPr>
          <w:rFonts w:cs="Arial"/>
          <w:bCs/>
          <w:szCs w:val="20"/>
        </w:rPr>
        <w:t>Hypertriglyceridemia (fasting triglycerides &gt; 3 mmol/L or ≥ 265 mg/dL) and/or hypofibrinogenemia (≤1.5 g/L)</w:t>
      </w:r>
      <w:r>
        <w:rPr>
          <w:rFonts w:cs="Arial"/>
          <w:bCs/>
          <w:szCs w:val="20"/>
        </w:rPr>
        <w:t>;</w:t>
      </w:r>
    </w:p>
    <w:p w14:paraId="7051189A" w14:textId="77777777" w:rsidR="00B22E85" w:rsidRPr="00EA07C7" w:rsidRDefault="00B22E85" w:rsidP="00B22E85">
      <w:pPr>
        <w:pStyle w:val="ListParagraph"/>
        <w:numPr>
          <w:ilvl w:val="3"/>
          <w:numId w:val="16"/>
        </w:numPr>
        <w:ind w:left="1440"/>
        <w:rPr>
          <w:rFonts w:cs="Arial"/>
          <w:bCs/>
          <w:szCs w:val="20"/>
        </w:rPr>
      </w:pPr>
      <w:r w:rsidRPr="00EA07C7">
        <w:rPr>
          <w:rFonts w:cs="Arial"/>
          <w:bCs/>
          <w:szCs w:val="20"/>
        </w:rPr>
        <w:t>Hemophagocytosis in bone marrow, spleen, or lymph nodes with no evidence of malignancy</w:t>
      </w:r>
      <w:r>
        <w:rPr>
          <w:rFonts w:cs="Arial"/>
          <w:bCs/>
          <w:szCs w:val="20"/>
        </w:rPr>
        <w:t>;</w:t>
      </w:r>
    </w:p>
    <w:p w14:paraId="7229CCE5" w14:textId="77777777" w:rsidR="00B22E85" w:rsidRPr="00EA07C7" w:rsidRDefault="00B22E85" w:rsidP="00B22E85">
      <w:pPr>
        <w:pStyle w:val="ListParagraph"/>
        <w:numPr>
          <w:ilvl w:val="3"/>
          <w:numId w:val="16"/>
        </w:numPr>
        <w:ind w:left="1440"/>
        <w:rPr>
          <w:rFonts w:cs="Arial"/>
          <w:bCs/>
          <w:szCs w:val="20"/>
        </w:rPr>
      </w:pPr>
      <w:r w:rsidRPr="00EA07C7">
        <w:rPr>
          <w:rFonts w:cs="Arial"/>
          <w:bCs/>
          <w:szCs w:val="20"/>
        </w:rPr>
        <w:t>Low or absent NK-cell activity</w:t>
      </w:r>
      <w:r>
        <w:rPr>
          <w:rFonts w:cs="Arial"/>
          <w:bCs/>
          <w:szCs w:val="20"/>
        </w:rPr>
        <w:t>;</w:t>
      </w:r>
    </w:p>
    <w:p w14:paraId="48A65E42" w14:textId="77777777" w:rsidR="00B22E85" w:rsidRPr="00EA07C7" w:rsidRDefault="00B22E85" w:rsidP="00B22E85">
      <w:pPr>
        <w:pStyle w:val="ListParagraph"/>
        <w:numPr>
          <w:ilvl w:val="3"/>
          <w:numId w:val="16"/>
        </w:numPr>
        <w:ind w:left="1440"/>
        <w:rPr>
          <w:rFonts w:cs="Arial"/>
          <w:bCs/>
          <w:szCs w:val="20"/>
        </w:rPr>
      </w:pPr>
      <w:r w:rsidRPr="00EA07C7">
        <w:rPr>
          <w:rFonts w:cs="Arial"/>
          <w:bCs/>
          <w:szCs w:val="20"/>
        </w:rPr>
        <w:t>Ferritin ≥ 500 mcg/L</w:t>
      </w:r>
      <w:r>
        <w:rPr>
          <w:rFonts w:cs="Arial"/>
          <w:bCs/>
          <w:szCs w:val="20"/>
        </w:rPr>
        <w:t xml:space="preserve">; </w:t>
      </w:r>
      <w:r w:rsidRPr="00D609BE">
        <w:rPr>
          <w:rFonts w:cs="Arial"/>
          <w:b/>
          <w:szCs w:val="20"/>
        </w:rPr>
        <w:t>OR</w:t>
      </w:r>
    </w:p>
    <w:p w14:paraId="317AE790" w14:textId="77777777" w:rsidR="00B22E85" w:rsidRPr="00EA07C7" w:rsidRDefault="00B22E85" w:rsidP="00B22E85">
      <w:pPr>
        <w:pStyle w:val="ListParagraph"/>
        <w:numPr>
          <w:ilvl w:val="3"/>
          <w:numId w:val="16"/>
        </w:numPr>
        <w:ind w:left="1440"/>
        <w:rPr>
          <w:rFonts w:cs="Arial"/>
          <w:bCs/>
          <w:szCs w:val="20"/>
        </w:rPr>
      </w:pPr>
      <w:r w:rsidRPr="00EA07C7">
        <w:rPr>
          <w:rFonts w:cs="Arial"/>
          <w:bCs/>
          <w:szCs w:val="20"/>
        </w:rPr>
        <w:t>Soluble CD 25 ≥ 2400 U/m</w:t>
      </w:r>
      <w:r>
        <w:rPr>
          <w:rFonts w:cs="Arial"/>
          <w:bCs/>
          <w:szCs w:val="20"/>
        </w:rPr>
        <w:t>L;</w:t>
      </w:r>
    </w:p>
    <w:p w14:paraId="53125421" w14:textId="75FFA3FB" w:rsidR="00B22E85" w:rsidRPr="009E0BB2" w:rsidRDefault="00B22E85" w:rsidP="00B22E85">
      <w:pPr>
        <w:pStyle w:val="NoSpacing"/>
        <w:numPr>
          <w:ilvl w:val="1"/>
          <w:numId w:val="16"/>
        </w:numPr>
        <w:ind w:left="720"/>
        <w:rPr>
          <w:sz w:val="20"/>
          <w:szCs w:val="20"/>
        </w:rPr>
      </w:pPr>
      <w:r>
        <w:rPr>
          <w:sz w:val="20"/>
          <w:szCs w:val="20"/>
        </w:rPr>
        <w:t>Documentation that Gamifant is a</w:t>
      </w:r>
      <w:r w:rsidRPr="009E0BB2">
        <w:rPr>
          <w:sz w:val="20"/>
          <w:szCs w:val="20"/>
        </w:rPr>
        <w:t xml:space="preserve">dministered concomitantly with </w:t>
      </w:r>
      <w:r w:rsidRPr="00B22E85">
        <w:rPr>
          <w:b/>
          <w:bCs/>
          <w:strike/>
          <w:color w:val="1F497D" w:themeColor="text2"/>
          <w:sz w:val="20"/>
          <w:szCs w:val="20"/>
        </w:rPr>
        <w:t>dexamethasone</w:t>
      </w:r>
      <w:r w:rsidR="00EC1F62">
        <w:rPr>
          <w:b/>
          <w:bCs/>
          <w:strike/>
          <w:color w:val="1F497D" w:themeColor="text2"/>
          <w:sz w:val="20"/>
          <w:szCs w:val="20"/>
        </w:rPr>
        <w:t xml:space="preserve"> </w:t>
      </w:r>
      <w:r w:rsidRPr="00B22E85">
        <w:rPr>
          <w:b/>
          <w:bCs/>
          <w:color w:val="1F497D" w:themeColor="text2"/>
          <w:sz w:val="20"/>
          <w:szCs w:val="20"/>
        </w:rPr>
        <w:t>glucocorticoids</w:t>
      </w:r>
      <w:r>
        <w:rPr>
          <w:sz w:val="20"/>
          <w:szCs w:val="20"/>
        </w:rPr>
        <w:t>;</w:t>
      </w:r>
    </w:p>
    <w:p w14:paraId="01326782" w14:textId="77777777" w:rsidR="00B22E85" w:rsidRPr="004E3570" w:rsidRDefault="00B22E85" w:rsidP="00B22E85">
      <w:pPr>
        <w:pStyle w:val="ListParagraph"/>
        <w:numPr>
          <w:ilvl w:val="1"/>
          <w:numId w:val="16"/>
        </w:numPr>
        <w:ind w:left="720"/>
        <w:rPr>
          <w:rFonts w:cs="Arial"/>
          <w:bCs/>
          <w:szCs w:val="20"/>
        </w:rPr>
      </w:pPr>
      <w:r w:rsidRPr="004E3570">
        <w:rPr>
          <w:rFonts w:cs="Arial"/>
          <w:bCs/>
          <w:szCs w:val="20"/>
        </w:rPr>
        <w:t xml:space="preserve">Refractory, recurrent, or progressive disease with conventional HLH therapy </w:t>
      </w:r>
      <w:r w:rsidRPr="00C110B5">
        <w:rPr>
          <w:rFonts w:cs="Arial"/>
          <w:szCs w:val="20"/>
        </w:rPr>
        <w:t>or</w:t>
      </w:r>
      <w:r w:rsidRPr="004E3570">
        <w:rPr>
          <w:rFonts w:cs="Arial"/>
          <w:bCs/>
          <w:szCs w:val="20"/>
        </w:rPr>
        <w:t xml:space="preserve"> intolerance to conventional HLH therapy</w:t>
      </w:r>
      <w:r>
        <w:rPr>
          <w:rFonts w:cs="Arial"/>
          <w:bCs/>
          <w:szCs w:val="20"/>
        </w:rPr>
        <w:t>;</w:t>
      </w:r>
    </w:p>
    <w:p w14:paraId="05B9A0D3" w14:textId="77777777" w:rsidR="00B22E85" w:rsidRPr="009E0BB2" w:rsidRDefault="00B22E85" w:rsidP="00B22E85">
      <w:pPr>
        <w:pStyle w:val="ListParagraph"/>
        <w:numPr>
          <w:ilvl w:val="1"/>
          <w:numId w:val="16"/>
        </w:numPr>
        <w:ind w:left="720"/>
        <w:rPr>
          <w:rFonts w:cs="Arial"/>
          <w:bCs/>
          <w:szCs w:val="20"/>
        </w:rPr>
      </w:pPr>
      <w:r w:rsidRPr="009E0BB2">
        <w:rPr>
          <w:rFonts w:cs="Arial"/>
          <w:bCs/>
          <w:szCs w:val="20"/>
        </w:rPr>
        <w:t xml:space="preserve">Participant does not have active infections caused by specific pathogens favored by </w:t>
      </w:r>
      <w:r w:rsidRPr="00EF703F">
        <w:rPr>
          <w:rFonts w:eastAsia="Arial" w:cs="Arial"/>
          <w:szCs w:val="20"/>
        </w:rPr>
        <w:t xml:space="preserve">interferon gamma </w:t>
      </w:r>
      <w:r w:rsidRPr="009E0BB2">
        <w:rPr>
          <w:rFonts w:cs="Arial"/>
          <w:bCs/>
          <w:szCs w:val="20"/>
        </w:rPr>
        <w:t>neutralization (e.g., mycobacteria and Histoplasma Capsulatum)</w:t>
      </w:r>
      <w:r>
        <w:rPr>
          <w:rFonts w:cs="Arial"/>
          <w:bCs/>
          <w:szCs w:val="20"/>
        </w:rPr>
        <w:t xml:space="preserve">; </w:t>
      </w:r>
      <w:r w:rsidRPr="00C110B5">
        <w:rPr>
          <w:rFonts w:cs="Arial"/>
          <w:b/>
          <w:szCs w:val="20"/>
        </w:rPr>
        <w:t>AND</w:t>
      </w:r>
    </w:p>
    <w:p w14:paraId="3D5B73C7" w14:textId="77777777" w:rsidR="00B22E85" w:rsidRPr="009E0BB2" w:rsidRDefault="00B22E85" w:rsidP="00B22E85">
      <w:pPr>
        <w:pStyle w:val="ListParagraph"/>
        <w:numPr>
          <w:ilvl w:val="1"/>
          <w:numId w:val="16"/>
        </w:numPr>
        <w:ind w:left="720"/>
        <w:rPr>
          <w:rFonts w:cs="Arial"/>
          <w:bCs/>
          <w:szCs w:val="20"/>
        </w:rPr>
      </w:pPr>
      <w:r w:rsidRPr="009E0BB2">
        <w:rPr>
          <w:rFonts w:cs="Arial"/>
          <w:bCs/>
          <w:szCs w:val="20"/>
        </w:rPr>
        <w:t>Demonstration of need required for dosages ≥ 6</w:t>
      </w:r>
      <w:r>
        <w:rPr>
          <w:rFonts w:cs="Arial"/>
          <w:bCs/>
          <w:szCs w:val="20"/>
        </w:rPr>
        <w:t xml:space="preserve"> </w:t>
      </w:r>
      <w:r w:rsidRPr="009E0BB2">
        <w:rPr>
          <w:rFonts w:cs="Arial"/>
          <w:bCs/>
          <w:szCs w:val="20"/>
        </w:rPr>
        <w:t>mg/kg per assessment by provider and at least one of the following:</w:t>
      </w:r>
    </w:p>
    <w:p w14:paraId="7875764F" w14:textId="77777777" w:rsidR="00B22E85" w:rsidRPr="009E0BB2" w:rsidRDefault="00B22E85" w:rsidP="00B22E85">
      <w:pPr>
        <w:pStyle w:val="ListParagraph"/>
        <w:numPr>
          <w:ilvl w:val="2"/>
          <w:numId w:val="16"/>
        </w:numPr>
        <w:ind w:left="1080"/>
        <w:rPr>
          <w:rFonts w:cs="Arial"/>
          <w:bCs/>
          <w:szCs w:val="20"/>
        </w:rPr>
      </w:pPr>
      <w:r w:rsidRPr="009E0BB2">
        <w:rPr>
          <w:rFonts w:cs="Arial"/>
          <w:bCs/>
          <w:szCs w:val="20"/>
        </w:rPr>
        <w:t>Persistent or recurrent fever</w:t>
      </w:r>
      <w:r>
        <w:rPr>
          <w:rFonts w:cs="Arial"/>
          <w:bCs/>
          <w:szCs w:val="20"/>
        </w:rPr>
        <w:t>;</w:t>
      </w:r>
    </w:p>
    <w:p w14:paraId="4D48AD8F" w14:textId="77777777" w:rsidR="00B22E85" w:rsidRPr="009E0BB2" w:rsidRDefault="00B22E85" w:rsidP="00B22E85">
      <w:pPr>
        <w:pStyle w:val="ListParagraph"/>
        <w:numPr>
          <w:ilvl w:val="2"/>
          <w:numId w:val="16"/>
        </w:numPr>
        <w:ind w:left="1080"/>
        <w:rPr>
          <w:rFonts w:cs="Arial"/>
          <w:bCs/>
          <w:szCs w:val="20"/>
        </w:rPr>
      </w:pPr>
      <w:r w:rsidRPr="009E0BB2">
        <w:rPr>
          <w:rFonts w:cs="Arial"/>
          <w:bCs/>
          <w:szCs w:val="20"/>
        </w:rPr>
        <w:t>Platelet count</w:t>
      </w:r>
      <w:r>
        <w:rPr>
          <w:rFonts w:cs="Arial"/>
          <w:bCs/>
          <w:szCs w:val="20"/>
        </w:rPr>
        <w:t xml:space="preserve"> – must meet one of the following:</w:t>
      </w:r>
    </w:p>
    <w:p w14:paraId="78372056" w14:textId="77777777" w:rsidR="00B22E85" w:rsidRPr="009E0BB2" w:rsidRDefault="00B22E85" w:rsidP="00B22E85">
      <w:pPr>
        <w:pStyle w:val="ListParagraph"/>
        <w:numPr>
          <w:ilvl w:val="3"/>
          <w:numId w:val="16"/>
        </w:numPr>
        <w:ind w:left="1440"/>
        <w:rPr>
          <w:rFonts w:cs="Arial"/>
          <w:bCs/>
          <w:szCs w:val="20"/>
        </w:rPr>
      </w:pPr>
      <w:r>
        <w:rPr>
          <w:rFonts w:cs="Arial"/>
          <w:szCs w:val="20"/>
        </w:rPr>
        <w:t>b</w:t>
      </w:r>
      <w:r w:rsidRPr="009E0BB2">
        <w:rPr>
          <w:rFonts w:cs="Arial"/>
          <w:szCs w:val="20"/>
        </w:rPr>
        <w:t>aseline &lt; 50,000/mm</w:t>
      </w:r>
      <w:r w:rsidRPr="00D30F70">
        <w:rPr>
          <w:rFonts w:cs="Arial"/>
          <w:szCs w:val="20"/>
          <w:vertAlign w:val="superscript"/>
        </w:rPr>
        <w:t>3</w:t>
      </w:r>
      <w:r w:rsidRPr="009E0BB2">
        <w:rPr>
          <w:rFonts w:cs="Arial"/>
          <w:szCs w:val="20"/>
        </w:rPr>
        <w:t xml:space="preserve"> and no improvement to &gt;50,000/mm</w:t>
      </w:r>
      <w:r w:rsidRPr="009D555F">
        <w:rPr>
          <w:rFonts w:cs="Arial"/>
          <w:szCs w:val="20"/>
          <w:vertAlign w:val="superscript"/>
        </w:rPr>
        <w:t>3</w:t>
      </w:r>
      <w:r>
        <w:rPr>
          <w:rFonts w:cs="Arial"/>
          <w:szCs w:val="20"/>
        </w:rPr>
        <w:t>;</w:t>
      </w:r>
    </w:p>
    <w:p w14:paraId="75E077D4" w14:textId="77777777" w:rsidR="00B22E85" w:rsidRPr="009E0BB2" w:rsidRDefault="00B22E85" w:rsidP="00B22E85">
      <w:pPr>
        <w:pStyle w:val="ListParagraph"/>
        <w:numPr>
          <w:ilvl w:val="3"/>
          <w:numId w:val="16"/>
        </w:numPr>
        <w:ind w:left="1440"/>
        <w:rPr>
          <w:rFonts w:cs="Arial"/>
          <w:bCs/>
          <w:szCs w:val="20"/>
        </w:rPr>
      </w:pPr>
      <w:r>
        <w:rPr>
          <w:rFonts w:cs="Arial"/>
          <w:szCs w:val="20"/>
        </w:rPr>
        <w:t>b</w:t>
      </w:r>
      <w:r w:rsidRPr="009E0BB2">
        <w:rPr>
          <w:rFonts w:cs="Arial"/>
          <w:szCs w:val="20"/>
        </w:rPr>
        <w:t>aseline &gt; 50,000/mm</w:t>
      </w:r>
      <w:r w:rsidRPr="009168A2">
        <w:rPr>
          <w:rFonts w:cs="Arial"/>
          <w:szCs w:val="20"/>
          <w:vertAlign w:val="superscript"/>
        </w:rPr>
        <w:t>3</w:t>
      </w:r>
      <w:r w:rsidRPr="009E0BB2">
        <w:rPr>
          <w:rFonts w:cs="Arial"/>
          <w:szCs w:val="20"/>
        </w:rPr>
        <w:t xml:space="preserve"> and less than 30% improvement</w:t>
      </w:r>
      <w:r>
        <w:rPr>
          <w:rFonts w:cs="Arial"/>
          <w:szCs w:val="20"/>
        </w:rPr>
        <w:t xml:space="preserve">; </w:t>
      </w:r>
      <w:r w:rsidRPr="00D609BE">
        <w:rPr>
          <w:rFonts w:cs="Arial"/>
          <w:b/>
          <w:bCs/>
          <w:szCs w:val="20"/>
        </w:rPr>
        <w:t>OR</w:t>
      </w:r>
    </w:p>
    <w:p w14:paraId="3F61F222" w14:textId="77777777" w:rsidR="00B22E85" w:rsidRPr="009E0BB2" w:rsidRDefault="00B22E85" w:rsidP="00B22E85">
      <w:pPr>
        <w:pStyle w:val="ListParagraph"/>
        <w:numPr>
          <w:ilvl w:val="3"/>
          <w:numId w:val="16"/>
        </w:numPr>
        <w:ind w:left="1440"/>
        <w:rPr>
          <w:rFonts w:cs="Arial"/>
          <w:bCs/>
          <w:szCs w:val="20"/>
        </w:rPr>
      </w:pPr>
      <w:r>
        <w:rPr>
          <w:rFonts w:cs="Arial"/>
          <w:szCs w:val="20"/>
        </w:rPr>
        <w:t>b</w:t>
      </w:r>
      <w:r w:rsidRPr="009E0BB2">
        <w:rPr>
          <w:rFonts w:cs="Arial"/>
          <w:szCs w:val="20"/>
        </w:rPr>
        <w:t>aseline &gt; 100,000/mm</w:t>
      </w:r>
      <w:r w:rsidRPr="009168A2">
        <w:rPr>
          <w:rFonts w:cs="Arial"/>
          <w:szCs w:val="20"/>
          <w:vertAlign w:val="superscript"/>
        </w:rPr>
        <w:t xml:space="preserve">3 </w:t>
      </w:r>
      <w:r w:rsidRPr="009E0BB2">
        <w:rPr>
          <w:rFonts w:cs="Arial"/>
          <w:szCs w:val="20"/>
        </w:rPr>
        <w:t>and decrease to &lt; 100,000/mm</w:t>
      </w:r>
      <w:r w:rsidRPr="009168A2">
        <w:rPr>
          <w:rFonts w:cs="Arial"/>
          <w:szCs w:val="20"/>
          <w:vertAlign w:val="superscript"/>
        </w:rPr>
        <w:t>3</w:t>
      </w:r>
      <w:r>
        <w:rPr>
          <w:rFonts w:cs="Arial"/>
          <w:szCs w:val="20"/>
        </w:rPr>
        <w:t>;</w:t>
      </w:r>
    </w:p>
    <w:p w14:paraId="2B92CE68" w14:textId="77777777" w:rsidR="00B22E85" w:rsidRPr="009E0BB2" w:rsidRDefault="00B22E85" w:rsidP="00B22E85">
      <w:pPr>
        <w:pStyle w:val="ListParagraph"/>
        <w:numPr>
          <w:ilvl w:val="2"/>
          <w:numId w:val="16"/>
        </w:numPr>
        <w:ind w:left="1080"/>
        <w:rPr>
          <w:rFonts w:cs="Arial"/>
          <w:bCs/>
          <w:szCs w:val="20"/>
        </w:rPr>
      </w:pPr>
      <w:r w:rsidRPr="009E0BB2">
        <w:rPr>
          <w:rFonts w:cs="Arial"/>
          <w:szCs w:val="20"/>
        </w:rPr>
        <w:t>Neutrophil count</w:t>
      </w:r>
      <w:r>
        <w:rPr>
          <w:rFonts w:cs="Arial"/>
          <w:szCs w:val="20"/>
        </w:rPr>
        <w:t xml:space="preserve"> – must meet one of the following:</w:t>
      </w:r>
    </w:p>
    <w:p w14:paraId="3A052D45" w14:textId="77777777" w:rsidR="00B22E85" w:rsidRPr="009E0BB2" w:rsidRDefault="00B22E85" w:rsidP="00B22E85">
      <w:pPr>
        <w:pStyle w:val="ListParagraph"/>
        <w:numPr>
          <w:ilvl w:val="3"/>
          <w:numId w:val="16"/>
        </w:numPr>
        <w:ind w:left="1440"/>
        <w:rPr>
          <w:rFonts w:cs="Arial"/>
          <w:bCs/>
          <w:szCs w:val="20"/>
        </w:rPr>
      </w:pPr>
      <w:r>
        <w:rPr>
          <w:rFonts w:cs="Arial"/>
          <w:szCs w:val="20"/>
        </w:rPr>
        <w:t>b</w:t>
      </w:r>
      <w:r w:rsidRPr="009E0BB2">
        <w:rPr>
          <w:rFonts w:cs="Arial"/>
          <w:szCs w:val="20"/>
        </w:rPr>
        <w:t>aseline &lt; 500/mm</w:t>
      </w:r>
      <w:r w:rsidRPr="009168A2">
        <w:rPr>
          <w:rFonts w:cs="Arial"/>
          <w:szCs w:val="20"/>
          <w:vertAlign w:val="superscript"/>
        </w:rPr>
        <w:t>3</w:t>
      </w:r>
      <w:r w:rsidRPr="009E0BB2">
        <w:rPr>
          <w:rFonts w:cs="Arial"/>
          <w:szCs w:val="20"/>
        </w:rPr>
        <w:t xml:space="preserve"> and no improvement to &gt; 500/mm</w:t>
      </w:r>
      <w:r w:rsidRPr="009168A2">
        <w:rPr>
          <w:rFonts w:cs="Arial"/>
          <w:szCs w:val="20"/>
          <w:vertAlign w:val="superscript"/>
        </w:rPr>
        <w:t>3</w:t>
      </w:r>
      <w:r>
        <w:rPr>
          <w:rFonts w:cs="Arial"/>
          <w:szCs w:val="20"/>
        </w:rPr>
        <w:t>;</w:t>
      </w:r>
    </w:p>
    <w:p w14:paraId="73A68076" w14:textId="77777777" w:rsidR="00B22E85" w:rsidRPr="009E0BB2" w:rsidRDefault="00B22E85" w:rsidP="00B22E85">
      <w:pPr>
        <w:pStyle w:val="ListParagraph"/>
        <w:numPr>
          <w:ilvl w:val="3"/>
          <w:numId w:val="16"/>
        </w:numPr>
        <w:ind w:left="1440"/>
        <w:rPr>
          <w:rFonts w:cs="Arial"/>
          <w:bCs/>
          <w:szCs w:val="20"/>
        </w:rPr>
      </w:pPr>
      <w:r w:rsidRPr="009E0BB2">
        <w:rPr>
          <w:rFonts w:cs="Arial"/>
          <w:szCs w:val="20"/>
        </w:rPr>
        <w:t xml:space="preserve">baseline &gt; 500 </w:t>
      </w:r>
      <w:r>
        <w:rPr>
          <w:rFonts w:cs="Arial"/>
          <w:szCs w:val="20"/>
        </w:rPr>
        <w:t xml:space="preserve">– </w:t>
      </w:r>
      <w:r w:rsidRPr="009E0BB2">
        <w:rPr>
          <w:rFonts w:cs="Arial"/>
          <w:szCs w:val="20"/>
        </w:rPr>
        <w:t>1000/mm</w:t>
      </w:r>
      <w:r w:rsidRPr="009168A2">
        <w:rPr>
          <w:rFonts w:cs="Arial"/>
          <w:szCs w:val="20"/>
          <w:vertAlign w:val="superscript"/>
        </w:rPr>
        <w:t>3</w:t>
      </w:r>
      <w:r w:rsidRPr="009E0BB2">
        <w:rPr>
          <w:rFonts w:cs="Arial"/>
          <w:szCs w:val="20"/>
        </w:rPr>
        <w:t xml:space="preserve"> and decrease to &lt; 500/mm</w:t>
      </w:r>
      <w:r w:rsidRPr="009168A2">
        <w:rPr>
          <w:rFonts w:cs="Arial"/>
          <w:szCs w:val="20"/>
          <w:vertAlign w:val="superscript"/>
        </w:rPr>
        <w:t>3</w:t>
      </w:r>
      <w:r>
        <w:rPr>
          <w:rFonts w:cs="Arial"/>
          <w:szCs w:val="20"/>
        </w:rPr>
        <w:t>;</w:t>
      </w:r>
      <w:r>
        <w:rPr>
          <w:rFonts w:cs="Arial"/>
          <w:bCs/>
          <w:szCs w:val="20"/>
        </w:rPr>
        <w:t xml:space="preserve"> </w:t>
      </w:r>
      <w:r w:rsidRPr="00D609BE">
        <w:rPr>
          <w:rFonts w:cs="Arial"/>
          <w:b/>
          <w:szCs w:val="20"/>
        </w:rPr>
        <w:t>OR</w:t>
      </w:r>
    </w:p>
    <w:p w14:paraId="559B2B3F" w14:textId="77777777" w:rsidR="00B22E85" w:rsidRPr="009E0BB2" w:rsidRDefault="00B22E85" w:rsidP="00B22E85">
      <w:pPr>
        <w:pStyle w:val="ListParagraph"/>
        <w:numPr>
          <w:ilvl w:val="3"/>
          <w:numId w:val="16"/>
        </w:numPr>
        <w:ind w:left="1440"/>
        <w:rPr>
          <w:rFonts w:cs="Arial"/>
          <w:bCs/>
          <w:szCs w:val="20"/>
        </w:rPr>
      </w:pPr>
      <w:r w:rsidRPr="009E0BB2">
        <w:rPr>
          <w:rFonts w:cs="Arial"/>
          <w:szCs w:val="20"/>
        </w:rPr>
        <w:t>baseline 1000</w:t>
      </w:r>
      <w:r>
        <w:rPr>
          <w:rFonts w:cs="Arial"/>
          <w:szCs w:val="20"/>
        </w:rPr>
        <w:t xml:space="preserve"> – </w:t>
      </w:r>
      <w:r w:rsidRPr="009E0BB2">
        <w:rPr>
          <w:rFonts w:cs="Arial"/>
          <w:szCs w:val="20"/>
        </w:rPr>
        <w:t>1500/mm</w:t>
      </w:r>
      <w:r w:rsidRPr="009168A2">
        <w:rPr>
          <w:rFonts w:cs="Arial"/>
          <w:szCs w:val="20"/>
          <w:vertAlign w:val="superscript"/>
        </w:rPr>
        <w:t>3</w:t>
      </w:r>
      <w:r w:rsidRPr="009E0BB2">
        <w:rPr>
          <w:rFonts w:cs="Arial"/>
          <w:szCs w:val="20"/>
        </w:rPr>
        <w:t xml:space="preserve"> and decrease to &lt; 1000/mm</w:t>
      </w:r>
      <w:r w:rsidRPr="009168A2">
        <w:rPr>
          <w:rFonts w:cs="Arial"/>
          <w:szCs w:val="20"/>
          <w:vertAlign w:val="superscript"/>
        </w:rPr>
        <w:t>3</w:t>
      </w:r>
      <w:r>
        <w:rPr>
          <w:rFonts w:cs="Arial"/>
          <w:szCs w:val="20"/>
        </w:rPr>
        <w:t>;</w:t>
      </w:r>
    </w:p>
    <w:p w14:paraId="3CD6FDCF" w14:textId="77777777" w:rsidR="00B22E85" w:rsidRPr="009E0BB2" w:rsidRDefault="00B22E85" w:rsidP="00B22E85">
      <w:pPr>
        <w:pStyle w:val="ListParagraph"/>
        <w:numPr>
          <w:ilvl w:val="2"/>
          <w:numId w:val="16"/>
        </w:numPr>
        <w:ind w:left="1080"/>
        <w:rPr>
          <w:rFonts w:cs="Arial"/>
          <w:bCs/>
          <w:szCs w:val="20"/>
        </w:rPr>
      </w:pPr>
      <w:r w:rsidRPr="009E0BB2">
        <w:rPr>
          <w:rFonts w:cs="Arial"/>
          <w:szCs w:val="20"/>
        </w:rPr>
        <w:t xml:space="preserve">Ferritin </w:t>
      </w:r>
      <w:r>
        <w:rPr>
          <w:rFonts w:cs="Arial"/>
          <w:szCs w:val="20"/>
        </w:rPr>
        <w:t>– must meet one of the following:</w:t>
      </w:r>
    </w:p>
    <w:p w14:paraId="1ED3B396" w14:textId="77777777" w:rsidR="00B22E85" w:rsidRPr="009E0BB2" w:rsidRDefault="00B22E85" w:rsidP="00B22E85">
      <w:pPr>
        <w:pStyle w:val="ListParagraph"/>
        <w:numPr>
          <w:ilvl w:val="3"/>
          <w:numId w:val="16"/>
        </w:numPr>
        <w:ind w:left="1440"/>
        <w:rPr>
          <w:rFonts w:cs="Arial"/>
          <w:bCs/>
          <w:szCs w:val="20"/>
        </w:rPr>
      </w:pPr>
      <w:r w:rsidRPr="009E0BB2">
        <w:rPr>
          <w:rFonts w:cs="Arial"/>
          <w:szCs w:val="20"/>
        </w:rPr>
        <w:t>baseline ≥ 3000 ng/mL and &lt; 20% decrease</w:t>
      </w:r>
      <w:r>
        <w:rPr>
          <w:rFonts w:cs="Arial"/>
          <w:szCs w:val="20"/>
        </w:rPr>
        <w:t xml:space="preserve">; </w:t>
      </w:r>
      <w:r w:rsidRPr="00D609BE">
        <w:rPr>
          <w:rFonts w:cs="Arial"/>
          <w:b/>
          <w:bCs/>
          <w:szCs w:val="20"/>
        </w:rPr>
        <w:t>OR</w:t>
      </w:r>
    </w:p>
    <w:p w14:paraId="3A9D3C9C" w14:textId="77777777" w:rsidR="00B22E85" w:rsidRPr="009E0BB2" w:rsidRDefault="00B22E85" w:rsidP="00B22E85">
      <w:pPr>
        <w:pStyle w:val="ListParagraph"/>
        <w:numPr>
          <w:ilvl w:val="3"/>
          <w:numId w:val="16"/>
        </w:numPr>
        <w:ind w:left="1440"/>
        <w:rPr>
          <w:rFonts w:cs="Arial"/>
          <w:bCs/>
          <w:szCs w:val="20"/>
        </w:rPr>
      </w:pPr>
      <w:r w:rsidRPr="009E0BB2">
        <w:rPr>
          <w:rFonts w:cs="Arial"/>
          <w:szCs w:val="20"/>
        </w:rPr>
        <w:t>baseline &lt; 3000 ng/mL and any increase to &gt; 3000 ng/mL</w:t>
      </w:r>
      <w:r>
        <w:rPr>
          <w:rFonts w:cs="Arial"/>
          <w:szCs w:val="20"/>
        </w:rPr>
        <w:t>;</w:t>
      </w:r>
    </w:p>
    <w:p w14:paraId="3D2B1293" w14:textId="77777777" w:rsidR="00B22E85" w:rsidRPr="009E0BB2" w:rsidRDefault="00B22E85" w:rsidP="00B22E85">
      <w:pPr>
        <w:pStyle w:val="ListParagraph"/>
        <w:numPr>
          <w:ilvl w:val="2"/>
          <w:numId w:val="16"/>
        </w:numPr>
        <w:ind w:left="1080"/>
        <w:rPr>
          <w:rFonts w:cs="Arial"/>
          <w:bCs/>
          <w:szCs w:val="20"/>
        </w:rPr>
      </w:pPr>
      <w:r w:rsidRPr="009E0BB2">
        <w:rPr>
          <w:rFonts w:cs="Arial"/>
          <w:szCs w:val="20"/>
        </w:rPr>
        <w:t>Worsening splenomegaly</w:t>
      </w:r>
      <w:r>
        <w:rPr>
          <w:rFonts w:cs="Arial"/>
          <w:szCs w:val="20"/>
        </w:rPr>
        <w:t xml:space="preserve">; </w:t>
      </w:r>
      <w:r w:rsidRPr="00D609BE">
        <w:rPr>
          <w:rFonts w:cs="Arial"/>
          <w:b/>
          <w:bCs/>
          <w:szCs w:val="20"/>
        </w:rPr>
        <w:t>OR</w:t>
      </w:r>
    </w:p>
    <w:p w14:paraId="38746C71" w14:textId="77777777" w:rsidR="00B22E85" w:rsidRPr="009E0BB2" w:rsidRDefault="00B22E85" w:rsidP="00B22E85">
      <w:pPr>
        <w:pStyle w:val="ListParagraph"/>
        <w:numPr>
          <w:ilvl w:val="2"/>
          <w:numId w:val="16"/>
        </w:numPr>
        <w:ind w:left="1080"/>
        <w:rPr>
          <w:rFonts w:cs="Arial"/>
          <w:bCs/>
          <w:szCs w:val="20"/>
        </w:rPr>
      </w:pPr>
      <w:r w:rsidRPr="009E0BB2">
        <w:rPr>
          <w:rFonts w:cs="Arial"/>
          <w:szCs w:val="20"/>
        </w:rPr>
        <w:t xml:space="preserve">Coagulopathy </w:t>
      </w:r>
      <w:r>
        <w:rPr>
          <w:rFonts w:cs="Arial"/>
          <w:szCs w:val="20"/>
        </w:rPr>
        <w:t xml:space="preserve">– must meet </w:t>
      </w:r>
      <w:proofErr w:type="gramStart"/>
      <w:r>
        <w:rPr>
          <w:rFonts w:cs="Arial"/>
          <w:szCs w:val="20"/>
        </w:rPr>
        <w:t>all of</w:t>
      </w:r>
      <w:proofErr w:type="gramEnd"/>
      <w:r>
        <w:rPr>
          <w:rFonts w:cs="Arial"/>
          <w:szCs w:val="20"/>
        </w:rPr>
        <w:t xml:space="preserve"> the following:</w:t>
      </w:r>
    </w:p>
    <w:p w14:paraId="6570F920" w14:textId="77777777" w:rsidR="00B22E85" w:rsidRPr="009E0BB2" w:rsidRDefault="00B22E85" w:rsidP="00B22E85">
      <w:pPr>
        <w:pStyle w:val="ListParagraph"/>
        <w:numPr>
          <w:ilvl w:val="3"/>
          <w:numId w:val="16"/>
        </w:numPr>
        <w:ind w:left="1440"/>
        <w:rPr>
          <w:rFonts w:cs="Arial"/>
          <w:bCs/>
          <w:szCs w:val="20"/>
        </w:rPr>
      </w:pPr>
      <w:r w:rsidRPr="009E0BB2">
        <w:rPr>
          <w:rFonts w:cs="Arial"/>
          <w:szCs w:val="20"/>
        </w:rPr>
        <w:t>D-Dimer: abnormal at baseline and no improvement</w:t>
      </w:r>
      <w:r>
        <w:rPr>
          <w:rFonts w:cs="Arial"/>
          <w:szCs w:val="20"/>
        </w:rPr>
        <w:t xml:space="preserve">; </w:t>
      </w:r>
      <w:r w:rsidRPr="00D609BE">
        <w:rPr>
          <w:rFonts w:cs="Arial"/>
          <w:b/>
          <w:bCs/>
          <w:szCs w:val="20"/>
        </w:rPr>
        <w:t>AND</w:t>
      </w:r>
    </w:p>
    <w:p w14:paraId="3A1224CE" w14:textId="77777777" w:rsidR="00B22E85" w:rsidRPr="009E0BB2" w:rsidRDefault="00B22E85" w:rsidP="00B22E85">
      <w:pPr>
        <w:pStyle w:val="ListParagraph"/>
        <w:numPr>
          <w:ilvl w:val="3"/>
          <w:numId w:val="16"/>
        </w:numPr>
        <w:ind w:left="1440"/>
        <w:rPr>
          <w:rFonts w:cs="Arial"/>
          <w:bCs/>
          <w:szCs w:val="20"/>
        </w:rPr>
      </w:pPr>
      <w:r w:rsidRPr="009E0BB2">
        <w:rPr>
          <w:rFonts w:cs="Arial"/>
          <w:szCs w:val="20"/>
        </w:rPr>
        <w:t>Fibrinogen</w:t>
      </w:r>
      <w:r>
        <w:rPr>
          <w:rFonts w:cs="Arial"/>
          <w:szCs w:val="20"/>
        </w:rPr>
        <w:t xml:space="preserve"> – must meet one of the following:</w:t>
      </w:r>
    </w:p>
    <w:p w14:paraId="651AC70E" w14:textId="77777777" w:rsidR="00B22E85" w:rsidRPr="009E0BB2" w:rsidRDefault="00B22E85" w:rsidP="00B22E85">
      <w:pPr>
        <w:pStyle w:val="ListParagraph"/>
        <w:numPr>
          <w:ilvl w:val="4"/>
          <w:numId w:val="16"/>
        </w:numPr>
        <w:ind w:left="1800"/>
        <w:rPr>
          <w:rFonts w:cs="Arial"/>
          <w:bCs/>
          <w:szCs w:val="20"/>
        </w:rPr>
      </w:pPr>
      <w:r w:rsidRPr="009E0BB2">
        <w:rPr>
          <w:rFonts w:cs="Arial"/>
          <w:szCs w:val="20"/>
        </w:rPr>
        <w:t>baseline levels ≤ 100 mg/dL and no improvement</w:t>
      </w:r>
      <w:r>
        <w:rPr>
          <w:rFonts w:cs="Arial"/>
          <w:szCs w:val="20"/>
        </w:rPr>
        <w:t xml:space="preserve">; </w:t>
      </w:r>
      <w:r w:rsidRPr="00D609BE">
        <w:rPr>
          <w:rFonts w:cs="Arial"/>
          <w:b/>
          <w:bCs/>
          <w:szCs w:val="20"/>
        </w:rPr>
        <w:t>OR</w:t>
      </w:r>
    </w:p>
    <w:p w14:paraId="4F534438" w14:textId="77777777" w:rsidR="00B22E85" w:rsidRPr="00F63EEC" w:rsidRDefault="00B22E85" w:rsidP="00B22E85">
      <w:pPr>
        <w:pStyle w:val="ListParagraph"/>
        <w:numPr>
          <w:ilvl w:val="4"/>
          <w:numId w:val="16"/>
        </w:numPr>
        <w:ind w:left="1800"/>
        <w:rPr>
          <w:rFonts w:cs="Arial"/>
          <w:bCs/>
          <w:szCs w:val="20"/>
        </w:rPr>
      </w:pPr>
      <w:r w:rsidRPr="009E0BB2">
        <w:rPr>
          <w:rFonts w:cs="Arial"/>
          <w:szCs w:val="20"/>
        </w:rPr>
        <w:t>baseline levels &gt; 100 mg/dL and any decrease to &lt; 100 mg/dL</w:t>
      </w:r>
      <w:r>
        <w:rPr>
          <w:rFonts w:cs="Arial"/>
          <w:szCs w:val="20"/>
        </w:rPr>
        <w:t>.</w:t>
      </w:r>
    </w:p>
    <w:p w14:paraId="486CF3E8" w14:textId="77777777" w:rsidR="00B22E85" w:rsidRPr="00786F96" w:rsidRDefault="00B22E85" w:rsidP="00B22E85">
      <w:pPr>
        <w:pStyle w:val="ListParagraph"/>
        <w:numPr>
          <w:ilvl w:val="0"/>
          <w:numId w:val="16"/>
        </w:numPr>
        <w:rPr>
          <w:rFonts w:cs="Arial"/>
          <w:bCs/>
          <w:szCs w:val="20"/>
        </w:rPr>
      </w:pPr>
      <w:r>
        <w:rPr>
          <w:rFonts w:cs="Arial"/>
          <w:szCs w:val="20"/>
        </w:rPr>
        <w:t>Initial approval period: 3 months.</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2D6A876B" w14:textId="77777777" w:rsidR="00C847BA" w:rsidRPr="00F63EEC" w:rsidRDefault="00C847BA" w:rsidP="00C847BA">
      <w:pPr>
        <w:pStyle w:val="ListParagraph"/>
        <w:numPr>
          <w:ilvl w:val="0"/>
          <w:numId w:val="17"/>
        </w:numPr>
        <w:rPr>
          <w:rFonts w:cs="Arial"/>
          <w:bCs/>
          <w:szCs w:val="20"/>
          <w:u w:val="single"/>
        </w:rPr>
      </w:pPr>
      <w:r>
        <w:rPr>
          <w:rFonts w:cs="Arial"/>
          <w:bCs/>
          <w:szCs w:val="20"/>
        </w:rPr>
        <w:t>Documentation of r</w:t>
      </w:r>
      <w:r w:rsidRPr="00F63EEC">
        <w:rPr>
          <w:rFonts w:cs="Arial"/>
          <w:bCs/>
          <w:szCs w:val="20"/>
        </w:rPr>
        <w:t>eassessment after the first initial 8 weeks of therapy</w:t>
      </w:r>
      <w:r>
        <w:rPr>
          <w:rFonts w:cs="Arial"/>
          <w:bCs/>
          <w:szCs w:val="20"/>
        </w:rPr>
        <w:t>,</w:t>
      </w:r>
      <w:r w:rsidRPr="00F63EEC">
        <w:rPr>
          <w:rFonts w:cs="Arial"/>
          <w:bCs/>
          <w:szCs w:val="20"/>
        </w:rPr>
        <w:t xml:space="preserve"> demonstrating stabilization of disease or absence of disease progression as defined by improvement in 3 or more of the criteria listed above for diagnosis</w:t>
      </w:r>
    </w:p>
    <w:p w14:paraId="6AD9DC2D" w14:textId="77777777" w:rsidR="00C847BA" w:rsidRPr="00F63EEC" w:rsidRDefault="00C847BA" w:rsidP="00C847BA">
      <w:pPr>
        <w:pStyle w:val="ListParagraph"/>
        <w:numPr>
          <w:ilvl w:val="0"/>
          <w:numId w:val="17"/>
        </w:numPr>
        <w:rPr>
          <w:rFonts w:cs="Arial"/>
          <w:bCs/>
          <w:szCs w:val="20"/>
          <w:u w:val="single"/>
        </w:rPr>
      </w:pPr>
      <w:r>
        <w:rPr>
          <w:rFonts w:cs="Arial"/>
          <w:bCs/>
          <w:szCs w:val="20"/>
        </w:rPr>
        <w:t>Continuation approval period: 3 months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637BFF2B" w14:textId="77777777" w:rsidR="0047375A" w:rsidRDefault="0047375A" w:rsidP="0047375A">
      <w:pPr>
        <w:pStyle w:val="ListParagraph"/>
        <w:numPr>
          <w:ilvl w:val="0"/>
          <w:numId w:val="18"/>
        </w:numPr>
        <w:rPr>
          <w:rFonts w:cs="Arial"/>
          <w:noProof/>
          <w:szCs w:val="20"/>
        </w:rPr>
      </w:pPr>
      <w:r>
        <w:rPr>
          <w:rFonts w:cs="Arial"/>
          <w:noProof/>
          <w:szCs w:val="20"/>
        </w:rPr>
        <w:t>Therapy will be denied with persence of one of the following:</w:t>
      </w:r>
    </w:p>
    <w:p w14:paraId="26F8F73B" w14:textId="77777777" w:rsidR="0047375A" w:rsidRPr="00DB083D" w:rsidRDefault="0047375A" w:rsidP="0047375A">
      <w:pPr>
        <w:pStyle w:val="ListParagraph"/>
        <w:numPr>
          <w:ilvl w:val="1"/>
          <w:numId w:val="18"/>
        </w:numPr>
        <w:rPr>
          <w:rFonts w:cs="Arial"/>
          <w:noProof/>
          <w:szCs w:val="20"/>
        </w:rPr>
      </w:pPr>
      <w:r>
        <w:rPr>
          <w:rFonts w:cs="Arial"/>
          <w:noProof/>
          <w:szCs w:val="20"/>
        </w:rPr>
        <w:t xml:space="preserve">Any approval criteria are not met. </w:t>
      </w:r>
    </w:p>
    <w:p w14:paraId="4D21EAF1" w14:textId="77777777" w:rsidR="001E4CBA" w:rsidRDefault="001E4CBA" w:rsidP="001C73B1">
      <w:pPr>
        <w:pStyle w:val="ListParagraph"/>
        <w:numPr>
          <w:ilvl w:val="0"/>
          <w:numId w:val="0"/>
        </w:numPr>
        <w:ind w:left="360"/>
        <w:rPr>
          <w:rFonts w:cs="Arial"/>
          <w:szCs w:val="22"/>
        </w:rPr>
      </w:pPr>
    </w:p>
    <w:p w14:paraId="0C0C113B" w14:textId="77777777" w:rsidR="0047375A" w:rsidRDefault="0047375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50ABE4B" w14:textId="77777777" w:rsidR="00BC5D32" w:rsidRPr="004E3570" w:rsidRDefault="00343D6B" w:rsidP="00BC5D32">
      <w:pPr>
        <w:rPr>
          <w:rFonts w:cs="Arial"/>
          <w:szCs w:val="20"/>
        </w:rPr>
      </w:pPr>
      <w:r w:rsidRPr="00696E3A">
        <w:rPr>
          <w:b/>
          <w:bCs/>
        </w:rPr>
        <w:t>Default Approval Period:</w:t>
      </w:r>
      <w:r w:rsidR="00973BD6">
        <w:t xml:space="preserve"> </w:t>
      </w:r>
      <w:r w:rsidR="00BC5D32">
        <w:rPr>
          <w:rFonts w:cs="Arial"/>
          <w:szCs w:val="20"/>
        </w:rPr>
        <w:t>3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6F42AF27" w14:textId="65ECBB7A" w:rsidR="00DB65D6" w:rsidRPr="00627971" w:rsidRDefault="00DB65D6" w:rsidP="00DB65D6">
      <w:pPr>
        <w:pStyle w:val="paragraph"/>
        <w:numPr>
          <w:ilvl w:val="0"/>
          <w:numId w:val="18"/>
        </w:numPr>
        <w:textAlignment w:val="baseline"/>
        <w:rPr>
          <w:rStyle w:val="normaltextrun"/>
          <w:rFonts w:cs="Arial"/>
          <w:szCs w:val="20"/>
          <w:shd w:val="clear" w:color="auto" w:fill="FFFFFF"/>
        </w:rPr>
      </w:pPr>
      <w:r w:rsidRPr="00627971">
        <w:rPr>
          <w:rStyle w:val="normaltextrun"/>
          <w:rFonts w:cs="Arial"/>
          <w:szCs w:val="20"/>
          <w:shd w:val="clear" w:color="auto" w:fill="FFFFFF"/>
        </w:rPr>
        <w:t>GAMIFANT</w:t>
      </w:r>
      <w:r w:rsidRPr="00627971">
        <w:rPr>
          <w:rFonts w:cs="Arial"/>
          <w:spacing w:val="-3"/>
          <w:szCs w:val="20"/>
          <w:vertAlign w:val="superscript"/>
        </w:rPr>
        <w:t>®</w:t>
      </w:r>
      <w:r w:rsidRPr="00627971">
        <w:rPr>
          <w:rStyle w:val="normaltextrun"/>
          <w:rFonts w:cs="Arial"/>
          <w:szCs w:val="20"/>
          <w:shd w:val="clear" w:color="auto" w:fill="FFFFFF"/>
        </w:rPr>
        <w:t xml:space="preserve"> (emapalumab-lzsg) injection [package insert]. Waltham, MA: Sobi Inc; </w:t>
      </w:r>
      <w:r w:rsidR="002B234B">
        <w:rPr>
          <w:rStyle w:val="normaltextrun"/>
          <w:rFonts w:cs="Arial"/>
          <w:szCs w:val="20"/>
          <w:shd w:val="clear" w:color="auto" w:fill="FFFFFF"/>
        </w:rPr>
        <w:t>March 2026</w:t>
      </w:r>
      <w:r>
        <w:rPr>
          <w:rStyle w:val="normaltextrun"/>
          <w:rFonts w:cs="Arial"/>
          <w:szCs w:val="20"/>
          <w:shd w:val="clear" w:color="auto" w:fill="FFFFFF"/>
        </w:rPr>
        <w:t>.</w:t>
      </w:r>
    </w:p>
    <w:p w14:paraId="6C465530" w14:textId="77777777" w:rsidR="00DB65D6" w:rsidRPr="00627971" w:rsidRDefault="00DB65D6" w:rsidP="00DB65D6">
      <w:pPr>
        <w:pStyle w:val="paragraph"/>
        <w:numPr>
          <w:ilvl w:val="0"/>
          <w:numId w:val="18"/>
        </w:numPr>
        <w:textAlignment w:val="baseline"/>
        <w:rPr>
          <w:rStyle w:val="normaltextrun"/>
          <w:rFonts w:cs="Arial"/>
          <w:szCs w:val="20"/>
          <w:shd w:val="clear" w:color="auto" w:fill="FFFFFF"/>
        </w:rPr>
      </w:pPr>
      <w:r w:rsidRPr="00627971">
        <w:rPr>
          <w:rStyle w:val="normaltextrun"/>
          <w:rFonts w:cs="Arial"/>
          <w:szCs w:val="20"/>
          <w:shd w:val="clear" w:color="auto" w:fill="FFFFFF"/>
        </w:rPr>
        <w:t>IPD Analytics.  Rx Insights New Drug Approval Review: Gamifant.  November 2018</w:t>
      </w:r>
    </w:p>
    <w:p w14:paraId="3FA1E7DB" w14:textId="14201E24" w:rsidR="00777CA4" w:rsidRPr="00DB65D6" w:rsidRDefault="00DB65D6" w:rsidP="00DB65D6">
      <w:pPr>
        <w:pStyle w:val="paragraph"/>
        <w:numPr>
          <w:ilvl w:val="0"/>
          <w:numId w:val="18"/>
        </w:numPr>
        <w:textAlignment w:val="baseline"/>
        <w:rPr>
          <w:rFonts w:cs="Arial"/>
          <w:szCs w:val="20"/>
          <w:shd w:val="clear" w:color="auto" w:fill="FFFFFF"/>
        </w:rPr>
      </w:pPr>
      <w:r w:rsidRPr="00627971">
        <w:rPr>
          <w:rStyle w:val="normaltextrun"/>
          <w:rFonts w:cs="Arial"/>
          <w:szCs w:val="20"/>
          <w:shd w:val="clear" w:color="auto" w:fill="FFFFFF"/>
        </w:rPr>
        <w:t xml:space="preserve">A Study to Investigate the Safety and Efficacy of an Anti-IFNy mAb in Children Affected by Primary Haemophagocytic Lymphohistiocytosis. U.S. National Library of Medicine. </w:t>
      </w:r>
      <w:hyperlink r:id="rId11" w:history="1">
        <w:r w:rsidRPr="00627971">
          <w:rPr>
            <w:rStyle w:val="Hyperlink"/>
            <w:rFonts w:cs="Arial"/>
            <w:color w:val="auto"/>
            <w:szCs w:val="20"/>
            <w:u w:val="none"/>
          </w:rPr>
          <w:t xml:space="preserve">https://clinicaltrials.gov/ct2/show/NCT01818492.   </w:t>
        </w:r>
        <w:r w:rsidRPr="00627971">
          <w:rPr>
            <w:rStyle w:val="Hyperlink"/>
            <w:rFonts w:cs="Arial"/>
            <w:color w:val="auto"/>
            <w:szCs w:val="20"/>
            <w:u w:val="none"/>
            <w:shd w:val="clear" w:color="auto" w:fill="FFFFFF"/>
          </w:rPr>
          <w:t>Accessed May 1</w:t>
        </w:r>
      </w:hyperlink>
      <w:r>
        <w:rPr>
          <w:rStyle w:val="Hyperlink"/>
          <w:rFonts w:cs="Arial"/>
          <w:color w:val="auto"/>
          <w:szCs w:val="20"/>
          <w:u w:val="none"/>
          <w:shd w:val="clear" w:color="auto" w:fill="FFFFFF"/>
        </w:rPr>
        <w:t>6</w:t>
      </w:r>
      <w:r w:rsidRPr="00627971">
        <w:rPr>
          <w:rStyle w:val="normaltextrun"/>
          <w:rFonts w:cs="Arial"/>
          <w:szCs w:val="20"/>
          <w:shd w:val="clear" w:color="auto" w:fill="FFFFFF"/>
        </w:rPr>
        <w:t>, 202</w:t>
      </w:r>
      <w:r>
        <w:rPr>
          <w:rStyle w:val="normaltextrun"/>
          <w:rFonts w:cs="Arial"/>
          <w:szCs w:val="20"/>
          <w:shd w:val="clear" w:color="auto" w:fill="FFFFFF"/>
        </w:rPr>
        <w:t>2.</w:t>
      </w:r>
    </w:p>
    <w:sectPr w:rsidR="00777CA4" w:rsidRPr="00DB65D6"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754B" w14:textId="77777777" w:rsidR="006E2732" w:rsidRPr="00C02553" w:rsidRDefault="006E2732" w:rsidP="00AE77DB">
      <w:r w:rsidRPr="00C02553">
        <w:separator/>
      </w:r>
    </w:p>
  </w:endnote>
  <w:endnote w:type="continuationSeparator" w:id="0">
    <w:p w14:paraId="26B84932" w14:textId="77777777" w:rsidR="006E2732" w:rsidRPr="00C02553" w:rsidRDefault="006E2732" w:rsidP="00AE77DB">
      <w:r w:rsidRPr="00C02553">
        <w:continuationSeparator/>
      </w:r>
    </w:p>
  </w:endnote>
  <w:endnote w:type="continuationNotice" w:id="1">
    <w:p w14:paraId="5D8B1569" w14:textId="77777777" w:rsidR="006E2732" w:rsidRPr="00C02553" w:rsidRDefault="006E2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0F40" w14:textId="77777777" w:rsidR="006E2732" w:rsidRPr="00C02553" w:rsidRDefault="006E2732" w:rsidP="00AE77DB">
      <w:r w:rsidRPr="00C02553">
        <w:separator/>
      </w:r>
    </w:p>
  </w:footnote>
  <w:footnote w:type="continuationSeparator" w:id="0">
    <w:p w14:paraId="6D19D19D" w14:textId="77777777" w:rsidR="006E2732" w:rsidRPr="00C02553" w:rsidRDefault="006E2732" w:rsidP="00AE77DB">
      <w:r w:rsidRPr="00C02553">
        <w:continuationSeparator/>
      </w:r>
    </w:p>
  </w:footnote>
  <w:footnote w:type="continuationNotice" w:id="1">
    <w:p w14:paraId="0B72B46D" w14:textId="77777777" w:rsidR="006E2732" w:rsidRPr="00C02553" w:rsidRDefault="006E2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6D1D71">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6D1D71">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6D1D71">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70528"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C36FA9"/>
    <w:multiLevelType w:val="hybridMultilevel"/>
    <w:tmpl w:val="F11EC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C84D73"/>
    <w:multiLevelType w:val="hybridMultilevel"/>
    <w:tmpl w:val="42A05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6C22C0C2">
      <w:numFmt w:val="bullet"/>
      <w:lvlText w:val="•"/>
      <w:lvlJc w:val="left"/>
      <w:pPr>
        <w:ind w:left="4320" w:hanging="720"/>
      </w:pPr>
      <w:rPr>
        <w:rFonts w:ascii="Arial" w:eastAsia="Times New Roman" w:hAnsi="Arial" w:cs="Aria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3A1A5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3"/>
  </w:num>
  <w:num w:numId="15" w16cid:durableId="1911186802">
    <w:abstractNumId w:val="6"/>
  </w:num>
  <w:num w:numId="16" w16cid:durableId="58863482">
    <w:abstractNumId w:val="12"/>
  </w:num>
  <w:num w:numId="17" w16cid:durableId="404450402">
    <w:abstractNumId w:val="11"/>
  </w:num>
  <w:num w:numId="18" w16cid:durableId="39377136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WRn20lxYKHjEZsseFi2nXXsN5AMNllmdtiGYJDhNrI7fKcywvLnDdzvPxP7QdOsQGPHJHMEpUj0Z/6Hk3UzzSA==" w:salt="bwFUsBTFn9EATsW7ak/20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5B1F"/>
    <w:rsid w:val="00017CBA"/>
    <w:rsid w:val="00027460"/>
    <w:rsid w:val="000276D9"/>
    <w:rsid w:val="000344C5"/>
    <w:rsid w:val="00040AD3"/>
    <w:rsid w:val="00051FD0"/>
    <w:rsid w:val="00053807"/>
    <w:rsid w:val="000572E5"/>
    <w:rsid w:val="00061541"/>
    <w:rsid w:val="00064162"/>
    <w:rsid w:val="00065C22"/>
    <w:rsid w:val="000710DE"/>
    <w:rsid w:val="00074464"/>
    <w:rsid w:val="00076030"/>
    <w:rsid w:val="00082590"/>
    <w:rsid w:val="000913C3"/>
    <w:rsid w:val="000953B9"/>
    <w:rsid w:val="000A2D17"/>
    <w:rsid w:val="000A413B"/>
    <w:rsid w:val="000A6279"/>
    <w:rsid w:val="000B2803"/>
    <w:rsid w:val="000B496B"/>
    <w:rsid w:val="000C3940"/>
    <w:rsid w:val="000C5992"/>
    <w:rsid w:val="000C64DB"/>
    <w:rsid w:val="000E1479"/>
    <w:rsid w:val="000E231E"/>
    <w:rsid w:val="000E247D"/>
    <w:rsid w:val="000E6B14"/>
    <w:rsid w:val="000E70D8"/>
    <w:rsid w:val="001062F6"/>
    <w:rsid w:val="00112FC7"/>
    <w:rsid w:val="00114903"/>
    <w:rsid w:val="00125F5F"/>
    <w:rsid w:val="00126951"/>
    <w:rsid w:val="00126B60"/>
    <w:rsid w:val="00127EF6"/>
    <w:rsid w:val="001310AD"/>
    <w:rsid w:val="001314A5"/>
    <w:rsid w:val="00132C7F"/>
    <w:rsid w:val="00143A11"/>
    <w:rsid w:val="00144DBE"/>
    <w:rsid w:val="00152C8B"/>
    <w:rsid w:val="0015636A"/>
    <w:rsid w:val="00172053"/>
    <w:rsid w:val="00174D4A"/>
    <w:rsid w:val="00177A80"/>
    <w:rsid w:val="001808B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4056"/>
    <w:rsid w:val="00217E14"/>
    <w:rsid w:val="00217EFD"/>
    <w:rsid w:val="00222134"/>
    <w:rsid w:val="0022233F"/>
    <w:rsid w:val="00226275"/>
    <w:rsid w:val="00246564"/>
    <w:rsid w:val="00246A3B"/>
    <w:rsid w:val="00250FBF"/>
    <w:rsid w:val="00255404"/>
    <w:rsid w:val="0025594F"/>
    <w:rsid w:val="00270C5E"/>
    <w:rsid w:val="002867B1"/>
    <w:rsid w:val="00290A03"/>
    <w:rsid w:val="0029159A"/>
    <w:rsid w:val="00291600"/>
    <w:rsid w:val="00297777"/>
    <w:rsid w:val="002A02F4"/>
    <w:rsid w:val="002B234B"/>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2910"/>
    <w:rsid w:val="0032616B"/>
    <w:rsid w:val="00326687"/>
    <w:rsid w:val="003275F9"/>
    <w:rsid w:val="00330DD4"/>
    <w:rsid w:val="003345D2"/>
    <w:rsid w:val="003355AC"/>
    <w:rsid w:val="00343D6B"/>
    <w:rsid w:val="00346090"/>
    <w:rsid w:val="00347FB5"/>
    <w:rsid w:val="00355515"/>
    <w:rsid w:val="003608B5"/>
    <w:rsid w:val="003613AF"/>
    <w:rsid w:val="003619D3"/>
    <w:rsid w:val="003878C1"/>
    <w:rsid w:val="00396C0B"/>
    <w:rsid w:val="003A630F"/>
    <w:rsid w:val="003B3958"/>
    <w:rsid w:val="003B4820"/>
    <w:rsid w:val="003B5F4B"/>
    <w:rsid w:val="003B682F"/>
    <w:rsid w:val="003C53FC"/>
    <w:rsid w:val="003C7013"/>
    <w:rsid w:val="003D4704"/>
    <w:rsid w:val="003D641B"/>
    <w:rsid w:val="003E0296"/>
    <w:rsid w:val="003F227C"/>
    <w:rsid w:val="004023CC"/>
    <w:rsid w:val="00407564"/>
    <w:rsid w:val="00411152"/>
    <w:rsid w:val="004156AA"/>
    <w:rsid w:val="00417A8C"/>
    <w:rsid w:val="004253A1"/>
    <w:rsid w:val="004313B6"/>
    <w:rsid w:val="00433339"/>
    <w:rsid w:val="00436159"/>
    <w:rsid w:val="00446BBC"/>
    <w:rsid w:val="004471BA"/>
    <w:rsid w:val="004472C0"/>
    <w:rsid w:val="00450705"/>
    <w:rsid w:val="00451928"/>
    <w:rsid w:val="004563DA"/>
    <w:rsid w:val="00460B5D"/>
    <w:rsid w:val="0046618B"/>
    <w:rsid w:val="0047375A"/>
    <w:rsid w:val="00475425"/>
    <w:rsid w:val="0048608C"/>
    <w:rsid w:val="00493462"/>
    <w:rsid w:val="00496E57"/>
    <w:rsid w:val="004B3E10"/>
    <w:rsid w:val="004B5BC3"/>
    <w:rsid w:val="004C0F5D"/>
    <w:rsid w:val="004C375A"/>
    <w:rsid w:val="004C4954"/>
    <w:rsid w:val="004C5767"/>
    <w:rsid w:val="004D0080"/>
    <w:rsid w:val="004D5322"/>
    <w:rsid w:val="004D78B0"/>
    <w:rsid w:val="004E611F"/>
    <w:rsid w:val="004F2A79"/>
    <w:rsid w:val="004F4D37"/>
    <w:rsid w:val="004F7F55"/>
    <w:rsid w:val="00501A14"/>
    <w:rsid w:val="00501DE3"/>
    <w:rsid w:val="005058CB"/>
    <w:rsid w:val="0051044D"/>
    <w:rsid w:val="005139E4"/>
    <w:rsid w:val="00515075"/>
    <w:rsid w:val="00516D12"/>
    <w:rsid w:val="00520FE9"/>
    <w:rsid w:val="005233E7"/>
    <w:rsid w:val="00526C8D"/>
    <w:rsid w:val="005328B2"/>
    <w:rsid w:val="0053511B"/>
    <w:rsid w:val="00535BD5"/>
    <w:rsid w:val="00540977"/>
    <w:rsid w:val="00551668"/>
    <w:rsid w:val="005572D5"/>
    <w:rsid w:val="00561C4C"/>
    <w:rsid w:val="00563A85"/>
    <w:rsid w:val="00566BE4"/>
    <w:rsid w:val="00570D21"/>
    <w:rsid w:val="00576113"/>
    <w:rsid w:val="00590652"/>
    <w:rsid w:val="0059235F"/>
    <w:rsid w:val="00596936"/>
    <w:rsid w:val="005A2F1E"/>
    <w:rsid w:val="005A4232"/>
    <w:rsid w:val="005B5BB4"/>
    <w:rsid w:val="005C3616"/>
    <w:rsid w:val="005D36B2"/>
    <w:rsid w:val="005D52E7"/>
    <w:rsid w:val="005D78B5"/>
    <w:rsid w:val="005E3572"/>
    <w:rsid w:val="005E45E4"/>
    <w:rsid w:val="005F0A81"/>
    <w:rsid w:val="005F0FCF"/>
    <w:rsid w:val="005F564D"/>
    <w:rsid w:val="005F6104"/>
    <w:rsid w:val="0060042F"/>
    <w:rsid w:val="006008BC"/>
    <w:rsid w:val="00602CFD"/>
    <w:rsid w:val="00606B55"/>
    <w:rsid w:val="00610962"/>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537F"/>
    <w:rsid w:val="00696E3A"/>
    <w:rsid w:val="006A0834"/>
    <w:rsid w:val="006A4BBD"/>
    <w:rsid w:val="006A52F1"/>
    <w:rsid w:val="006A6181"/>
    <w:rsid w:val="006B561D"/>
    <w:rsid w:val="006B6D5D"/>
    <w:rsid w:val="006D1D71"/>
    <w:rsid w:val="006D2330"/>
    <w:rsid w:val="006E0F8B"/>
    <w:rsid w:val="006E12F7"/>
    <w:rsid w:val="006E2732"/>
    <w:rsid w:val="006E29D7"/>
    <w:rsid w:val="007068A4"/>
    <w:rsid w:val="00706D67"/>
    <w:rsid w:val="00713052"/>
    <w:rsid w:val="00721367"/>
    <w:rsid w:val="007231FA"/>
    <w:rsid w:val="00732C67"/>
    <w:rsid w:val="00734418"/>
    <w:rsid w:val="00743074"/>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593C"/>
    <w:rsid w:val="00811A70"/>
    <w:rsid w:val="0081406E"/>
    <w:rsid w:val="00832211"/>
    <w:rsid w:val="008325F4"/>
    <w:rsid w:val="00832AC8"/>
    <w:rsid w:val="00846FA4"/>
    <w:rsid w:val="008524BA"/>
    <w:rsid w:val="00852B74"/>
    <w:rsid w:val="00856928"/>
    <w:rsid w:val="00857DF0"/>
    <w:rsid w:val="00861D9F"/>
    <w:rsid w:val="00862941"/>
    <w:rsid w:val="00865538"/>
    <w:rsid w:val="00870875"/>
    <w:rsid w:val="0088225C"/>
    <w:rsid w:val="00884026"/>
    <w:rsid w:val="00884C78"/>
    <w:rsid w:val="008859E1"/>
    <w:rsid w:val="00896264"/>
    <w:rsid w:val="008A2549"/>
    <w:rsid w:val="008A5D88"/>
    <w:rsid w:val="008B0C1B"/>
    <w:rsid w:val="008B2851"/>
    <w:rsid w:val="008C000E"/>
    <w:rsid w:val="008D0F2F"/>
    <w:rsid w:val="008D237F"/>
    <w:rsid w:val="008D3FD8"/>
    <w:rsid w:val="008D6B05"/>
    <w:rsid w:val="008E7D2D"/>
    <w:rsid w:val="008F1051"/>
    <w:rsid w:val="008F44C0"/>
    <w:rsid w:val="008F4DA1"/>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C46F6"/>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06DE"/>
    <w:rsid w:val="00A4281A"/>
    <w:rsid w:val="00A459CF"/>
    <w:rsid w:val="00A5014D"/>
    <w:rsid w:val="00A53E96"/>
    <w:rsid w:val="00A56F18"/>
    <w:rsid w:val="00A628F8"/>
    <w:rsid w:val="00A62BAA"/>
    <w:rsid w:val="00A66172"/>
    <w:rsid w:val="00A744C3"/>
    <w:rsid w:val="00A80896"/>
    <w:rsid w:val="00AA70AB"/>
    <w:rsid w:val="00AB0B9F"/>
    <w:rsid w:val="00AB1713"/>
    <w:rsid w:val="00AB63BE"/>
    <w:rsid w:val="00AC009C"/>
    <w:rsid w:val="00AC1EBC"/>
    <w:rsid w:val="00AC2599"/>
    <w:rsid w:val="00AC2DE9"/>
    <w:rsid w:val="00AC3CD9"/>
    <w:rsid w:val="00AD2C5F"/>
    <w:rsid w:val="00AD45C3"/>
    <w:rsid w:val="00AE1481"/>
    <w:rsid w:val="00AE27F9"/>
    <w:rsid w:val="00AE678F"/>
    <w:rsid w:val="00AE77DB"/>
    <w:rsid w:val="00AF7453"/>
    <w:rsid w:val="00B00FFF"/>
    <w:rsid w:val="00B06084"/>
    <w:rsid w:val="00B16735"/>
    <w:rsid w:val="00B17EDE"/>
    <w:rsid w:val="00B22585"/>
    <w:rsid w:val="00B22E85"/>
    <w:rsid w:val="00B26D7F"/>
    <w:rsid w:val="00B33693"/>
    <w:rsid w:val="00B34C53"/>
    <w:rsid w:val="00B507A5"/>
    <w:rsid w:val="00B52475"/>
    <w:rsid w:val="00B535DA"/>
    <w:rsid w:val="00B56DCC"/>
    <w:rsid w:val="00B56F54"/>
    <w:rsid w:val="00B638C2"/>
    <w:rsid w:val="00B7226F"/>
    <w:rsid w:val="00B758AB"/>
    <w:rsid w:val="00B76277"/>
    <w:rsid w:val="00B772AB"/>
    <w:rsid w:val="00B80395"/>
    <w:rsid w:val="00B80B56"/>
    <w:rsid w:val="00B86372"/>
    <w:rsid w:val="00B93017"/>
    <w:rsid w:val="00BA1C17"/>
    <w:rsid w:val="00BA1D65"/>
    <w:rsid w:val="00BB3B4D"/>
    <w:rsid w:val="00BC0FA2"/>
    <w:rsid w:val="00BC351E"/>
    <w:rsid w:val="00BC3F77"/>
    <w:rsid w:val="00BC5635"/>
    <w:rsid w:val="00BC5675"/>
    <w:rsid w:val="00BC5D32"/>
    <w:rsid w:val="00BD081C"/>
    <w:rsid w:val="00BD0C58"/>
    <w:rsid w:val="00BD277B"/>
    <w:rsid w:val="00BD3D5F"/>
    <w:rsid w:val="00BD47CA"/>
    <w:rsid w:val="00BD4F20"/>
    <w:rsid w:val="00BD62C7"/>
    <w:rsid w:val="00BD64E8"/>
    <w:rsid w:val="00BE020D"/>
    <w:rsid w:val="00BE354A"/>
    <w:rsid w:val="00BF332C"/>
    <w:rsid w:val="00BF5EEF"/>
    <w:rsid w:val="00C02553"/>
    <w:rsid w:val="00C04EB6"/>
    <w:rsid w:val="00C056F9"/>
    <w:rsid w:val="00C07A7B"/>
    <w:rsid w:val="00C1018C"/>
    <w:rsid w:val="00C1150E"/>
    <w:rsid w:val="00C14D52"/>
    <w:rsid w:val="00C23F5F"/>
    <w:rsid w:val="00C2586C"/>
    <w:rsid w:val="00C26001"/>
    <w:rsid w:val="00C34E72"/>
    <w:rsid w:val="00C56B1F"/>
    <w:rsid w:val="00C61B52"/>
    <w:rsid w:val="00C62745"/>
    <w:rsid w:val="00C654CA"/>
    <w:rsid w:val="00C763BD"/>
    <w:rsid w:val="00C779A8"/>
    <w:rsid w:val="00C82E19"/>
    <w:rsid w:val="00C847BA"/>
    <w:rsid w:val="00C94E05"/>
    <w:rsid w:val="00C96873"/>
    <w:rsid w:val="00CA1735"/>
    <w:rsid w:val="00CA207E"/>
    <w:rsid w:val="00CA3C4B"/>
    <w:rsid w:val="00CA7252"/>
    <w:rsid w:val="00CB2C5A"/>
    <w:rsid w:val="00CE0C1C"/>
    <w:rsid w:val="00CE34AF"/>
    <w:rsid w:val="00CE4A1B"/>
    <w:rsid w:val="00CF00A4"/>
    <w:rsid w:val="00CF25FB"/>
    <w:rsid w:val="00CF614C"/>
    <w:rsid w:val="00D02F34"/>
    <w:rsid w:val="00D12CF9"/>
    <w:rsid w:val="00D13D87"/>
    <w:rsid w:val="00D16590"/>
    <w:rsid w:val="00D20720"/>
    <w:rsid w:val="00D232D9"/>
    <w:rsid w:val="00D250D9"/>
    <w:rsid w:val="00D25C2E"/>
    <w:rsid w:val="00D27533"/>
    <w:rsid w:val="00D42DA3"/>
    <w:rsid w:val="00D4546D"/>
    <w:rsid w:val="00D47996"/>
    <w:rsid w:val="00D61118"/>
    <w:rsid w:val="00D614F1"/>
    <w:rsid w:val="00D70D50"/>
    <w:rsid w:val="00D71917"/>
    <w:rsid w:val="00D95E68"/>
    <w:rsid w:val="00DA0426"/>
    <w:rsid w:val="00DA3A0F"/>
    <w:rsid w:val="00DA4E62"/>
    <w:rsid w:val="00DA6990"/>
    <w:rsid w:val="00DB27BA"/>
    <w:rsid w:val="00DB3009"/>
    <w:rsid w:val="00DB337A"/>
    <w:rsid w:val="00DB65D6"/>
    <w:rsid w:val="00DC034A"/>
    <w:rsid w:val="00DC51CB"/>
    <w:rsid w:val="00DC64BF"/>
    <w:rsid w:val="00DD4819"/>
    <w:rsid w:val="00DD4B8A"/>
    <w:rsid w:val="00DD5403"/>
    <w:rsid w:val="00DE1388"/>
    <w:rsid w:val="00DE7501"/>
    <w:rsid w:val="00DF1B9B"/>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3FF"/>
    <w:rsid w:val="00E84C58"/>
    <w:rsid w:val="00E873A5"/>
    <w:rsid w:val="00E90D11"/>
    <w:rsid w:val="00E915E5"/>
    <w:rsid w:val="00EA2084"/>
    <w:rsid w:val="00EB0367"/>
    <w:rsid w:val="00EB4FB9"/>
    <w:rsid w:val="00EB5BC8"/>
    <w:rsid w:val="00EC057F"/>
    <w:rsid w:val="00EC1F62"/>
    <w:rsid w:val="00EC2738"/>
    <w:rsid w:val="00ED760F"/>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52A"/>
    <w:rsid w:val="00F62763"/>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C748E"/>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BC0FA2"/>
    <w:rPr>
      <w:sz w:val="16"/>
      <w:szCs w:val="16"/>
    </w:rPr>
  </w:style>
  <w:style w:type="paragraph" w:styleId="CommentSubject">
    <w:name w:val="annotation subject"/>
    <w:basedOn w:val="CommentText"/>
    <w:next w:val="CommentText"/>
    <w:link w:val="CommentSubjectChar"/>
    <w:uiPriority w:val="99"/>
    <w:semiHidden/>
    <w:unhideWhenUsed/>
    <w:rsid w:val="00BC0FA2"/>
    <w:rPr>
      <w:b/>
      <w:bCs/>
    </w:rPr>
  </w:style>
  <w:style w:type="character" w:customStyle="1" w:styleId="CommentTextChar">
    <w:name w:val="Comment Text Char"/>
    <w:basedOn w:val="DefaultParagraphFont"/>
    <w:link w:val="CommentText"/>
    <w:semiHidden/>
    <w:rsid w:val="00BC0FA2"/>
    <w:rPr>
      <w:rFonts w:ascii="Arial" w:hAnsi="Arial"/>
    </w:rPr>
  </w:style>
  <w:style w:type="character" w:customStyle="1" w:styleId="CommentSubjectChar">
    <w:name w:val="Comment Subject Char"/>
    <w:basedOn w:val="CommentTextChar"/>
    <w:link w:val="CommentSubject"/>
    <w:uiPriority w:val="99"/>
    <w:semiHidden/>
    <w:rsid w:val="00BC0FA2"/>
    <w:rPr>
      <w:rFonts w:ascii="Arial" w:hAnsi="Arial"/>
      <w:b/>
      <w:bCs/>
    </w:rPr>
  </w:style>
  <w:style w:type="paragraph" w:styleId="Revision">
    <w:name w:val="Revision"/>
    <w:hidden/>
    <w:uiPriority w:val="99"/>
    <w:semiHidden/>
    <w:rsid w:val="00563A8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ct2/show/NCT01818492.%20%20%20Accessed%20May%201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f5eefb00-5952-4f7e-8cf8-96f81cfadd01"/>
    <ds:schemaRef ds:uri="http://purl.org/dc/elements/1.1/"/>
    <ds:schemaRef ds:uri="aba01ddc-ae9a-4c9e-819c-7140b4239cd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658A72FD-C1F7-4397-8ECF-1B535C8A7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800</Words>
  <Characters>4792</Characters>
  <Application>Microsoft Office Word</Application>
  <DocSecurity>10</DocSecurity>
  <Lines>39</Lines>
  <Paragraphs>11</Paragraphs>
  <ScaleCrop>false</ScaleCrop>
  <HeadingPairs>
    <vt:vector size="2" baseType="variant">
      <vt:variant>
        <vt:lpstr>Title</vt:lpstr>
      </vt:variant>
      <vt:variant>
        <vt:i4>1</vt:i4>
      </vt:variant>
    </vt:vector>
  </HeadingPairs>
  <TitlesOfParts>
    <vt:vector size="1" baseType="lpstr">
      <vt:lpstr>Gamifant CE</vt:lpstr>
    </vt:vector>
  </TitlesOfParts>
  <Company>DSS</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Gamifant CE</dc:title>
  <dc:subject/>
  <dc:creator>DMS</dc:creator>
  <cp:keywords/>
  <cp:lastModifiedBy>Heriford, Katherine</cp:lastModifiedBy>
  <cp:revision>44</cp:revision>
  <cp:lastPrinted>2018-10-31T18:17:00Z</cp:lastPrinted>
  <dcterms:created xsi:type="dcterms:W3CDTF">2025-11-19T15:39:00Z</dcterms:created>
  <dcterms:modified xsi:type="dcterms:W3CDTF">2026-07-06T17:28:00Z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