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00F51EE" w:rsidR="004C5767" w:rsidRPr="008859E1" w:rsidRDefault="004C5767" w:rsidP="00D27533">
      <w:pPr>
        <w:pStyle w:val="tbody"/>
        <w:rPr>
          <w:b w:val="0"/>
          <w:bCs/>
        </w:rPr>
      </w:pPr>
      <w:r w:rsidRPr="00C02553">
        <w:t>Drug/Drug Class:</w:t>
      </w:r>
      <w:r w:rsidR="003B4820">
        <w:t xml:space="preserve"> </w:t>
      </w:r>
      <w:r w:rsidR="007032FC" w:rsidRPr="007032FC">
        <w:rPr>
          <w:b w:val="0"/>
          <w:bCs/>
        </w:rPr>
        <w:t>Iron – Injectable Step Therapy Edit</w:t>
      </w:r>
    </w:p>
    <w:p w14:paraId="7AD7FFCE" w14:textId="0D128B8F" w:rsidR="004C5767" w:rsidRPr="00C02553" w:rsidRDefault="004C5767" w:rsidP="00D27533">
      <w:pPr>
        <w:pStyle w:val="tbody"/>
      </w:pPr>
      <w:r w:rsidRPr="00C02553">
        <w:t xml:space="preserve">First Implementation Date: </w:t>
      </w:r>
      <w:r w:rsidR="00251993" w:rsidRPr="00251993">
        <w:rPr>
          <w:b w:val="0"/>
          <w:bCs/>
        </w:rPr>
        <w:t>November 19, 2020</w:t>
      </w:r>
    </w:p>
    <w:p w14:paraId="4B7D760D" w14:textId="2C4E8D13" w:rsidR="004C5767" w:rsidRPr="00D232D9" w:rsidRDefault="00D95E68" w:rsidP="15EB50BA">
      <w:pPr>
        <w:pStyle w:val="tbody"/>
        <w:rPr>
          <w:b w:val="0"/>
        </w:rPr>
      </w:pPr>
      <w:r>
        <w:t>Proposed</w:t>
      </w:r>
      <w:r w:rsidR="004C5767">
        <w:t xml:space="preserve"> Date:</w:t>
      </w:r>
      <w:r w:rsidR="00065C22">
        <w:t xml:space="preserve"> </w:t>
      </w:r>
      <w:r w:rsidR="00D232D9">
        <w:rPr>
          <w:b w:val="0"/>
        </w:rPr>
        <w:t>J</w:t>
      </w:r>
      <w:r w:rsidR="00AF35D4">
        <w:rPr>
          <w:b w:val="0"/>
        </w:rPr>
        <w:t>uly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433E265" w:rsidR="004C5767" w:rsidRPr="00D27533" w:rsidRDefault="004C5767" w:rsidP="00D27533">
      <w:pPr>
        <w:pStyle w:val="tbody"/>
        <w:rPr>
          <w:b w:val="0"/>
          <w:bCs/>
          <w:spacing w:val="-3"/>
        </w:rPr>
      </w:pPr>
      <w:r w:rsidRPr="00C02553">
        <w:t xml:space="preserve">Criteria Status: </w:t>
      </w:r>
      <w:r w:rsidR="00566BE4" w:rsidRPr="00256308">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6A1C475A" w14:textId="528BC950" w:rsidR="000236B3" w:rsidRDefault="000236B3" w:rsidP="00696E3A">
      <w:r w:rsidRPr="000236B3">
        <w:t xml:space="preserve">Ensure appropriate utilization and control of injectable iron </w:t>
      </w:r>
      <w:r w:rsidR="00F963A9" w:rsidRPr="000236B3">
        <w:t>therapy.</w:t>
      </w:r>
    </w:p>
    <w:p w14:paraId="2320C114" w14:textId="6F033BDC" w:rsidR="00E23EC0" w:rsidRPr="002C2C41" w:rsidRDefault="00E23EC0" w:rsidP="00696E3A">
      <w:pPr>
        <w:rPr>
          <w:rFonts w:cs="Arial"/>
          <w:szCs w:val="20"/>
        </w:rPr>
      </w:pPr>
      <w:r w:rsidRPr="00C02553">
        <w:tab/>
      </w:r>
    </w:p>
    <w:p w14:paraId="3A9BE506" w14:textId="11761DC1" w:rsidR="00E23EC0" w:rsidRDefault="00E23EC0" w:rsidP="00696E3A">
      <w:pPr>
        <w:rPr>
          <w:b/>
          <w:bCs/>
        </w:rPr>
      </w:pPr>
      <w:r w:rsidRPr="00696E3A">
        <w:rPr>
          <w:b/>
          <w:bCs/>
        </w:rPr>
        <w:t>Why Issue Selected:</w:t>
      </w:r>
    </w:p>
    <w:p w14:paraId="00BADB8C" w14:textId="2A58A24D" w:rsidR="00A56010" w:rsidRPr="00A56010" w:rsidRDefault="00A56010" w:rsidP="00696E3A">
      <w:r w:rsidRPr="00A56010">
        <w:t>Iron deficiency anemia is the most common nutritional disorder in the world and accounts for the largest proportion of anemia cases.  It is estimated that 25% of the world’s population is anemic, with half caused by iron deficiency. Also, the most common reversible cause of chronic anemia or worsening anemia in patients with chronic kidney disease (CKD), other than anemia related directly to CKD, is iron deficiency anemia.  Once discovered, the underlying cause of anemia should be treated. Oral iron therapy is used initially to replenish the body’s iron stores; injectable iron therapy may be used in patients who cannot tolerate or absorb the oral agents.  Due to the high cost, MO HealthNet will impose clinical criteria to ensure appropriate utilization of injectable iron therapies.</w:t>
      </w:r>
    </w:p>
    <w:p w14:paraId="7ACECC9F" w14:textId="77777777" w:rsidR="00B56DCC" w:rsidRDefault="00B56DCC" w:rsidP="00696E3A"/>
    <w:p w14:paraId="5B5260CF" w14:textId="34094F8B" w:rsidR="003D4704" w:rsidRPr="00AD17B7" w:rsidRDefault="003D4704" w:rsidP="003D4704">
      <w:r>
        <w:rPr>
          <w:b/>
          <w:bCs/>
        </w:rPr>
        <w:t xml:space="preserve">Program-Specific Information: </w:t>
      </w:r>
      <w:r>
        <w:t>Dat</w:t>
      </w:r>
      <w:r w:rsidR="00ED760F">
        <w:t>e</w:t>
      </w:r>
      <w:r>
        <w:t xml:space="preserve"> Ranges FFS </w:t>
      </w:r>
      <w:r w:rsidR="001268A4">
        <w:t>4</w:t>
      </w:r>
      <w:r>
        <w:t>-1-202</w:t>
      </w:r>
      <w:r w:rsidR="001268A4">
        <w:t>5</w:t>
      </w:r>
      <w:r>
        <w:t xml:space="preserve"> to </w:t>
      </w:r>
      <w:r w:rsidR="001268A4">
        <w:t>3</w:t>
      </w:r>
      <w:r>
        <w:t>-3</w:t>
      </w:r>
      <w:r w:rsidR="001268A4">
        <w:t>1</w:t>
      </w:r>
      <w:r>
        <w:t>-202</w:t>
      </w:r>
      <w:r w:rsidR="001268A4">
        <w:t>6</w:t>
      </w:r>
    </w:p>
    <w:tbl>
      <w:tblPr>
        <w:tblW w:w="8411" w:type="dxa"/>
        <w:jc w:val="center"/>
        <w:tblLayout w:type="fixed"/>
        <w:tblLook w:val="04A0" w:firstRow="1" w:lastRow="0" w:firstColumn="1" w:lastColumn="0" w:noHBand="0" w:noVBand="1"/>
      </w:tblPr>
      <w:tblGrid>
        <w:gridCol w:w="3691"/>
        <w:gridCol w:w="1112"/>
        <w:gridCol w:w="1497"/>
        <w:gridCol w:w="2111"/>
      </w:tblGrid>
      <w:tr w:rsidR="003D4704" w:rsidRPr="00902CF9" w14:paraId="7E639B47" w14:textId="77777777" w:rsidTr="00591210">
        <w:trPr>
          <w:trHeight w:val="232"/>
          <w:jc w:val="center"/>
        </w:trPr>
        <w:tc>
          <w:tcPr>
            <w:tcW w:w="369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3D4704" w:rsidRPr="00902CF9" w:rsidRDefault="003D4704" w:rsidP="001F3A35">
            <w:pPr>
              <w:jc w:val="center"/>
              <w:rPr>
                <w:rFonts w:cs="Arial"/>
                <w:b/>
                <w:bCs/>
                <w:spacing w:val="-3"/>
                <w:szCs w:val="20"/>
              </w:rPr>
            </w:pPr>
            <w:r w:rsidRPr="00902CF9">
              <w:rPr>
                <w:rFonts w:cs="Arial"/>
                <w:b/>
                <w:bCs/>
                <w:spacing w:val="-3"/>
                <w:szCs w:val="20"/>
              </w:rPr>
              <w:t>Drug</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7777777" w:rsidR="003D4704" w:rsidRPr="00902CF9" w:rsidRDefault="003D4704" w:rsidP="001F3A35">
            <w:pPr>
              <w:jc w:val="center"/>
              <w:rPr>
                <w:rFonts w:cs="Arial"/>
                <w:b/>
                <w:bCs/>
                <w:spacing w:val="-3"/>
                <w:szCs w:val="20"/>
              </w:rPr>
            </w:pPr>
            <w:r w:rsidRPr="00902CF9">
              <w:rPr>
                <w:rFonts w:cs="Arial"/>
                <w:b/>
                <w:bCs/>
                <w:spacing w:val="-3"/>
                <w:szCs w:val="20"/>
              </w:rPr>
              <w:t>Claims</w:t>
            </w:r>
          </w:p>
        </w:tc>
        <w:tc>
          <w:tcPr>
            <w:tcW w:w="149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3D4704" w:rsidRPr="00902CF9" w:rsidRDefault="003D4704" w:rsidP="001F3A35">
            <w:pPr>
              <w:jc w:val="center"/>
              <w:rPr>
                <w:rFonts w:cs="Arial"/>
                <w:b/>
                <w:bCs/>
                <w:spacing w:val="-3"/>
                <w:szCs w:val="20"/>
              </w:rPr>
            </w:pPr>
            <w:r w:rsidRPr="00902CF9">
              <w:rPr>
                <w:rFonts w:cs="Arial"/>
                <w:b/>
                <w:bCs/>
                <w:spacing w:val="-3"/>
                <w:szCs w:val="20"/>
              </w:rPr>
              <w:t>Spend</w:t>
            </w:r>
          </w:p>
        </w:tc>
        <w:tc>
          <w:tcPr>
            <w:tcW w:w="211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3D4704" w:rsidRPr="00902CF9" w:rsidRDefault="003D4704" w:rsidP="001F3A35">
            <w:pPr>
              <w:jc w:val="center"/>
              <w:rPr>
                <w:rFonts w:cs="Arial"/>
                <w:b/>
                <w:bCs/>
                <w:spacing w:val="-3"/>
                <w:szCs w:val="20"/>
              </w:rPr>
            </w:pPr>
            <w:r w:rsidRPr="00902CF9">
              <w:rPr>
                <w:rFonts w:cs="Arial"/>
                <w:b/>
                <w:spacing w:val="-3"/>
                <w:szCs w:val="20"/>
              </w:rPr>
              <w:t>Avg Spend per Claim</w:t>
            </w:r>
          </w:p>
        </w:tc>
      </w:tr>
      <w:tr w:rsidR="00F87CCE" w:rsidRPr="00902CF9" w14:paraId="29C2C6B5"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4E48F17F" w14:textId="7CBB12D2" w:rsidR="00F87CCE" w:rsidRPr="009B117E" w:rsidRDefault="004D4383" w:rsidP="00F87CCE">
            <w:pPr>
              <w:rPr>
                <w:rFonts w:cs="Arial"/>
                <w:szCs w:val="20"/>
              </w:rPr>
            </w:pPr>
            <w:r w:rsidRPr="009B117E">
              <w:rPr>
                <w:rFonts w:cs="Arial"/>
                <w:szCs w:val="20"/>
              </w:rPr>
              <w:t>FERAHEME 510 MG/17 ML VIAL</w:t>
            </w:r>
          </w:p>
        </w:tc>
        <w:tc>
          <w:tcPr>
            <w:tcW w:w="1112" w:type="dxa"/>
            <w:tcBorders>
              <w:top w:val="single" w:sz="4" w:space="0" w:color="auto"/>
              <w:left w:val="single" w:sz="4" w:space="0" w:color="auto"/>
              <w:bottom w:val="single" w:sz="4" w:space="0" w:color="auto"/>
              <w:right w:val="single" w:sz="4" w:space="0" w:color="auto"/>
            </w:tcBorders>
            <w:vAlign w:val="bottom"/>
          </w:tcPr>
          <w:p w14:paraId="5F6574F8" w14:textId="409294A0" w:rsidR="00F87CCE" w:rsidRPr="009B117E" w:rsidRDefault="004D4383" w:rsidP="00F87CCE">
            <w:pPr>
              <w:jc w:val="center"/>
              <w:rPr>
                <w:rFonts w:cs="Arial"/>
                <w:szCs w:val="20"/>
              </w:rPr>
            </w:pPr>
            <w:r w:rsidRPr="009B117E">
              <w:rPr>
                <w:rFonts w:cs="Arial"/>
                <w:szCs w:val="20"/>
              </w:rPr>
              <w:t>20</w:t>
            </w:r>
          </w:p>
        </w:tc>
        <w:tc>
          <w:tcPr>
            <w:tcW w:w="1497" w:type="dxa"/>
            <w:tcBorders>
              <w:top w:val="single" w:sz="4" w:space="0" w:color="auto"/>
              <w:left w:val="single" w:sz="4" w:space="0" w:color="auto"/>
              <w:bottom w:val="single" w:sz="4" w:space="0" w:color="auto"/>
              <w:right w:val="single" w:sz="4" w:space="0" w:color="auto"/>
            </w:tcBorders>
            <w:vAlign w:val="bottom"/>
          </w:tcPr>
          <w:p w14:paraId="52453425" w14:textId="640CDF58" w:rsidR="00F87CCE" w:rsidRPr="009B117E" w:rsidRDefault="004D4383" w:rsidP="00F87CCE">
            <w:pPr>
              <w:jc w:val="right"/>
              <w:rPr>
                <w:rFonts w:cs="Arial"/>
                <w:szCs w:val="20"/>
              </w:rPr>
            </w:pPr>
            <w:r w:rsidRPr="009B117E">
              <w:rPr>
                <w:rFonts w:cs="Arial"/>
                <w:szCs w:val="20"/>
              </w:rPr>
              <w:t>$6,391.92</w:t>
            </w:r>
          </w:p>
        </w:tc>
        <w:tc>
          <w:tcPr>
            <w:tcW w:w="2111" w:type="dxa"/>
            <w:tcBorders>
              <w:top w:val="single" w:sz="4" w:space="0" w:color="auto"/>
              <w:left w:val="single" w:sz="4" w:space="0" w:color="auto"/>
              <w:bottom w:val="single" w:sz="4" w:space="0" w:color="auto"/>
              <w:right w:val="single" w:sz="4" w:space="0" w:color="auto"/>
            </w:tcBorders>
            <w:vAlign w:val="bottom"/>
          </w:tcPr>
          <w:p w14:paraId="43EE586B" w14:textId="6BC2D233" w:rsidR="00F87CCE" w:rsidRPr="009B117E" w:rsidRDefault="0050085E" w:rsidP="00F87CCE">
            <w:pPr>
              <w:jc w:val="right"/>
              <w:rPr>
                <w:rFonts w:cs="Arial"/>
                <w:szCs w:val="20"/>
              </w:rPr>
            </w:pPr>
            <w:r w:rsidRPr="009B117E">
              <w:rPr>
                <w:rFonts w:cs="Arial"/>
                <w:szCs w:val="20"/>
              </w:rPr>
              <w:t>$319.60</w:t>
            </w:r>
          </w:p>
        </w:tc>
      </w:tr>
      <w:tr w:rsidR="00591210" w:rsidRPr="00902CF9" w14:paraId="2641C34F"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7977F679" w14:textId="4F865A50" w:rsidR="00591210" w:rsidRPr="009B117E" w:rsidRDefault="00591210" w:rsidP="00591210">
            <w:pPr>
              <w:rPr>
                <w:rFonts w:cs="Arial"/>
                <w:szCs w:val="20"/>
              </w:rPr>
            </w:pPr>
            <w:r w:rsidRPr="009B117E">
              <w:rPr>
                <w:rFonts w:cs="Arial"/>
                <w:szCs w:val="20"/>
              </w:rPr>
              <w:t>FERUMOXYTOL 510 MG/17 ML VIAL</w:t>
            </w:r>
          </w:p>
        </w:tc>
        <w:tc>
          <w:tcPr>
            <w:tcW w:w="1112" w:type="dxa"/>
            <w:tcBorders>
              <w:top w:val="single" w:sz="4" w:space="0" w:color="auto"/>
              <w:left w:val="single" w:sz="4" w:space="0" w:color="auto"/>
              <w:bottom w:val="single" w:sz="4" w:space="0" w:color="auto"/>
              <w:right w:val="single" w:sz="4" w:space="0" w:color="auto"/>
            </w:tcBorders>
            <w:vAlign w:val="bottom"/>
          </w:tcPr>
          <w:p w14:paraId="0A377047" w14:textId="70438E25" w:rsidR="00591210" w:rsidRPr="009B117E" w:rsidRDefault="00591210" w:rsidP="00591210">
            <w:pPr>
              <w:jc w:val="center"/>
              <w:rPr>
                <w:rFonts w:cs="Arial"/>
                <w:szCs w:val="20"/>
              </w:rPr>
            </w:pPr>
            <w:r w:rsidRPr="009B117E">
              <w:rPr>
                <w:rFonts w:cs="Arial"/>
                <w:szCs w:val="20"/>
              </w:rPr>
              <w:t>28</w:t>
            </w:r>
          </w:p>
        </w:tc>
        <w:tc>
          <w:tcPr>
            <w:tcW w:w="1497" w:type="dxa"/>
            <w:tcBorders>
              <w:top w:val="single" w:sz="4" w:space="0" w:color="auto"/>
              <w:left w:val="single" w:sz="4" w:space="0" w:color="auto"/>
              <w:bottom w:val="single" w:sz="4" w:space="0" w:color="auto"/>
              <w:right w:val="single" w:sz="4" w:space="0" w:color="auto"/>
            </w:tcBorders>
            <w:vAlign w:val="bottom"/>
          </w:tcPr>
          <w:p w14:paraId="0BDB1210" w14:textId="6AB10E89" w:rsidR="00591210" w:rsidRPr="009B117E" w:rsidRDefault="00591210" w:rsidP="00591210">
            <w:pPr>
              <w:jc w:val="right"/>
              <w:rPr>
                <w:rFonts w:cs="Arial"/>
                <w:szCs w:val="20"/>
              </w:rPr>
            </w:pPr>
            <w:r w:rsidRPr="009B117E">
              <w:rPr>
                <w:rFonts w:cs="Arial"/>
                <w:szCs w:val="20"/>
              </w:rPr>
              <w:t>$8,517.69</w:t>
            </w:r>
          </w:p>
        </w:tc>
        <w:tc>
          <w:tcPr>
            <w:tcW w:w="2111" w:type="dxa"/>
            <w:tcBorders>
              <w:top w:val="single" w:sz="4" w:space="0" w:color="auto"/>
              <w:left w:val="single" w:sz="4" w:space="0" w:color="auto"/>
              <w:bottom w:val="single" w:sz="4" w:space="0" w:color="auto"/>
              <w:right w:val="single" w:sz="4" w:space="0" w:color="auto"/>
            </w:tcBorders>
            <w:vAlign w:val="bottom"/>
          </w:tcPr>
          <w:p w14:paraId="6E50A11D" w14:textId="25878998" w:rsidR="00591210" w:rsidRPr="009B117E" w:rsidRDefault="00591210" w:rsidP="00591210">
            <w:pPr>
              <w:jc w:val="right"/>
              <w:rPr>
                <w:rFonts w:cs="Arial"/>
                <w:szCs w:val="20"/>
              </w:rPr>
            </w:pPr>
            <w:r w:rsidRPr="009B117E">
              <w:rPr>
                <w:rFonts w:cs="Arial"/>
                <w:szCs w:val="20"/>
              </w:rPr>
              <w:t>$304.20</w:t>
            </w:r>
          </w:p>
        </w:tc>
      </w:tr>
      <w:tr w:rsidR="00F87CCE" w:rsidRPr="00902CF9" w14:paraId="0A1EF85E"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77B43C05" w14:textId="19EC81AA" w:rsidR="00F87CCE" w:rsidRPr="009B117E" w:rsidRDefault="0050085E" w:rsidP="00F87CCE">
            <w:pPr>
              <w:rPr>
                <w:rFonts w:cs="Arial"/>
                <w:szCs w:val="20"/>
              </w:rPr>
            </w:pPr>
            <w:r w:rsidRPr="009B117E">
              <w:rPr>
                <w:rFonts w:cs="Arial"/>
                <w:szCs w:val="20"/>
              </w:rPr>
              <w:t>FERRLECIT 62.5 MG/5 ML VIAL</w:t>
            </w:r>
          </w:p>
        </w:tc>
        <w:tc>
          <w:tcPr>
            <w:tcW w:w="1112" w:type="dxa"/>
            <w:tcBorders>
              <w:top w:val="single" w:sz="4" w:space="0" w:color="auto"/>
              <w:left w:val="single" w:sz="4" w:space="0" w:color="auto"/>
              <w:bottom w:val="single" w:sz="4" w:space="0" w:color="auto"/>
              <w:right w:val="single" w:sz="4" w:space="0" w:color="auto"/>
            </w:tcBorders>
            <w:vAlign w:val="bottom"/>
          </w:tcPr>
          <w:p w14:paraId="586F93BC" w14:textId="7B61DF41" w:rsidR="00F87CCE" w:rsidRPr="009B117E" w:rsidRDefault="0050085E" w:rsidP="00F87CCE">
            <w:pPr>
              <w:jc w:val="center"/>
              <w:rPr>
                <w:rFonts w:cs="Arial"/>
                <w:szCs w:val="20"/>
              </w:rPr>
            </w:pPr>
            <w:r w:rsidRPr="009B117E">
              <w:rPr>
                <w:rFonts w:cs="Arial"/>
                <w:szCs w:val="20"/>
              </w:rPr>
              <w:t>1</w:t>
            </w:r>
            <w:r w:rsidR="005C4A5C" w:rsidRPr="009B117E">
              <w:rPr>
                <w:rFonts w:cs="Arial"/>
                <w:szCs w:val="20"/>
              </w:rPr>
              <w:t>,</w:t>
            </w:r>
            <w:r w:rsidRPr="009B117E">
              <w:rPr>
                <w:rFonts w:cs="Arial"/>
                <w:szCs w:val="20"/>
              </w:rPr>
              <w:t>817</w:t>
            </w:r>
          </w:p>
        </w:tc>
        <w:tc>
          <w:tcPr>
            <w:tcW w:w="1497" w:type="dxa"/>
            <w:tcBorders>
              <w:top w:val="single" w:sz="4" w:space="0" w:color="auto"/>
              <w:left w:val="single" w:sz="4" w:space="0" w:color="auto"/>
              <w:bottom w:val="single" w:sz="4" w:space="0" w:color="auto"/>
              <w:right w:val="single" w:sz="4" w:space="0" w:color="auto"/>
            </w:tcBorders>
            <w:vAlign w:val="bottom"/>
          </w:tcPr>
          <w:p w14:paraId="4B838051" w14:textId="3C31C9F0" w:rsidR="00F87CCE" w:rsidRPr="009B117E" w:rsidRDefault="005C4A5C" w:rsidP="00F87CCE">
            <w:pPr>
              <w:jc w:val="right"/>
              <w:rPr>
                <w:rFonts w:cs="Arial"/>
                <w:szCs w:val="20"/>
              </w:rPr>
            </w:pPr>
            <w:r w:rsidRPr="009B117E">
              <w:rPr>
                <w:rFonts w:cs="Arial"/>
                <w:szCs w:val="20"/>
              </w:rPr>
              <w:t>$86,078.71</w:t>
            </w:r>
          </w:p>
        </w:tc>
        <w:tc>
          <w:tcPr>
            <w:tcW w:w="2111" w:type="dxa"/>
            <w:tcBorders>
              <w:top w:val="single" w:sz="4" w:space="0" w:color="auto"/>
              <w:left w:val="single" w:sz="4" w:space="0" w:color="auto"/>
              <w:bottom w:val="single" w:sz="4" w:space="0" w:color="auto"/>
              <w:right w:val="single" w:sz="4" w:space="0" w:color="auto"/>
            </w:tcBorders>
            <w:vAlign w:val="bottom"/>
          </w:tcPr>
          <w:p w14:paraId="0EDE8848" w14:textId="59A9C5A8" w:rsidR="00F87CCE" w:rsidRPr="009B117E" w:rsidRDefault="005C4A5C" w:rsidP="00F87CCE">
            <w:pPr>
              <w:jc w:val="right"/>
              <w:rPr>
                <w:rFonts w:cs="Arial"/>
                <w:szCs w:val="20"/>
              </w:rPr>
            </w:pPr>
            <w:r w:rsidRPr="009B117E">
              <w:rPr>
                <w:rFonts w:cs="Arial"/>
                <w:szCs w:val="20"/>
              </w:rPr>
              <w:t>$47.37</w:t>
            </w:r>
          </w:p>
        </w:tc>
      </w:tr>
      <w:tr w:rsidR="00BE71C7" w:rsidRPr="00902CF9" w14:paraId="18C5FE8D"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3E2621A6" w14:textId="081CA2C2" w:rsidR="00BE71C7" w:rsidRPr="009B117E" w:rsidRDefault="00BE71C7" w:rsidP="00BE71C7">
            <w:pPr>
              <w:rPr>
                <w:rFonts w:cs="Arial"/>
                <w:szCs w:val="20"/>
              </w:rPr>
            </w:pPr>
            <w:r w:rsidRPr="009B117E">
              <w:rPr>
                <w:rFonts w:cs="Arial"/>
                <w:szCs w:val="20"/>
              </w:rPr>
              <w:t>SOD FER GLUC CPLX 62.5 MG/5 ML</w:t>
            </w:r>
          </w:p>
        </w:tc>
        <w:tc>
          <w:tcPr>
            <w:tcW w:w="1112" w:type="dxa"/>
            <w:tcBorders>
              <w:top w:val="single" w:sz="4" w:space="0" w:color="auto"/>
              <w:left w:val="single" w:sz="4" w:space="0" w:color="auto"/>
              <w:bottom w:val="single" w:sz="4" w:space="0" w:color="auto"/>
              <w:right w:val="single" w:sz="4" w:space="0" w:color="auto"/>
            </w:tcBorders>
            <w:vAlign w:val="bottom"/>
          </w:tcPr>
          <w:p w14:paraId="57E5A22A" w14:textId="4D9CB335" w:rsidR="00BE71C7" w:rsidRPr="009B117E" w:rsidRDefault="00BE71C7" w:rsidP="00BE71C7">
            <w:pPr>
              <w:jc w:val="center"/>
              <w:rPr>
                <w:rFonts w:cs="Arial"/>
                <w:szCs w:val="20"/>
              </w:rPr>
            </w:pPr>
            <w:r w:rsidRPr="009B117E">
              <w:rPr>
                <w:rFonts w:cs="Arial"/>
                <w:szCs w:val="20"/>
              </w:rPr>
              <w:t>1,328</w:t>
            </w:r>
          </w:p>
        </w:tc>
        <w:tc>
          <w:tcPr>
            <w:tcW w:w="1497" w:type="dxa"/>
            <w:tcBorders>
              <w:top w:val="single" w:sz="4" w:space="0" w:color="auto"/>
              <w:left w:val="single" w:sz="4" w:space="0" w:color="auto"/>
              <w:bottom w:val="single" w:sz="4" w:space="0" w:color="auto"/>
              <w:right w:val="single" w:sz="4" w:space="0" w:color="auto"/>
            </w:tcBorders>
            <w:vAlign w:val="bottom"/>
          </w:tcPr>
          <w:p w14:paraId="1F8AFC54" w14:textId="0F93E414" w:rsidR="00BE71C7" w:rsidRPr="009B117E" w:rsidRDefault="00BE71C7" w:rsidP="00BE71C7">
            <w:pPr>
              <w:jc w:val="right"/>
              <w:rPr>
                <w:rFonts w:cs="Arial"/>
                <w:szCs w:val="20"/>
              </w:rPr>
            </w:pPr>
            <w:r w:rsidRPr="009B117E">
              <w:rPr>
                <w:rFonts w:cs="Arial"/>
                <w:szCs w:val="20"/>
              </w:rPr>
              <w:t>$33,095.70</w:t>
            </w:r>
          </w:p>
        </w:tc>
        <w:tc>
          <w:tcPr>
            <w:tcW w:w="2111" w:type="dxa"/>
            <w:tcBorders>
              <w:top w:val="single" w:sz="4" w:space="0" w:color="auto"/>
              <w:left w:val="single" w:sz="4" w:space="0" w:color="auto"/>
              <w:bottom w:val="single" w:sz="4" w:space="0" w:color="auto"/>
              <w:right w:val="single" w:sz="4" w:space="0" w:color="auto"/>
            </w:tcBorders>
            <w:vAlign w:val="bottom"/>
          </w:tcPr>
          <w:p w14:paraId="31FED88A" w14:textId="37A1955A" w:rsidR="00BE71C7" w:rsidRPr="009B117E" w:rsidRDefault="00BE71C7" w:rsidP="00BE71C7">
            <w:pPr>
              <w:jc w:val="right"/>
              <w:rPr>
                <w:rFonts w:cs="Arial"/>
                <w:szCs w:val="20"/>
              </w:rPr>
            </w:pPr>
            <w:r w:rsidRPr="009B117E">
              <w:rPr>
                <w:rFonts w:cs="Arial"/>
                <w:szCs w:val="20"/>
              </w:rPr>
              <w:t>$24.92</w:t>
            </w:r>
          </w:p>
        </w:tc>
      </w:tr>
      <w:tr w:rsidR="00C86560" w:rsidRPr="00902CF9" w14:paraId="742B8CB1"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0D779679" w14:textId="5D90D24B" w:rsidR="00C86560" w:rsidRPr="009B117E" w:rsidRDefault="00C86560" w:rsidP="00F87CCE">
            <w:pPr>
              <w:rPr>
                <w:rFonts w:cs="Arial"/>
                <w:szCs w:val="20"/>
              </w:rPr>
            </w:pPr>
            <w:r w:rsidRPr="009B117E">
              <w:rPr>
                <w:rFonts w:cs="Arial"/>
                <w:szCs w:val="20"/>
              </w:rPr>
              <w:t>INFED 100 MG/2 ML VIAL</w:t>
            </w:r>
            <w:r w:rsidRPr="009B117E">
              <w:rPr>
                <w:rFonts w:cs="Arial"/>
                <w:szCs w:val="20"/>
              </w:rPr>
              <w:tab/>
            </w:r>
          </w:p>
        </w:tc>
        <w:tc>
          <w:tcPr>
            <w:tcW w:w="1112" w:type="dxa"/>
            <w:tcBorders>
              <w:top w:val="single" w:sz="4" w:space="0" w:color="auto"/>
              <w:left w:val="single" w:sz="4" w:space="0" w:color="auto"/>
              <w:bottom w:val="single" w:sz="4" w:space="0" w:color="auto"/>
              <w:right w:val="single" w:sz="4" w:space="0" w:color="auto"/>
            </w:tcBorders>
            <w:vAlign w:val="bottom"/>
          </w:tcPr>
          <w:p w14:paraId="3FD45C46" w14:textId="24C16E7E" w:rsidR="00C86560" w:rsidRPr="009B117E" w:rsidRDefault="00532B72" w:rsidP="00F87CCE">
            <w:pPr>
              <w:jc w:val="center"/>
              <w:rPr>
                <w:rFonts w:cs="Arial"/>
                <w:szCs w:val="20"/>
              </w:rPr>
            </w:pPr>
            <w:r w:rsidRPr="009B117E">
              <w:rPr>
                <w:rFonts w:cs="Arial"/>
                <w:szCs w:val="20"/>
              </w:rPr>
              <w:t>1,179</w:t>
            </w:r>
          </w:p>
        </w:tc>
        <w:tc>
          <w:tcPr>
            <w:tcW w:w="1497" w:type="dxa"/>
            <w:tcBorders>
              <w:top w:val="single" w:sz="4" w:space="0" w:color="auto"/>
              <w:left w:val="single" w:sz="4" w:space="0" w:color="auto"/>
              <w:bottom w:val="single" w:sz="4" w:space="0" w:color="auto"/>
              <w:right w:val="single" w:sz="4" w:space="0" w:color="auto"/>
            </w:tcBorders>
            <w:vAlign w:val="bottom"/>
          </w:tcPr>
          <w:p w14:paraId="50E4CBBC" w14:textId="2AE3EE30" w:rsidR="00C86560" w:rsidRPr="009B117E" w:rsidRDefault="00532B72" w:rsidP="00F87CCE">
            <w:pPr>
              <w:jc w:val="right"/>
              <w:rPr>
                <w:rFonts w:cs="Arial"/>
                <w:szCs w:val="20"/>
              </w:rPr>
            </w:pPr>
            <w:r w:rsidRPr="009B117E">
              <w:rPr>
                <w:rFonts w:cs="Arial"/>
                <w:szCs w:val="20"/>
              </w:rPr>
              <w:t>$308,263.63</w:t>
            </w:r>
          </w:p>
        </w:tc>
        <w:tc>
          <w:tcPr>
            <w:tcW w:w="2111" w:type="dxa"/>
            <w:tcBorders>
              <w:top w:val="single" w:sz="4" w:space="0" w:color="auto"/>
              <w:left w:val="single" w:sz="4" w:space="0" w:color="auto"/>
              <w:bottom w:val="single" w:sz="4" w:space="0" w:color="auto"/>
              <w:right w:val="single" w:sz="4" w:space="0" w:color="auto"/>
            </w:tcBorders>
            <w:vAlign w:val="bottom"/>
          </w:tcPr>
          <w:p w14:paraId="7468D11F" w14:textId="1E30626F" w:rsidR="00C86560" w:rsidRPr="009B117E" w:rsidRDefault="00532B72" w:rsidP="00F87CCE">
            <w:pPr>
              <w:jc w:val="right"/>
              <w:rPr>
                <w:rFonts w:cs="Arial"/>
                <w:szCs w:val="20"/>
              </w:rPr>
            </w:pPr>
            <w:r w:rsidRPr="009B117E">
              <w:rPr>
                <w:rFonts w:cs="Arial"/>
                <w:szCs w:val="20"/>
              </w:rPr>
              <w:t>$261.46</w:t>
            </w:r>
          </w:p>
        </w:tc>
      </w:tr>
      <w:tr w:rsidR="00C86560" w:rsidRPr="00902CF9" w14:paraId="76EFD050"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45C15B03" w14:textId="386814AE" w:rsidR="00C86560" w:rsidRPr="009B117E" w:rsidRDefault="00532B72" w:rsidP="00F87CCE">
            <w:pPr>
              <w:rPr>
                <w:rFonts w:cs="Arial"/>
                <w:szCs w:val="20"/>
              </w:rPr>
            </w:pPr>
            <w:r w:rsidRPr="009B117E">
              <w:rPr>
                <w:rFonts w:cs="Arial"/>
                <w:szCs w:val="20"/>
              </w:rPr>
              <w:t>INJECTAFER 100 MG/2 ML VIAL</w:t>
            </w:r>
          </w:p>
        </w:tc>
        <w:tc>
          <w:tcPr>
            <w:tcW w:w="1112" w:type="dxa"/>
            <w:tcBorders>
              <w:top w:val="single" w:sz="4" w:space="0" w:color="auto"/>
              <w:left w:val="single" w:sz="4" w:space="0" w:color="auto"/>
              <w:bottom w:val="single" w:sz="4" w:space="0" w:color="auto"/>
              <w:right w:val="single" w:sz="4" w:space="0" w:color="auto"/>
            </w:tcBorders>
            <w:vAlign w:val="bottom"/>
          </w:tcPr>
          <w:p w14:paraId="25CD4D8B" w14:textId="74C7F47C" w:rsidR="00C86560" w:rsidRPr="009B117E" w:rsidRDefault="00880D10" w:rsidP="00F87CCE">
            <w:pPr>
              <w:jc w:val="center"/>
              <w:rPr>
                <w:rFonts w:cs="Arial"/>
                <w:szCs w:val="20"/>
              </w:rPr>
            </w:pPr>
            <w:r w:rsidRPr="009B117E">
              <w:rPr>
                <w:rFonts w:cs="Arial"/>
                <w:szCs w:val="20"/>
              </w:rPr>
              <w:t>1</w:t>
            </w:r>
          </w:p>
        </w:tc>
        <w:tc>
          <w:tcPr>
            <w:tcW w:w="1497" w:type="dxa"/>
            <w:tcBorders>
              <w:top w:val="single" w:sz="4" w:space="0" w:color="auto"/>
              <w:left w:val="single" w:sz="4" w:space="0" w:color="auto"/>
              <w:bottom w:val="single" w:sz="4" w:space="0" w:color="auto"/>
              <w:right w:val="single" w:sz="4" w:space="0" w:color="auto"/>
            </w:tcBorders>
            <w:vAlign w:val="bottom"/>
          </w:tcPr>
          <w:p w14:paraId="5024A3F6" w14:textId="03EDFBB8" w:rsidR="00C86560" w:rsidRPr="009B117E" w:rsidRDefault="00880D10" w:rsidP="00F87CCE">
            <w:pPr>
              <w:jc w:val="right"/>
              <w:rPr>
                <w:rFonts w:cs="Arial"/>
                <w:szCs w:val="20"/>
              </w:rPr>
            </w:pPr>
            <w:r w:rsidRPr="009B117E">
              <w:rPr>
                <w:rFonts w:cs="Arial"/>
                <w:szCs w:val="20"/>
              </w:rPr>
              <w:t>$243.80</w:t>
            </w:r>
          </w:p>
        </w:tc>
        <w:tc>
          <w:tcPr>
            <w:tcW w:w="2111" w:type="dxa"/>
            <w:tcBorders>
              <w:top w:val="single" w:sz="4" w:space="0" w:color="auto"/>
              <w:left w:val="single" w:sz="4" w:space="0" w:color="auto"/>
              <w:bottom w:val="single" w:sz="4" w:space="0" w:color="auto"/>
              <w:right w:val="single" w:sz="4" w:space="0" w:color="auto"/>
            </w:tcBorders>
            <w:vAlign w:val="bottom"/>
          </w:tcPr>
          <w:p w14:paraId="28B305BC" w14:textId="4F8D6327" w:rsidR="00C86560" w:rsidRPr="009B117E" w:rsidRDefault="00880D10" w:rsidP="00F87CCE">
            <w:pPr>
              <w:jc w:val="right"/>
              <w:rPr>
                <w:rFonts w:cs="Arial"/>
                <w:szCs w:val="20"/>
              </w:rPr>
            </w:pPr>
            <w:r w:rsidRPr="009B117E">
              <w:rPr>
                <w:rFonts w:cs="Arial"/>
                <w:szCs w:val="20"/>
              </w:rPr>
              <w:t>$243.80</w:t>
            </w:r>
          </w:p>
        </w:tc>
      </w:tr>
      <w:tr w:rsidR="00C86560" w:rsidRPr="00902CF9" w14:paraId="7F205C1F"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69179727" w14:textId="3AF841B2" w:rsidR="00C86560" w:rsidRPr="009B117E" w:rsidRDefault="00880D10" w:rsidP="00F87CCE">
            <w:pPr>
              <w:rPr>
                <w:rFonts w:cs="Arial"/>
                <w:szCs w:val="20"/>
              </w:rPr>
            </w:pPr>
            <w:r w:rsidRPr="009B117E">
              <w:rPr>
                <w:rFonts w:cs="Arial"/>
                <w:szCs w:val="20"/>
              </w:rPr>
              <w:t>INJECTAFER 750 MG/15 ML VIAL</w:t>
            </w:r>
          </w:p>
        </w:tc>
        <w:tc>
          <w:tcPr>
            <w:tcW w:w="1112" w:type="dxa"/>
            <w:tcBorders>
              <w:top w:val="single" w:sz="4" w:space="0" w:color="auto"/>
              <w:left w:val="single" w:sz="4" w:space="0" w:color="auto"/>
              <w:bottom w:val="single" w:sz="4" w:space="0" w:color="auto"/>
              <w:right w:val="single" w:sz="4" w:space="0" w:color="auto"/>
            </w:tcBorders>
            <w:vAlign w:val="bottom"/>
          </w:tcPr>
          <w:p w14:paraId="490EAA61" w14:textId="4F9483AC" w:rsidR="00C86560" w:rsidRPr="009B117E" w:rsidRDefault="000460AE" w:rsidP="00F87CCE">
            <w:pPr>
              <w:jc w:val="center"/>
              <w:rPr>
                <w:rFonts w:cs="Arial"/>
                <w:szCs w:val="20"/>
              </w:rPr>
            </w:pPr>
            <w:r w:rsidRPr="009B117E">
              <w:rPr>
                <w:rFonts w:cs="Arial"/>
                <w:szCs w:val="20"/>
              </w:rPr>
              <w:t>30</w:t>
            </w:r>
          </w:p>
        </w:tc>
        <w:tc>
          <w:tcPr>
            <w:tcW w:w="1497" w:type="dxa"/>
            <w:tcBorders>
              <w:top w:val="single" w:sz="4" w:space="0" w:color="auto"/>
              <w:left w:val="single" w:sz="4" w:space="0" w:color="auto"/>
              <w:bottom w:val="single" w:sz="4" w:space="0" w:color="auto"/>
              <w:right w:val="single" w:sz="4" w:space="0" w:color="auto"/>
            </w:tcBorders>
            <w:vAlign w:val="bottom"/>
          </w:tcPr>
          <w:p w14:paraId="52AB24B4" w14:textId="13EC814F" w:rsidR="00C86560" w:rsidRPr="009B117E" w:rsidRDefault="000460AE" w:rsidP="00F87CCE">
            <w:pPr>
              <w:jc w:val="right"/>
              <w:rPr>
                <w:rFonts w:cs="Arial"/>
                <w:szCs w:val="20"/>
              </w:rPr>
            </w:pPr>
            <w:r w:rsidRPr="009B117E">
              <w:rPr>
                <w:rFonts w:cs="Arial"/>
                <w:szCs w:val="20"/>
              </w:rPr>
              <w:t>$22,459.16</w:t>
            </w:r>
          </w:p>
        </w:tc>
        <w:tc>
          <w:tcPr>
            <w:tcW w:w="2111" w:type="dxa"/>
            <w:tcBorders>
              <w:top w:val="single" w:sz="4" w:space="0" w:color="auto"/>
              <w:left w:val="single" w:sz="4" w:space="0" w:color="auto"/>
              <w:bottom w:val="single" w:sz="4" w:space="0" w:color="auto"/>
              <w:right w:val="single" w:sz="4" w:space="0" w:color="auto"/>
            </w:tcBorders>
            <w:vAlign w:val="bottom"/>
          </w:tcPr>
          <w:p w14:paraId="0AABE296" w14:textId="28A1F053" w:rsidR="00C86560" w:rsidRPr="009B117E" w:rsidRDefault="000460AE" w:rsidP="00F87CCE">
            <w:pPr>
              <w:jc w:val="right"/>
              <w:rPr>
                <w:rFonts w:cs="Arial"/>
                <w:szCs w:val="20"/>
              </w:rPr>
            </w:pPr>
            <w:r w:rsidRPr="009B117E">
              <w:rPr>
                <w:rFonts w:cs="Arial"/>
                <w:szCs w:val="20"/>
              </w:rPr>
              <w:t>$748.64</w:t>
            </w:r>
          </w:p>
        </w:tc>
      </w:tr>
      <w:tr w:rsidR="00C86560" w:rsidRPr="00902CF9" w14:paraId="5FA514A7"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3FCB6E41" w14:textId="1BE9F521" w:rsidR="00C86560" w:rsidRPr="009B117E" w:rsidRDefault="0030681F" w:rsidP="00F87CCE">
            <w:pPr>
              <w:rPr>
                <w:rFonts w:cs="Arial"/>
                <w:szCs w:val="20"/>
              </w:rPr>
            </w:pPr>
            <w:r w:rsidRPr="009B117E">
              <w:rPr>
                <w:rFonts w:cs="Arial"/>
                <w:szCs w:val="20"/>
              </w:rPr>
              <w:t>MONOFERRIC 1,000 MG/10 ML VIAL</w:t>
            </w:r>
          </w:p>
        </w:tc>
        <w:tc>
          <w:tcPr>
            <w:tcW w:w="1112" w:type="dxa"/>
            <w:tcBorders>
              <w:top w:val="single" w:sz="4" w:space="0" w:color="auto"/>
              <w:left w:val="single" w:sz="4" w:space="0" w:color="auto"/>
              <w:bottom w:val="single" w:sz="4" w:space="0" w:color="auto"/>
              <w:right w:val="single" w:sz="4" w:space="0" w:color="auto"/>
            </w:tcBorders>
            <w:vAlign w:val="bottom"/>
          </w:tcPr>
          <w:p w14:paraId="7A519B76" w14:textId="334C7B0E" w:rsidR="00C86560" w:rsidRPr="009B117E" w:rsidRDefault="0030681F" w:rsidP="00F87CCE">
            <w:pPr>
              <w:jc w:val="center"/>
              <w:rPr>
                <w:rFonts w:cs="Arial"/>
                <w:szCs w:val="20"/>
              </w:rPr>
            </w:pPr>
            <w:r w:rsidRPr="009B117E">
              <w:rPr>
                <w:rFonts w:cs="Arial"/>
                <w:szCs w:val="20"/>
              </w:rPr>
              <w:t>20</w:t>
            </w:r>
          </w:p>
        </w:tc>
        <w:tc>
          <w:tcPr>
            <w:tcW w:w="1497" w:type="dxa"/>
            <w:tcBorders>
              <w:top w:val="single" w:sz="4" w:space="0" w:color="auto"/>
              <w:left w:val="single" w:sz="4" w:space="0" w:color="auto"/>
              <w:bottom w:val="single" w:sz="4" w:space="0" w:color="auto"/>
              <w:right w:val="single" w:sz="4" w:space="0" w:color="auto"/>
            </w:tcBorders>
            <w:vAlign w:val="bottom"/>
          </w:tcPr>
          <w:p w14:paraId="27C5F4A1" w14:textId="68F2BED0" w:rsidR="00C86560" w:rsidRPr="009B117E" w:rsidRDefault="002C78BB" w:rsidP="00F87CCE">
            <w:pPr>
              <w:jc w:val="right"/>
              <w:rPr>
                <w:rFonts w:cs="Arial"/>
                <w:szCs w:val="20"/>
              </w:rPr>
            </w:pPr>
            <w:r w:rsidRPr="009B117E">
              <w:rPr>
                <w:rFonts w:cs="Arial"/>
                <w:szCs w:val="20"/>
              </w:rPr>
              <w:t>$24,189.01</w:t>
            </w:r>
          </w:p>
        </w:tc>
        <w:tc>
          <w:tcPr>
            <w:tcW w:w="2111" w:type="dxa"/>
            <w:tcBorders>
              <w:top w:val="single" w:sz="4" w:space="0" w:color="auto"/>
              <w:left w:val="single" w:sz="4" w:space="0" w:color="auto"/>
              <w:bottom w:val="single" w:sz="4" w:space="0" w:color="auto"/>
              <w:right w:val="single" w:sz="4" w:space="0" w:color="auto"/>
            </w:tcBorders>
            <w:vAlign w:val="bottom"/>
          </w:tcPr>
          <w:p w14:paraId="70469A94" w14:textId="13BE0F40" w:rsidR="00C86560" w:rsidRPr="009B117E" w:rsidRDefault="002C78BB" w:rsidP="00F87CCE">
            <w:pPr>
              <w:jc w:val="right"/>
              <w:rPr>
                <w:rFonts w:cs="Arial"/>
                <w:szCs w:val="20"/>
              </w:rPr>
            </w:pPr>
            <w:r w:rsidRPr="009B117E">
              <w:rPr>
                <w:rFonts w:cs="Arial"/>
                <w:szCs w:val="20"/>
              </w:rPr>
              <w:t>$1,209.45</w:t>
            </w:r>
          </w:p>
        </w:tc>
      </w:tr>
      <w:tr w:rsidR="009B117E" w:rsidRPr="00902CF9" w14:paraId="0F261657"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6CD2E928" w14:textId="40E88792" w:rsidR="009B117E" w:rsidRPr="009B117E" w:rsidRDefault="009B117E" w:rsidP="009B117E">
            <w:pPr>
              <w:rPr>
                <w:rFonts w:cs="Arial"/>
                <w:szCs w:val="20"/>
              </w:rPr>
            </w:pPr>
            <w:r w:rsidRPr="009B117E">
              <w:rPr>
                <w:rFonts w:cs="Arial"/>
                <w:szCs w:val="20"/>
              </w:rPr>
              <w:t>VENOFER 50 MG/2.5 ML VIAL</w:t>
            </w:r>
          </w:p>
        </w:tc>
        <w:tc>
          <w:tcPr>
            <w:tcW w:w="1112" w:type="dxa"/>
            <w:tcBorders>
              <w:top w:val="single" w:sz="4" w:space="0" w:color="auto"/>
              <w:left w:val="single" w:sz="4" w:space="0" w:color="auto"/>
              <w:bottom w:val="single" w:sz="4" w:space="0" w:color="auto"/>
              <w:right w:val="single" w:sz="4" w:space="0" w:color="auto"/>
            </w:tcBorders>
            <w:vAlign w:val="bottom"/>
          </w:tcPr>
          <w:p w14:paraId="72478B74" w14:textId="33A5C548" w:rsidR="009B117E" w:rsidRPr="009B117E" w:rsidRDefault="009B117E" w:rsidP="009B117E">
            <w:pPr>
              <w:jc w:val="center"/>
              <w:rPr>
                <w:rFonts w:cs="Arial"/>
                <w:szCs w:val="20"/>
              </w:rPr>
            </w:pPr>
            <w:r w:rsidRPr="009B117E">
              <w:rPr>
                <w:rFonts w:cs="Arial"/>
                <w:szCs w:val="20"/>
              </w:rPr>
              <w:t>6,039</w:t>
            </w:r>
          </w:p>
        </w:tc>
        <w:tc>
          <w:tcPr>
            <w:tcW w:w="1497" w:type="dxa"/>
            <w:tcBorders>
              <w:top w:val="single" w:sz="4" w:space="0" w:color="auto"/>
              <w:left w:val="single" w:sz="4" w:space="0" w:color="auto"/>
              <w:bottom w:val="single" w:sz="4" w:space="0" w:color="auto"/>
              <w:right w:val="single" w:sz="4" w:space="0" w:color="auto"/>
            </w:tcBorders>
            <w:vAlign w:val="bottom"/>
          </w:tcPr>
          <w:p w14:paraId="3DBDDEF2" w14:textId="798E1B71" w:rsidR="009B117E" w:rsidRPr="009B117E" w:rsidRDefault="009B117E" w:rsidP="009B117E">
            <w:pPr>
              <w:jc w:val="right"/>
              <w:rPr>
                <w:rFonts w:cs="Arial"/>
                <w:szCs w:val="20"/>
              </w:rPr>
            </w:pPr>
            <w:r w:rsidRPr="009B117E">
              <w:rPr>
                <w:rFonts w:cs="Arial"/>
                <w:szCs w:val="20"/>
              </w:rPr>
              <w:t>$105,639.63</w:t>
            </w:r>
          </w:p>
        </w:tc>
        <w:tc>
          <w:tcPr>
            <w:tcW w:w="2111" w:type="dxa"/>
            <w:tcBorders>
              <w:top w:val="single" w:sz="4" w:space="0" w:color="auto"/>
              <w:left w:val="single" w:sz="4" w:space="0" w:color="auto"/>
              <w:bottom w:val="single" w:sz="4" w:space="0" w:color="auto"/>
              <w:right w:val="single" w:sz="4" w:space="0" w:color="auto"/>
            </w:tcBorders>
            <w:vAlign w:val="bottom"/>
          </w:tcPr>
          <w:p w14:paraId="381EC2DB" w14:textId="5BBFB868" w:rsidR="009B117E" w:rsidRPr="009B117E" w:rsidRDefault="009B117E" w:rsidP="009B117E">
            <w:pPr>
              <w:jc w:val="right"/>
              <w:rPr>
                <w:rFonts w:cs="Arial"/>
                <w:szCs w:val="20"/>
              </w:rPr>
            </w:pPr>
            <w:r w:rsidRPr="009B117E">
              <w:rPr>
                <w:rFonts w:cs="Arial"/>
                <w:szCs w:val="20"/>
              </w:rPr>
              <w:t>$17.49</w:t>
            </w:r>
          </w:p>
        </w:tc>
      </w:tr>
      <w:tr w:rsidR="000460AE" w:rsidRPr="00902CF9" w14:paraId="4D837D45"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016B4C25" w14:textId="4BA4D443" w:rsidR="000460AE" w:rsidRPr="009B117E" w:rsidRDefault="00B53E07" w:rsidP="00F87CCE">
            <w:pPr>
              <w:rPr>
                <w:rFonts w:cs="Arial"/>
                <w:szCs w:val="20"/>
              </w:rPr>
            </w:pPr>
            <w:r w:rsidRPr="009B117E">
              <w:rPr>
                <w:rFonts w:cs="Arial"/>
                <w:szCs w:val="20"/>
              </w:rPr>
              <w:t>VENOFER 100 MG/5 ML VIAL</w:t>
            </w:r>
          </w:p>
        </w:tc>
        <w:tc>
          <w:tcPr>
            <w:tcW w:w="1112" w:type="dxa"/>
            <w:tcBorders>
              <w:top w:val="single" w:sz="4" w:space="0" w:color="auto"/>
              <w:left w:val="single" w:sz="4" w:space="0" w:color="auto"/>
              <w:bottom w:val="single" w:sz="4" w:space="0" w:color="auto"/>
              <w:right w:val="single" w:sz="4" w:space="0" w:color="auto"/>
            </w:tcBorders>
            <w:vAlign w:val="bottom"/>
          </w:tcPr>
          <w:p w14:paraId="0C54E94F" w14:textId="309D1BBB" w:rsidR="000460AE" w:rsidRPr="009B117E" w:rsidRDefault="00B53E07" w:rsidP="00F87CCE">
            <w:pPr>
              <w:jc w:val="center"/>
              <w:rPr>
                <w:rFonts w:cs="Arial"/>
                <w:szCs w:val="20"/>
              </w:rPr>
            </w:pPr>
            <w:r w:rsidRPr="009B117E">
              <w:rPr>
                <w:rFonts w:cs="Arial"/>
                <w:szCs w:val="20"/>
              </w:rPr>
              <w:t>16,708</w:t>
            </w:r>
          </w:p>
        </w:tc>
        <w:tc>
          <w:tcPr>
            <w:tcW w:w="1497" w:type="dxa"/>
            <w:tcBorders>
              <w:top w:val="single" w:sz="4" w:space="0" w:color="auto"/>
              <w:left w:val="single" w:sz="4" w:space="0" w:color="auto"/>
              <w:bottom w:val="single" w:sz="4" w:space="0" w:color="auto"/>
              <w:right w:val="single" w:sz="4" w:space="0" w:color="auto"/>
            </w:tcBorders>
            <w:vAlign w:val="bottom"/>
          </w:tcPr>
          <w:p w14:paraId="30872237" w14:textId="5A8FEC97" w:rsidR="000460AE" w:rsidRPr="009B117E" w:rsidRDefault="00C5194A" w:rsidP="00F87CCE">
            <w:pPr>
              <w:jc w:val="right"/>
              <w:rPr>
                <w:rFonts w:cs="Arial"/>
                <w:szCs w:val="20"/>
              </w:rPr>
            </w:pPr>
            <w:r w:rsidRPr="009B117E">
              <w:rPr>
                <w:rFonts w:cs="Arial"/>
                <w:szCs w:val="20"/>
              </w:rPr>
              <w:t>$1,071,859.46</w:t>
            </w:r>
          </w:p>
        </w:tc>
        <w:tc>
          <w:tcPr>
            <w:tcW w:w="2111" w:type="dxa"/>
            <w:tcBorders>
              <w:top w:val="single" w:sz="4" w:space="0" w:color="auto"/>
              <w:left w:val="single" w:sz="4" w:space="0" w:color="auto"/>
              <w:bottom w:val="single" w:sz="4" w:space="0" w:color="auto"/>
              <w:right w:val="single" w:sz="4" w:space="0" w:color="auto"/>
            </w:tcBorders>
            <w:vAlign w:val="bottom"/>
          </w:tcPr>
          <w:p w14:paraId="4B3864E5" w14:textId="729666E5" w:rsidR="000460AE" w:rsidRPr="009B117E" w:rsidRDefault="00C5194A" w:rsidP="00F87CCE">
            <w:pPr>
              <w:jc w:val="right"/>
              <w:rPr>
                <w:rFonts w:cs="Arial"/>
                <w:szCs w:val="20"/>
              </w:rPr>
            </w:pPr>
            <w:r w:rsidRPr="009B117E">
              <w:rPr>
                <w:rFonts w:cs="Arial"/>
                <w:szCs w:val="20"/>
              </w:rPr>
              <w:t>$64.15</w:t>
            </w:r>
          </w:p>
        </w:tc>
      </w:tr>
      <w:tr w:rsidR="009B117E" w:rsidRPr="00902CF9" w14:paraId="37DB201F"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1D56689C" w14:textId="16E6D8A2" w:rsidR="009B117E" w:rsidRPr="009B117E" w:rsidRDefault="009B117E" w:rsidP="009B117E">
            <w:pPr>
              <w:rPr>
                <w:rFonts w:cs="Arial"/>
                <w:szCs w:val="20"/>
              </w:rPr>
            </w:pPr>
            <w:r w:rsidRPr="009B117E">
              <w:rPr>
                <w:rFonts w:cs="Arial"/>
                <w:szCs w:val="20"/>
              </w:rPr>
              <w:t>IRON SUCROSE 100 MG/5 ML VIAL</w:t>
            </w:r>
          </w:p>
        </w:tc>
        <w:tc>
          <w:tcPr>
            <w:tcW w:w="1112" w:type="dxa"/>
            <w:tcBorders>
              <w:top w:val="single" w:sz="4" w:space="0" w:color="auto"/>
              <w:left w:val="single" w:sz="4" w:space="0" w:color="auto"/>
              <w:bottom w:val="single" w:sz="4" w:space="0" w:color="auto"/>
              <w:right w:val="single" w:sz="4" w:space="0" w:color="auto"/>
            </w:tcBorders>
            <w:vAlign w:val="bottom"/>
          </w:tcPr>
          <w:p w14:paraId="16F7F6AD" w14:textId="57DF40E0" w:rsidR="009B117E" w:rsidRPr="009B117E" w:rsidRDefault="009B117E" w:rsidP="009B117E">
            <w:pPr>
              <w:jc w:val="center"/>
              <w:rPr>
                <w:rFonts w:cs="Arial"/>
                <w:szCs w:val="20"/>
              </w:rPr>
            </w:pPr>
            <w:r w:rsidRPr="009B117E">
              <w:rPr>
                <w:rFonts w:cs="Arial"/>
                <w:szCs w:val="20"/>
              </w:rPr>
              <w:t>1</w:t>
            </w:r>
            <w:r w:rsidR="007E19E7">
              <w:rPr>
                <w:rFonts w:cs="Arial"/>
                <w:szCs w:val="20"/>
              </w:rPr>
              <w:t>,</w:t>
            </w:r>
            <w:r w:rsidRPr="009B117E">
              <w:rPr>
                <w:rFonts w:cs="Arial"/>
                <w:szCs w:val="20"/>
              </w:rPr>
              <w:t>408</w:t>
            </w:r>
          </w:p>
        </w:tc>
        <w:tc>
          <w:tcPr>
            <w:tcW w:w="1497" w:type="dxa"/>
            <w:tcBorders>
              <w:top w:val="single" w:sz="4" w:space="0" w:color="auto"/>
              <w:left w:val="single" w:sz="4" w:space="0" w:color="auto"/>
              <w:bottom w:val="single" w:sz="4" w:space="0" w:color="auto"/>
              <w:right w:val="single" w:sz="4" w:space="0" w:color="auto"/>
            </w:tcBorders>
            <w:vAlign w:val="bottom"/>
          </w:tcPr>
          <w:p w14:paraId="41BF01B2" w14:textId="09A0210C" w:rsidR="009B117E" w:rsidRPr="009B117E" w:rsidRDefault="009B117E" w:rsidP="009B117E">
            <w:pPr>
              <w:jc w:val="right"/>
              <w:rPr>
                <w:rFonts w:cs="Arial"/>
                <w:szCs w:val="20"/>
              </w:rPr>
            </w:pPr>
            <w:r w:rsidRPr="009B117E">
              <w:rPr>
                <w:rFonts w:cs="Arial"/>
                <w:szCs w:val="20"/>
              </w:rPr>
              <w:t>$119,622.08</w:t>
            </w:r>
          </w:p>
        </w:tc>
        <w:tc>
          <w:tcPr>
            <w:tcW w:w="2111" w:type="dxa"/>
            <w:tcBorders>
              <w:top w:val="single" w:sz="4" w:space="0" w:color="auto"/>
              <w:left w:val="single" w:sz="4" w:space="0" w:color="auto"/>
              <w:bottom w:val="single" w:sz="4" w:space="0" w:color="auto"/>
              <w:right w:val="single" w:sz="4" w:space="0" w:color="auto"/>
            </w:tcBorders>
            <w:vAlign w:val="bottom"/>
          </w:tcPr>
          <w:p w14:paraId="57B0E201" w14:textId="5F208347" w:rsidR="009B117E" w:rsidRPr="009B117E" w:rsidRDefault="009B117E" w:rsidP="009B117E">
            <w:pPr>
              <w:jc w:val="right"/>
              <w:rPr>
                <w:rFonts w:cs="Arial"/>
                <w:szCs w:val="20"/>
              </w:rPr>
            </w:pPr>
            <w:r w:rsidRPr="009B117E">
              <w:rPr>
                <w:rFonts w:cs="Arial"/>
                <w:szCs w:val="20"/>
              </w:rPr>
              <w:t>$84.96</w:t>
            </w:r>
          </w:p>
        </w:tc>
      </w:tr>
      <w:tr w:rsidR="000460AE" w:rsidRPr="00902CF9" w14:paraId="681EDF6C"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48699A94" w14:textId="66DC8E42" w:rsidR="000460AE" w:rsidRPr="009B117E" w:rsidRDefault="00C5194A" w:rsidP="00F87CCE">
            <w:pPr>
              <w:rPr>
                <w:rFonts w:cs="Arial"/>
                <w:szCs w:val="20"/>
              </w:rPr>
            </w:pPr>
            <w:r w:rsidRPr="009B117E">
              <w:rPr>
                <w:rFonts w:cs="Arial"/>
                <w:szCs w:val="20"/>
              </w:rPr>
              <w:t>VENOFER 200 MG/10 ML VIAL</w:t>
            </w:r>
          </w:p>
        </w:tc>
        <w:tc>
          <w:tcPr>
            <w:tcW w:w="1112" w:type="dxa"/>
            <w:tcBorders>
              <w:top w:val="single" w:sz="4" w:space="0" w:color="auto"/>
              <w:left w:val="single" w:sz="4" w:space="0" w:color="auto"/>
              <w:bottom w:val="single" w:sz="4" w:space="0" w:color="auto"/>
              <w:right w:val="single" w:sz="4" w:space="0" w:color="auto"/>
            </w:tcBorders>
            <w:vAlign w:val="bottom"/>
          </w:tcPr>
          <w:p w14:paraId="165C09CB" w14:textId="4622A398" w:rsidR="000460AE" w:rsidRPr="009B117E" w:rsidRDefault="0003166D" w:rsidP="00F87CCE">
            <w:pPr>
              <w:jc w:val="center"/>
              <w:rPr>
                <w:rFonts w:cs="Arial"/>
                <w:szCs w:val="20"/>
              </w:rPr>
            </w:pPr>
            <w:r w:rsidRPr="009B117E">
              <w:rPr>
                <w:rFonts w:cs="Arial"/>
                <w:szCs w:val="20"/>
              </w:rPr>
              <w:t>2,440</w:t>
            </w:r>
          </w:p>
        </w:tc>
        <w:tc>
          <w:tcPr>
            <w:tcW w:w="1497" w:type="dxa"/>
            <w:tcBorders>
              <w:top w:val="single" w:sz="4" w:space="0" w:color="auto"/>
              <w:left w:val="single" w:sz="4" w:space="0" w:color="auto"/>
              <w:bottom w:val="single" w:sz="4" w:space="0" w:color="auto"/>
              <w:right w:val="single" w:sz="4" w:space="0" w:color="auto"/>
            </w:tcBorders>
            <w:vAlign w:val="bottom"/>
          </w:tcPr>
          <w:p w14:paraId="63F0650B" w14:textId="580AFB9C" w:rsidR="000460AE" w:rsidRPr="009B117E" w:rsidRDefault="0003166D" w:rsidP="00F87CCE">
            <w:pPr>
              <w:jc w:val="right"/>
              <w:rPr>
                <w:rFonts w:cs="Arial"/>
                <w:szCs w:val="20"/>
              </w:rPr>
            </w:pPr>
            <w:r w:rsidRPr="009B117E">
              <w:rPr>
                <w:rFonts w:cs="Arial"/>
                <w:szCs w:val="20"/>
              </w:rPr>
              <w:t>$167,785.25</w:t>
            </w:r>
          </w:p>
        </w:tc>
        <w:tc>
          <w:tcPr>
            <w:tcW w:w="2111" w:type="dxa"/>
            <w:tcBorders>
              <w:top w:val="single" w:sz="4" w:space="0" w:color="auto"/>
              <w:left w:val="single" w:sz="4" w:space="0" w:color="auto"/>
              <w:bottom w:val="single" w:sz="4" w:space="0" w:color="auto"/>
              <w:right w:val="single" w:sz="4" w:space="0" w:color="auto"/>
            </w:tcBorders>
            <w:vAlign w:val="bottom"/>
          </w:tcPr>
          <w:p w14:paraId="18614EF6" w14:textId="244DA3A7" w:rsidR="000460AE" w:rsidRPr="009B117E" w:rsidRDefault="0003166D" w:rsidP="00F87CCE">
            <w:pPr>
              <w:jc w:val="right"/>
              <w:rPr>
                <w:rFonts w:cs="Arial"/>
                <w:szCs w:val="20"/>
              </w:rPr>
            </w:pPr>
            <w:r w:rsidRPr="009B117E">
              <w:rPr>
                <w:rFonts w:cs="Arial"/>
                <w:szCs w:val="20"/>
              </w:rPr>
              <w:t>$68.76</w:t>
            </w:r>
          </w:p>
        </w:tc>
      </w:tr>
      <w:tr w:rsidR="00FD39F8" w:rsidRPr="00902CF9" w14:paraId="7209003A" w14:textId="77777777" w:rsidTr="009B117E">
        <w:trPr>
          <w:trHeight w:val="232"/>
          <w:jc w:val="center"/>
        </w:trPr>
        <w:tc>
          <w:tcPr>
            <w:tcW w:w="3691" w:type="dxa"/>
            <w:tcBorders>
              <w:top w:val="single" w:sz="4" w:space="0" w:color="auto"/>
              <w:left w:val="single" w:sz="4" w:space="0" w:color="auto"/>
              <w:bottom w:val="single" w:sz="4" w:space="0" w:color="auto"/>
              <w:right w:val="single" w:sz="4" w:space="0" w:color="auto"/>
            </w:tcBorders>
            <w:vAlign w:val="bottom"/>
          </w:tcPr>
          <w:p w14:paraId="08897B52" w14:textId="4C6F0EA7" w:rsidR="00FD39F8" w:rsidRPr="009B117E" w:rsidRDefault="00FD39F8" w:rsidP="00FD39F8">
            <w:pPr>
              <w:rPr>
                <w:rFonts w:cs="Arial"/>
                <w:szCs w:val="20"/>
              </w:rPr>
            </w:pPr>
            <w:r w:rsidRPr="009B117E">
              <w:rPr>
                <w:rFonts w:cs="Arial"/>
                <w:szCs w:val="20"/>
              </w:rPr>
              <w:t>IRON SUCROSE 200 MG/10 ML VIAL</w:t>
            </w:r>
          </w:p>
        </w:tc>
        <w:tc>
          <w:tcPr>
            <w:tcW w:w="1112" w:type="dxa"/>
            <w:tcBorders>
              <w:top w:val="single" w:sz="4" w:space="0" w:color="auto"/>
              <w:left w:val="single" w:sz="4" w:space="0" w:color="auto"/>
              <w:bottom w:val="single" w:sz="4" w:space="0" w:color="auto"/>
              <w:right w:val="single" w:sz="4" w:space="0" w:color="auto"/>
            </w:tcBorders>
            <w:vAlign w:val="bottom"/>
          </w:tcPr>
          <w:p w14:paraId="1D4CAEF7" w14:textId="5B920CFC" w:rsidR="00FD39F8" w:rsidRPr="009B117E" w:rsidRDefault="00FD39F8" w:rsidP="00FD39F8">
            <w:pPr>
              <w:jc w:val="center"/>
              <w:rPr>
                <w:rFonts w:cs="Arial"/>
                <w:szCs w:val="20"/>
              </w:rPr>
            </w:pPr>
            <w:r w:rsidRPr="009B117E">
              <w:rPr>
                <w:rFonts w:cs="Arial"/>
                <w:szCs w:val="20"/>
              </w:rPr>
              <w:t>350</w:t>
            </w:r>
          </w:p>
        </w:tc>
        <w:tc>
          <w:tcPr>
            <w:tcW w:w="1497" w:type="dxa"/>
            <w:tcBorders>
              <w:top w:val="single" w:sz="4" w:space="0" w:color="auto"/>
              <w:left w:val="single" w:sz="4" w:space="0" w:color="auto"/>
              <w:bottom w:val="single" w:sz="4" w:space="0" w:color="auto"/>
              <w:right w:val="single" w:sz="4" w:space="0" w:color="auto"/>
            </w:tcBorders>
            <w:vAlign w:val="bottom"/>
          </w:tcPr>
          <w:p w14:paraId="21E0F9B9" w14:textId="0D09041B" w:rsidR="00FD39F8" w:rsidRPr="009B117E" w:rsidRDefault="00FD39F8" w:rsidP="00FD39F8">
            <w:pPr>
              <w:jc w:val="right"/>
              <w:rPr>
                <w:rFonts w:cs="Arial"/>
                <w:szCs w:val="20"/>
              </w:rPr>
            </w:pPr>
            <w:r w:rsidRPr="009B117E">
              <w:rPr>
                <w:rFonts w:cs="Arial"/>
                <w:szCs w:val="20"/>
              </w:rPr>
              <w:t>$28,919.15</w:t>
            </w:r>
          </w:p>
        </w:tc>
        <w:tc>
          <w:tcPr>
            <w:tcW w:w="2111" w:type="dxa"/>
            <w:tcBorders>
              <w:top w:val="single" w:sz="4" w:space="0" w:color="auto"/>
              <w:left w:val="single" w:sz="4" w:space="0" w:color="auto"/>
              <w:bottom w:val="single" w:sz="4" w:space="0" w:color="auto"/>
              <w:right w:val="single" w:sz="4" w:space="0" w:color="auto"/>
            </w:tcBorders>
            <w:vAlign w:val="bottom"/>
          </w:tcPr>
          <w:p w14:paraId="4ED8E654" w14:textId="2DEF2A25" w:rsidR="00FD39F8" w:rsidRPr="009B117E" w:rsidRDefault="00FD39F8" w:rsidP="00FD39F8">
            <w:pPr>
              <w:jc w:val="right"/>
              <w:rPr>
                <w:rFonts w:cs="Arial"/>
                <w:szCs w:val="20"/>
              </w:rPr>
            </w:pPr>
            <w:r w:rsidRPr="009B117E">
              <w:rPr>
                <w:rFonts w:cs="Arial"/>
                <w:szCs w:val="20"/>
              </w:rPr>
              <w:t>$82.63</w:t>
            </w:r>
          </w:p>
        </w:tc>
      </w:tr>
    </w:tbl>
    <w:p w14:paraId="4691DC98" w14:textId="77777777" w:rsidR="003D4704" w:rsidRDefault="003D4704" w:rsidP="003D4704">
      <w:pPr>
        <w:rPr>
          <w:rFonts w:cs="Arial"/>
          <w:szCs w:val="20"/>
        </w:rPr>
      </w:pPr>
    </w:p>
    <w:p w14:paraId="6413C027" w14:textId="7AA9DA5F" w:rsidR="00AE77DB" w:rsidRPr="00C02553" w:rsidRDefault="00AE77DB" w:rsidP="00E354AA">
      <w:pPr>
        <w:pStyle w:val="Heading1"/>
        <w:rPr>
          <w:lang w:val="en-US"/>
        </w:rPr>
      </w:pPr>
      <w:r w:rsidRPr="00C02553">
        <w:rPr>
          <w:lang w:val="en-US"/>
        </w:rPr>
        <w:t xml:space="preserve">Setting &amp; Population </w:t>
      </w:r>
    </w:p>
    <w:p w14:paraId="04B7FBFB" w14:textId="5408F980" w:rsidR="0097028A" w:rsidRPr="0079438F" w:rsidRDefault="0097028A" w:rsidP="00696E3A">
      <w:pPr>
        <w:rPr>
          <w:b/>
        </w:rPr>
      </w:pPr>
      <w:r w:rsidRPr="00696E3A">
        <w:rPr>
          <w:b/>
          <w:bCs/>
        </w:rPr>
        <w:t>Drug class for review:</w:t>
      </w:r>
      <w:r w:rsidRPr="00C02553">
        <w:t xml:space="preserve"> </w:t>
      </w:r>
      <w:r w:rsidR="00DC737E" w:rsidRPr="00DC737E">
        <w:t>Injectable iron therapy</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1479B54A" w14:textId="77777777" w:rsidR="00603510" w:rsidRPr="00603510" w:rsidRDefault="00603510" w:rsidP="00603510">
      <w:pPr>
        <w:numPr>
          <w:ilvl w:val="0"/>
          <w:numId w:val="16"/>
        </w:numPr>
        <w:contextualSpacing/>
        <w:rPr>
          <w:rFonts w:cs="Arial"/>
          <w:bCs/>
          <w:szCs w:val="20"/>
        </w:rPr>
      </w:pPr>
      <w:r w:rsidRPr="00603510">
        <w:rPr>
          <w:rFonts w:cs="Arial"/>
          <w:bCs/>
          <w:szCs w:val="20"/>
        </w:rPr>
        <w:lastRenderedPageBreak/>
        <w:t>Must meet one of the following:</w:t>
      </w:r>
    </w:p>
    <w:p w14:paraId="1C2C8225" w14:textId="2E0FD9F2" w:rsidR="00603510" w:rsidRPr="00603510" w:rsidRDefault="00603510" w:rsidP="00603510">
      <w:pPr>
        <w:numPr>
          <w:ilvl w:val="1"/>
          <w:numId w:val="16"/>
        </w:numPr>
        <w:ind w:left="720"/>
        <w:contextualSpacing/>
        <w:rPr>
          <w:rFonts w:cs="Arial"/>
          <w:bCs/>
          <w:szCs w:val="20"/>
        </w:rPr>
      </w:pPr>
      <w:r w:rsidRPr="00603510">
        <w:rPr>
          <w:rFonts w:cs="Arial"/>
          <w:bCs/>
          <w:szCs w:val="20"/>
        </w:rPr>
        <w:t>Claim is for Ferrlecit, Infed,</w:t>
      </w:r>
      <w:r w:rsidR="002A659A">
        <w:rPr>
          <w:rFonts w:cs="Arial"/>
          <w:bCs/>
          <w:szCs w:val="20"/>
        </w:rPr>
        <w:t xml:space="preserve"> </w:t>
      </w:r>
      <w:r w:rsidRPr="00603510">
        <w:rPr>
          <w:rFonts w:cs="Arial"/>
          <w:bCs/>
          <w:szCs w:val="20"/>
        </w:rPr>
        <w:t xml:space="preserve">or Venofer; </w:t>
      </w:r>
      <w:r w:rsidRPr="00603510">
        <w:rPr>
          <w:rFonts w:cs="Arial"/>
          <w:b/>
          <w:szCs w:val="20"/>
        </w:rPr>
        <w:t>OR</w:t>
      </w:r>
    </w:p>
    <w:p w14:paraId="728989FF" w14:textId="77777777" w:rsidR="00603510" w:rsidRPr="00603510" w:rsidRDefault="00603510" w:rsidP="00603510">
      <w:pPr>
        <w:numPr>
          <w:ilvl w:val="1"/>
          <w:numId w:val="16"/>
        </w:numPr>
        <w:ind w:left="720"/>
        <w:contextualSpacing/>
        <w:rPr>
          <w:rFonts w:cs="Arial"/>
          <w:bCs/>
          <w:szCs w:val="20"/>
        </w:rPr>
      </w:pPr>
      <w:r w:rsidRPr="00603510">
        <w:rPr>
          <w:rFonts w:cs="Arial"/>
          <w:bCs/>
          <w:szCs w:val="20"/>
        </w:rPr>
        <w:t xml:space="preserve">Claim is for Feraheme – must meet </w:t>
      </w:r>
      <w:proofErr w:type="gramStart"/>
      <w:r w:rsidRPr="00603510">
        <w:rPr>
          <w:rFonts w:cs="Arial"/>
          <w:bCs/>
          <w:szCs w:val="20"/>
        </w:rPr>
        <w:t>all of</w:t>
      </w:r>
      <w:proofErr w:type="gramEnd"/>
      <w:r w:rsidRPr="00603510">
        <w:rPr>
          <w:rFonts w:cs="Arial"/>
          <w:bCs/>
          <w:szCs w:val="20"/>
        </w:rPr>
        <w:t xml:space="preserve"> the following:</w:t>
      </w:r>
    </w:p>
    <w:p w14:paraId="2180038F" w14:textId="77777777" w:rsidR="00603510" w:rsidRPr="00603510" w:rsidRDefault="00603510" w:rsidP="00041B62">
      <w:pPr>
        <w:numPr>
          <w:ilvl w:val="2"/>
          <w:numId w:val="16"/>
        </w:numPr>
        <w:ind w:left="1080"/>
        <w:contextualSpacing/>
        <w:rPr>
          <w:rFonts w:cs="Arial"/>
          <w:bCs/>
          <w:szCs w:val="20"/>
        </w:rPr>
      </w:pPr>
      <w:r w:rsidRPr="00603510">
        <w:rPr>
          <w:rFonts w:cs="Arial"/>
          <w:bCs/>
          <w:szCs w:val="20"/>
        </w:rPr>
        <w:t>Documented diagnosis of iron deficiency anemia;</w:t>
      </w:r>
    </w:p>
    <w:p w14:paraId="47154B9B" w14:textId="77777777" w:rsidR="00603510" w:rsidRPr="00603510" w:rsidRDefault="00603510" w:rsidP="00041B62">
      <w:pPr>
        <w:numPr>
          <w:ilvl w:val="2"/>
          <w:numId w:val="16"/>
        </w:numPr>
        <w:ind w:left="1080"/>
        <w:contextualSpacing/>
        <w:rPr>
          <w:rFonts w:cs="Arial"/>
          <w:bCs/>
          <w:szCs w:val="20"/>
        </w:rPr>
      </w:pPr>
      <w:r w:rsidRPr="00603510">
        <w:rPr>
          <w:rFonts w:cs="Arial"/>
          <w:bCs/>
          <w:szCs w:val="20"/>
        </w:rPr>
        <w:t xml:space="preserve">Documented adequate therapeutic trial, intolerance, or contraindication to oral iron therapy (defined as 60 days in the past 90 days); </w:t>
      </w:r>
    </w:p>
    <w:p w14:paraId="17025E2A" w14:textId="77777777" w:rsidR="00603510" w:rsidRPr="00603510" w:rsidRDefault="00603510" w:rsidP="00041B62">
      <w:pPr>
        <w:numPr>
          <w:ilvl w:val="2"/>
          <w:numId w:val="16"/>
        </w:numPr>
        <w:ind w:left="1080"/>
        <w:contextualSpacing/>
        <w:rPr>
          <w:rFonts w:cs="Arial"/>
          <w:bCs/>
          <w:szCs w:val="20"/>
        </w:rPr>
      </w:pPr>
      <w:r w:rsidRPr="00603510">
        <w:rPr>
          <w:rFonts w:cs="Arial"/>
          <w:bCs/>
          <w:szCs w:val="20"/>
        </w:rPr>
        <w:t xml:space="preserve">Documented adequate therapeutic trial, intolerance, or contraindication to at least 2 of the following agents: Infed, Ferrlecit, or Venofer (trial defined as 1 claim in the past 90 days); </w:t>
      </w:r>
    </w:p>
    <w:p w14:paraId="50E33777" w14:textId="77777777" w:rsidR="00603510" w:rsidRPr="00603510" w:rsidRDefault="00603510" w:rsidP="00041B62">
      <w:pPr>
        <w:numPr>
          <w:ilvl w:val="2"/>
          <w:numId w:val="16"/>
        </w:numPr>
        <w:ind w:left="1080"/>
        <w:contextualSpacing/>
        <w:rPr>
          <w:rFonts w:cs="Arial"/>
          <w:bCs/>
          <w:szCs w:val="20"/>
        </w:rPr>
      </w:pPr>
      <w:r w:rsidRPr="00603510">
        <w:rPr>
          <w:rFonts w:cs="Arial"/>
          <w:bCs/>
          <w:szCs w:val="20"/>
        </w:rPr>
        <w:t xml:space="preserve">Participant is aged 18 years or older; </w:t>
      </w:r>
      <w:r w:rsidRPr="00603510">
        <w:rPr>
          <w:rFonts w:cs="Arial"/>
          <w:b/>
          <w:szCs w:val="20"/>
        </w:rPr>
        <w:t>AND</w:t>
      </w:r>
    </w:p>
    <w:p w14:paraId="37D3B1A3" w14:textId="77777777" w:rsidR="00603510" w:rsidRPr="00603510" w:rsidRDefault="00603510" w:rsidP="00041B62">
      <w:pPr>
        <w:numPr>
          <w:ilvl w:val="2"/>
          <w:numId w:val="16"/>
        </w:numPr>
        <w:ind w:left="1080"/>
        <w:contextualSpacing/>
        <w:rPr>
          <w:rFonts w:cs="Arial"/>
          <w:bCs/>
          <w:szCs w:val="20"/>
        </w:rPr>
      </w:pPr>
      <w:r w:rsidRPr="00603510">
        <w:rPr>
          <w:rFonts w:cs="Arial"/>
          <w:bCs/>
          <w:szCs w:val="20"/>
        </w:rPr>
        <w:t>Participant is dialysis dependent;</w:t>
      </w:r>
    </w:p>
    <w:p w14:paraId="4F529926" w14:textId="77777777" w:rsidR="00603510" w:rsidRPr="00603510" w:rsidRDefault="00603510" w:rsidP="00603510">
      <w:pPr>
        <w:numPr>
          <w:ilvl w:val="1"/>
          <w:numId w:val="16"/>
        </w:numPr>
        <w:ind w:left="720"/>
        <w:contextualSpacing/>
        <w:rPr>
          <w:rFonts w:cs="Arial"/>
          <w:bCs/>
          <w:szCs w:val="20"/>
        </w:rPr>
      </w:pPr>
      <w:r w:rsidRPr="00603510">
        <w:rPr>
          <w:rFonts w:cs="Arial"/>
          <w:bCs/>
          <w:szCs w:val="20"/>
        </w:rPr>
        <w:t xml:space="preserve">Claim is for Injectafer – must meet </w:t>
      </w:r>
      <w:proofErr w:type="gramStart"/>
      <w:r w:rsidRPr="00603510">
        <w:rPr>
          <w:rFonts w:cs="Arial"/>
          <w:bCs/>
          <w:szCs w:val="20"/>
        </w:rPr>
        <w:t>all of</w:t>
      </w:r>
      <w:proofErr w:type="gramEnd"/>
      <w:r w:rsidRPr="00603510">
        <w:rPr>
          <w:rFonts w:cs="Arial"/>
          <w:bCs/>
          <w:szCs w:val="20"/>
        </w:rPr>
        <w:t xml:space="preserve"> the following:</w:t>
      </w:r>
    </w:p>
    <w:p w14:paraId="2ECA25F7" w14:textId="77777777" w:rsidR="00603510" w:rsidRPr="00603510" w:rsidRDefault="00603510" w:rsidP="00041B62">
      <w:pPr>
        <w:numPr>
          <w:ilvl w:val="2"/>
          <w:numId w:val="16"/>
        </w:numPr>
        <w:ind w:left="1080"/>
        <w:contextualSpacing/>
        <w:rPr>
          <w:rFonts w:cs="Arial"/>
          <w:bCs/>
          <w:szCs w:val="20"/>
        </w:rPr>
      </w:pPr>
      <w:r w:rsidRPr="00603510">
        <w:rPr>
          <w:rFonts w:cs="Arial"/>
          <w:bCs/>
          <w:szCs w:val="20"/>
        </w:rPr>
        <w:t>Documented diagnosis of iron deficiency anemia;</w:t>
      </w:r>
    </w:p>
    <w:p w14:paraId="1C1F426F" w14:textId="77777777" w:rsidR="00603510" w:rsidRPr="00603510" w:rsidRDefault="00603510" w:rsidP="00041B62">
      <w:pPr>
        <w:numPr>
          <w:ilvl w:val="2"/>
          <w:numId w:val="16"/>
        </w:numPr>
        <w:ind w:left="1080"/>
        <w:contextualSpacing/>
        <w:rPr>
          <w:rFonts w:cs="Arial"/>
          <w:bCs/>
          <w:szCs w:val="20"/>
        </w:rPr>
      </w:pPr>
      <w:r w:rsidRPr="00603510">
        <w:rPr>
          <w:rFonts w:cs="Arial"/>
          <w:bCs/>
          <w:szCs w:val="20"/>
        </w:rPr>
        <w:t xml:space="preserve">Documented adequate therapeutic trial, intolerance, or contraindication to oral iron therapy (defined as 60 days in the past 90 days); </w:t>
      </w:r>
      <w:r w:rsidRPr="00603510">
        <w:rPr>
          <w:rFonts w:cs="Arial"/>
          <w:b/>
          <w:szCs w:val="20"/>
        </w:rPr>
        <w:t>AND</w:t>
      </w:r>
    </w:p>
    <w:p w14:paraId="76445DA9" w14:textId="77777777" w:rsidR="00603510" w:rsidRPr="00603510" w:rsidRDefault="00603510" w:rsidP="00041B62">
      <w:pPr>
        <w:numPr>
          <w:ilvl w:val="2"/>
          <w:numId w:val="16"/>
        </w:numPr>
        <w:ind w:left="1080"/>
        <w:contextualSpacing/>
        <w:rPr>
          <w:rFonts w:cs="Arial"/>
          <w:bCs/>
          <w:szCs w:val="20"/>
        </w:rPr>
      </w:pPr>
      <w:r w:rsidRPr="00603510">
        <w:rPr>
          <w:rFonts w:cs="Arial"/>
          <w:bCs/>
          <w:szCs w:val="20"/>
        </w:rPr>
        <w:t xml:space="preserve">Documented adequate therapeutic trial, intolerance, or contraindication to at least 2 of the following agents: Infed, Ferrlecit, or Venofer (trial defined as 1 claim in the past 90 days); </w:t>
      </w:r>
      <w:r w:rsidRPr="00603510">
        <w:rPr>
          <w:rFonts w:cs="Arial"/>
          <w:b/>
          <w:szCs w:val="20"/>
        </w:rPr>
        <w:t>OR</w:t>
      </w:r>
    </w:p>
    <w:p w14:paraId="37CA0538" w14:textId="77777777" w:rsidR="00603510" w:rsidRPr="00603510" w:rsidRDefault="00603510" w:rsidP="00603510">
      <w:pPr>
        <w:numPr>
          <w:ilvl w:val="1"/>
          <w:numId w:val="16"/>
        </w:numPr>
        <w:ind w:left="720"/>
        <w:contextualSpacing/>
        <w:rPr>
          <w:rFonts w:cs="Arial"/>
          <w:bCs/>
          <w:szCs w:val="20"/>
        </w:rPr>
      </w:pPr>
      <w:r w:rsidRPr="00603510">
        <w:rPr>
          <w:rFonts w:cs="Arial"/>
          <w:bCs/>
          <w:szCs w:val="20"/>
        </w:rPr>
        <w:t xml:space="preserve">Claim is for Monoferric – must meet </w:t>
      </w:r>
      <w:proofErr w:type="gramStart"/>
      <w:r w:rsidRPr="00603510">
        <w:rPr>
          <w:rFonts w:cs="Arial"/>
          <w:bCs/>
          <w:szCs w:val="20"/>
        </w:rPr>
        <w:t>all of</w:t>
      </w:r>
      <w:proofErr w:type="gramEnd"/>
      <w:r w:rsidRPr="00603510">
        <w:rPr>
          <w:rFonts w:cs="Arial"/>
          <w:bCs/>
          <w:szCs w:val="20"/>
        </w:rPr>
        <w:t xml:space="preserve"> the following:</w:t>
      </w:r>
    </w:p>
    <w:p w14:paraId="5C3713AD" w14:textId="77777777" w:rsidR="00603510" w:rsidRPr="00603510" w:rsidRDefault="00603510" w:rsidP="00FE3E4B">
      <w:pPr>
        <w:numPr>
          <w:ilvl w:val="2"/>
          <w:numId w:val="16"/>
        </w:numPr>
        <w:ind w:left="1080"/>
        <w:contextualSpacing/>
        <w:rPr>
          <w:rFonts w:cs="Arial"/>
          <w:bCs/>
          <w:szCs w:val="20"/>
        </w:rPr>
      </w:pPr>
      <w:r w:rsidRPr="00603510">
        <w:rPr>
          <w:rFonts w:cs="Arial"/>
          <w:bCs/>
          <w:szCs w:val="20"/>
        </w:rPr>
        <w:t>Documented diagnosis of iron deficiency anemia;</w:t>
      </w:r>
    </w:p>
    <w:p w14:paraId="47FAC7FD" w14:textId="77777777" w:rsidR="00603510" w:rsidRPr="00603510" w:rsidRDefault="00603510" w:rsidP="00FE3E4B">
      <w:pPr>
        <w:numPr>
          <w:ilvl w:val="2"/>
          <w:numId w:val="16"/>
        </w:numPr>
        <w:ind w:left="1080"/>
        <w:contextualSpacing/>
        <w:rPr>
          <w:rFonts w:cs="Arial"/>
          <w:bCs/>
          <w:szCs w:val="20"/>
        </w:rPr>
      </w:pPr>
      <w:r w:rsidRPr="00603510">
        <w:rPr>
          <w:rFonts w:cs="Arial"/>
          <w:bCs/>
          <w:szCs w:val="20"/>
        </w:rPr>
        <w:t xml:space="preserve">Documented adequate therapeutic trial, intolerance, or contraindication to oral iron therapy (defined as 60 days in the past 90 days); </w:t>
      </w:r>
    </w:p>
    <w:p w14:paraId="7AD6FD36" w14:textId="77777777" w:rsidR="00603510" w:rsidRPr="00603510" w:rsidRDefault="00603510" w:rsidP="00FE3E4B">
      <w:pPr>
        <w:numPr>
          <w:ilvl w:val="2"/>
          <w:numId w:val="16"/>
        </w:numPr>
        <w:ind w:left="1080"/>
        <w:contextualSpacing/>
        <w:rPr>
          <w:rFonts w:cs="Arial"/>
          <w:bCs/>
          <w:szCs w:val="20"/>
        </w:rPr>
      </w:pPr>
      <w:r w:rsidRPr="00603510">
        <w:rPr>
          <w:rFonts w:cs="Arial"/>
          <w:bCs/>
          <w:szCs w:val="20"/>
        </w:rPr>
        <w:t xml:space="preserve">Documented adequate therapeutic trial, intolerance, or contraindication to at least 2 of the following agents: Infed, Ferrlecit, or Venofer (trial defined as 1 claim in the past 90 days); </w:t>
      </w:r>
      <w:r w:rsidRPr="00603510">
        <w:rPr>
          <w:rFonts w:cs="Arial"/>
          <w:b/>
          <w:szCs w:val="20"/>
        </w:rPr>
        <w:t>AND</w:t>
      </w:r>
    </w:p>
    <w:p w14:paraId="24BD0BB0" w14:textId="77777777" w:rsidR="00603510" w:rsidRPr="00603510" w:rsidRDefault="00603510" w:rsidP="00FE3E4B">
      <w:pPr>
        <w:numPr>
          <w:ilvl w:val="2"/>
          <w:numId w:val="16"/>
        </w:numPr>
        <w:ind w:left="1080"/>
        <w:contextualSpacing/>
        <w:rPr>
          <w:rFonts w:cs="Arial"/>
          <w:bCs/>
          <w:szCs w:val="20"/>
        </w:rPr>
      </w:pPr>
      <w:r w:rsidRPr="00603510">
        <w:rPr>
          <w:rFonts w:cs="Arial"/>
          <w:bCs/>
          <w:szCs w:val="20"/>
        </w:rPr>
        <w:t>Participant is aged 18 years or older.</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4C9A2F3B" w14:textId="77777777" w:rsidR="005D5A88" w:rsidRPr="005D5A88" w:rsidRDefault="005D5A88" w:rsidP="005D5A88">
      <w:pPr>
        <w:numPr>
          <w:ilvl w:val="0"/>
          <w:numId w:val="17"/>
        </w:numPr>
        <w:contextualSpacing/>
        <w:rPr>
          <w:rFonts w:cs="Arial"/>
          <w:noProof/>
          <w:szCs w:val="20"/>
        </w:rPr>
      </w:pPr>
      <w:r w:rsidRPr="005D5A88">
        <w:rPr>
          <w:rFonts w:cs="Arial"/>
          <w:noProof/>
          <w:szCs w:val="20"/>
        </w:rPr>
        <w:t>Therapy will deny with presence of one of the following:</w:t>
      </w:r>
    </w:p>
    <w:p w14:paraId="5212D01C" w14:textId="77777777" w:rsidR="005D5A88" w:rsidRPr="005D5A88" w:rsidRDefault="005D5A88" w:rsidP="005D5A88">
      <w:pPr>
        <w:numPr>
          <w:ilvl w:val="1"/>
          <w:numId w:val="17"/>
        </w:numPr>
        <w:ind w:left="720"/>
        <w:contextualSpacing/>
        <w:rPr>
          <w:rFonts w:cs="Arial"/>
          <w:noProof/>
          <w:szCs w:val="20"/>
        </w:rPr>
      </w:pPr>
      <w:r w:rsidRPr="005D5A88">
        <w:rPr>
          <w:rFonts w:cs="Arial"/>
          <w:noProof/>
          <w:szCs w:val="20"/>
        </w:rPr>
        <w:t>Any approval criteria are not met;</w:t>
      </w:r>
    </w:p>
    <w:p w14:paraId="36C6AEAB" w14:textId="77777777" w:rsidR="005D5A88" w:rsidRPr="005D5A88" w:rsidRDefault="005D5A88" w:rsidP="005D5A88">
      <w:pPr>
        <w:numPr>
          <w:ilvl w:val="1"/>
          <w:numId w:val="17"/>
        </w:numPr>
        <w:ind w:left="720"/>
        <w:contextualSpacing/>
        <w:rPr>
          <w:rFonts w:cs="Arial"/>
          <w:noProof/>
          <w:szCs w:val="20"/>
        </w:rPr>
      </w:pPr>
      <w:r w:rsidRPr="005D5A88">
        <w:rPr>
          <w:rFonts w:cs="Arial"/>
          <w:noProof/>
          <w:szCs w:val="20"/>
        </w:rPr>
        <w:t>Claim is for Injectafer or Monoferric and participant is dialysis dependent;</w:t>
      </w:r>
      <w:r w:rsidRPr="005D5A88">
        <w:rPr>
          <w:rFonts w:cs="Arial"/>
          <w:b/>
          <w:bCs/>
          <w:noProof/>
          <w:szCs w:val="20"/>
        </w:rPr>
        <w:t xml:space="preserve"> OR</w:t>
      </w:r>
    </w:p>
    <w:p w14:paraId="7F27B08E" w14:textId="77777777" w:rsidR="005D5A88" w:rsidRPr="005D5A88" w:rsidRDefault="005D5A88" w:rsidP="005D5A88">
      <w:pPr>
        <w:numPr>
          <w:ilvl w:val="1"/>
          <w:numId w:val="17"/>
        </w:numPr>
        <w:ind w:left="720"/>
        <w:contextualSpacing/>
        <w:rPr>
          <w:rFonts w:cs="Arial"/>
          <w:noProof/>
          <w:szCs w:val="20"/>
        </w:rPr>
      </w:pPr>
      <w:r w:rsidRPr="005D5A88">
        <w:rPr>
          <w:rFonts w:cs="Arial"/>
          <w:noProof/>
          <w:szCs w:val="20"/>
        </w:rPr>
        <w:t>Claim exceeds approved dosing limitations:</w:t>
      </w:r>
    </w:p>
    <w:p w14:paraId="30AD4101" w14:textId="77777777" w:rsidR="005D5A88" w:rsidRPr="005D5A88" w:rsidRDefault="005D5A88" w:rsidP="005D5A88">
      <w:pPr>
        <w:numPr>
          <w:ilvl w:val="2"/>
          <w:numId w:val="17"/>
        </w:numPr>
        <w:ind w:left="1080"/>
        <w:contextualSpacing/>
        <w:rPr>
          <w:rFonts w:cs="Arial"/>
          <w:noProof/>
          <w:szCs w:val="20"/>
        </w:rPr>
      </w:pPr>
      <w:r w:rsidRPr="005D5A88">
        <w:rPr>
          <w:rFonts w:cs="Arial"/>
          <w:noProof/>
          <w:szCs w:val="20"/>
        </w:rPr>
        <w:t>Feraheme: 34 ml per 25 days</w:t>
      </w:r>
    </w:p>
    <w:p w14:paraId="01A3A24D" w14:textId="77777777" w:rsidR="005D5A88" w:rsidRPr="005D5A88" w:rsidRDefault="005D5A88" w:rsidP="005D5A88">
      <w:pPr>
        <w:numPr>
          <w:ilvl w:val="2"/>
          <w:numId w:val="17"/>
        </w:numPr>
        <w:ind w:left="1080"/>
        <w:contextualSpacing/>
        <w:rPr>
          <w:rFonts w:cs="Arial"/>
          <w:noProof/>
          <w:szCs w:val="20"/>
        </w:rPr>
      </w:pPr>
      <w:r w:rsidRPr="005D5A88">
        <w:rPr>
          <w:rFonts w:cs="Arial"/>
          <w:noProof/>
          <w:szCs w:val="20"/>
        </w:rPr>
        <w:t>Injectafer 100 mg/2 ml vial: 28 ml per 25 days</w:t>
      </w:r>
    </w:p>
    <w:p w14:paraId="7D961CC4" w14:textId="77777777" w:rsidR="005D5A88" w:rsidRPr="005D5A88" w:rsidRDefault="005D5A88" w:rsidP="005D5A88">
      <w:pPr>
        <w:numPr>
          <w:ilvl w:val="2"/>
          <w:numId w:val="17"/>
        </w:numPr>
        <w:ind w:left="1080"/>
        <w:contextualSpacing/>
        <w:rPr>
          <w:rFonts w:cs="Arial"/>
          <w:noProof/>
          <w:szCs w:val="20"/>
        </w:rPr>
      </w:pPr>
      <w:r w:rsidRPr="005D5A88">
        <w:rPr>
          <w:rFonts w:cs="Arial"/>
          <w:noProof/>
          <w:szCs w:val="20"/>
        </w:rPr>
        <w:t>Injectafer 750 mg/15 ml vial: 30 ml per 25 days</w:t>
      </w:r>
    </w:p>
    <w:p w14:paraId="02DA7F46" w14:textId="77777777" w:rsidR="005D5A88" w:rsidRPr="005D5A88" w:rsidRDefault="005D5A88" w:rsidP="005D5A88">
      <w:pPr>
        <w:numPr>
          <w:ilvl w:val="2"/>
          <w:numId w:val="17"/>
        </w:numPr>
        <w:ind w:left="1080"/>
        <w:contextualSpacing/>
        <w:rPr>
          <w:rFonts w:cs="Arial"/>
          <w:noProof/>
          <w:szCs w:val="20"/>
        </w:rPr>
      </w:pPr>
      <w:r w:rsidRPr="005D5A88">
        <w:rPr>
          <w:rFonts w:cs="Arial"/>
          <w:noProof/>
          <w:szCs w:val="20"/>
        </w:rPr>
        <w:t>Injectafer 1,000 mg/20 ml vial: 20 ml per 25 days</w:t>
      </w:r>
    </w:p>
    <w:p w14:paraId="13514705" w14:textId="77777777" w:rsidR="005D5A88" w:rsidRPr="005D5A88" w:rsidRDefault="005D5A88" w:rsidP="005D5A88">
      <w:pPr>
        <w:numPr>
          <w:ilvl w:val="2"/>
          <w:numId w:val="17"/>
        </w:numPr>
        <w:ind w:left="1080"/>
        <w:contextualSpacing/>
        <w:rPr>
          <w:rFonts w:cs="Arial"/>
          <w:noProof/>
          <w:szCs w:val="20"/>
        </w:rPr>
      </w:pPr>
      <w:r w:rsidRPr="005D5A88">
        <w:rPr>
          <w:rFonts w:cs="Arial"/>
          <w:noProof/>
          <w:szCs w:val="20"/>
        </w:rPr>
        <w:t>Monoferric: 10 ml per 25 days</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26BACD64" w:rsidR="005F6104" w:rsidRPr="00C02553" w:rsidRDefault="005F6104" w:rsidP="005F6104">
      <w:r w:rsidRPr="00696E3A">
        <w:rPr>
          <w:b/>
          <w:bCs/>
        </w:rPr>
        <w:t>Denial:</w:t>
      </w:r>
      <w:r w:rsidRPr="00C02553">
        <w:t xml:space="preserve"> </w:t>
      </w:r>
      <w:r w:rsidR="002335ED" w:rsidRPr="00DB083D">
        <w:rPr>
          <w:rFonts w:cs="Arial"/>
          <w:szCs w:val="20"/>
        </w:rPr>
        <w:t xml:space="preserve">Exception </w:t>
      </w:r>
      <w:r w:rsidR="002335ED">
        <w:rPr>
          <w:rFonts w:cs="Arial"/>
          <w:szCs w:val="20"/>
        </w:rPr>
        <w:t>code “0681” (Step Therapy)</w:t>
      </w:r>
    </w:p>
    <w:p w14:paraId="04B2330F" w14:textId="77777777" w:rsidR="005F6104" w:rsidRPr="00C02553" w:rsidRDefault="005F6104" w:rsidP="005F6104">
      <w:r w:rsidRPr="00696E3A">
        <w:rPr>
          <w:b/>
          <w:bCs/>
        </w:rPr>
        <w:t>Rule Type:</w:t>
      </w:r>
      <w:r w:rsidRPr="00C02553">
        <w:t xml:space="preserve"> </w:t>
      </w:r>
      <w:r>
        <w:t>CE</w:t>
      </w:r>
    </w:p>
    <w:p w14:paraId="7C2C9198" w14:textId="77777777" w:rsidR="00D87A2B" w:rsidRPr="00D87A2B" w:rsidRDefault="00343D6B" w:rsidP="00D87A2B">
      <w:pPr>
        <w:rPr>
          <w:rFonts w:cs="Arial"/>
          <w:szCs w:val="20"/>
        </w:rPr>
      </w:pPr>
      <w:r w:rsidRPr="00696E3A">
        <w:rPr>
          <w:b/>
          <w:bCs/>
        </w:rPr>
        <w:t>Default Approval Period:</w:t>
      </w:r>
      <w:r w:rsidR="00973BD6">
        <w:t xml:space="preserve"> </w:t>
      </w:r>
      <w:r w:rsidR="00D87A2B" w:rsidRPr="00D87A2B">
        <w:rPr>
          <w:rFonts w:cs="Arial"/>
          <w:szCs w:val="20"/>
        </w:rPr>
        <w:t>6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7324FA47" w14:textId="06FA028A" w:rsidR="009F5CC3" w:rsidRPr="009F5CC3" w:rsidRDefault="009F5CC3" w:rsidP="009F5CC3">
      <w:pPr>
        <w:numPr>
          <w:ilvl w:val="0"/>
          <w:numId w:val="18"/>
        </w:numPr>
        <w:textAlignment w:val="baseline"/>
        <w:rPr>
          <w:rFonts w:cs="Arial"/>
          <w:szCs w:val="20"/>
        </w:rPr>
      </w:pPr>
      <w:r w:rsidRPr="009F5CC3">
        <w:rPr>
          <w:rFonts w:cs="Arial"/>
          <w:szCs w:val="20"/>
          <w:shd w:val="clear" w:color="auto" w:fill="FFFFFF"/>
        </w:rPr>
        <w:t>Injectafer</w:t>
      </w:r>
      <w:r w:rsidRPr="009F5CC3">
        <w:rPr>
          <w:rFonts w:cs="Arial"/>
          <w:szCs w:val="20"/>
          <w:shd w:val="clear" w:color="auto" w:fill="FFFFFF"/>
          <w:vertAlign w:val="superscript"/>
        </w:rPr>
        <w:t>®</w:t>
      </w:r>
      <w:r w:rsidRPr="009F5CC3">
        <w:rPr>
          <w:rFonts w:cs="Arial"/>
          <w:szCs w:val="20"/>
          <w:shd w:val="clear" w:color="auto" w:fill="FFFFFF"/>
        </w:rPr>
        <w:t xml:space="preserve"> (ferric carboxymaltose injection) [package insert]. Shirley, NY: American Regent, Inc.;</w:t>
      </w:r>
      <w:r w:rsidR="00F60919">
        <w:rPr>
          <w:rFonts w:cs="Arial"/>
          <w:szCs w:val="20"/>
          <w:shd w:val="clear" w:color="auto" w:fill="FFFFFF"/>
        </w:rPr>
        <w:t xml:space="preserve"> January</w:t>
      </w:r>
      <w:r w:rsidRPr="009F5CC3">
        <w:rPr>
          <w:rFonts w:cs="Arial"/>
          <w:szCs w:val="20"/>
          <w:shd w:val="clear" w:color="auto" w:fill="FFFFFF"/>
        </w:rPr>
        <w:t xml:space="preserve"> 202</w:t>
      </w:r>
      <w:r w:rsidR="00F60919">
        <w:rPr>
          <w:rFonts w:cs="Arial"/>
          <w:szCs w:val="20"/>
          <w:shd w:val="clear" w:color="auto" w:fill="FFFFFF"/>
        </w:rPr>
        <w:t>5</w:t>
      </w:r>
      <w:r w:rsidRPr="009F5CC3">
        <w:rPr>
          <w:rFonts w:cs="Arial"/>
          <w:szCs w:val="20"/>
          <w:shd w:val="clear" w:color="auto" w:fill="FFFFFF"/>
        </w:rPr>
        <w:t>.</w:t>
      </w:r>
    </w:p>
    <w:p w14:paraId="6CA27219" w14:textId="77777777" w:rsidR="009F5CC3" w:rsidRPr="009F5CC3" w:rsidRDefault="009F5CC3" w:rsidP="009F5CC3">
      <w:pPr>
        <w:numPr>
          <w:ilvl w:val="0"/>
          <w:numId w:val="18"/>
        </w:numPr>
        <w:textAlignment w:val="baseline"/>
        <w:rPr>
          <w:rFonts w:cs="Arial"/>
          <w:szCs w:val="20"/>
        </w:rPr>
      </w:pPr>
      <w:r w:rsidRPr="009F5CC3">
        <w:rPr>
          <w:rFonts w:cs="Arial"/>
          <w:szCs w:val="20"/>
          <w:shd w:val="clear" w:color="auto" w:fill="FFFFFF"/>
        </w:rPr>
        <w:t>Feraheme</w:t>
      </w:r>
      <w:r w:rsidRPr="009F5CC3">
        <w:rPr>
          <w:rFonts w:cs="Arial"/>
          <w:szCs w:val="20"/>
          <w:shd w:val="clear" w:color="auto" w:fill="FFFFFF"/>
          <w:vertAlign w:val="superscript"/>
        </w:rPr>
        <w:t>®</w:t>
      </w:r>
      <w:r w:rsidRPr="009F5CC3">
        <w:rPr>
          <w:rFonts w:cs="Arial"/>
          <w:szCs w:val="20"/>
          <w:shd w:val="clear" w:color="auto" w:fill="FFFFFF"/>
        </w:rPr>
        <w:t xml:space="preserve"> (ferumoxytol injection) [package insert]. Waltham, MA: AMAG Pharmaceuticals, Inc.; June 2022.</w:t>
      </w:r>
    </w:p>
    <w:p w14:paraId="2F00101C" w14:textId="646B445F" w:rsidR="009F5CC3" w:rsidRPr="009F5CC3" w:rsidRDefault="009F5CC3" w:rsidP="009F5CC3">
      <w:pPr>
        <w:numPr>
          <w:ilvl w:val="0"/>
          <w:numId w:val="18"/>
        </w:numPr>
        <w:textAlignment w:val="baseline"/>
        <w:rPr>
          <w:rFonts w:cs="Arial"/>
          <w:szCs w:val="20"/>
        </w:rPr>
      </w:pPr>
      <w:r w:rsidRPr="009F5CC3">
        <w:rPr>
          <w:rFonts w:cs="Arial"/>
          <w:szCs w:val="20"/>
          <w:shd w:val="clear" w:color="auto" w:fill="FFFFFF"/>
        </w:rPr>
        <w:t>Monoferric</w:t>
      </w:r>
      <w:r w:rsidRPr="009F5CC3">
        <w:rPr>
          <w:rFonts w:cs="Arial"/>
          <w:szCs w:val="20"/>
          <w:shd w:val="clear" w:color="auto" w:fill="FFFFFF"/>
          <w:vertAlign w:val="superscript"/>
        </w:rPr>
        <w:t>®</w:t>
      </w:r>
      <w:r w:rsidRPr="009F5CC3">
        <w:rPr>
          <w:rFonts w:cs="Arial"/>
          <w:szCs w:val="20"/>
          <w:shd w:val="clear" w:color="auto" w:fill="FFFFFF"/>
        </w:rPr>
        <w:t xml:space="preserve"> (ferric derisomaltose) [package insert]. Morristown, NJ: Pharmacosmos Therapeutics Inc.; </w:t>
      </w:r>
      <w:r w:rsidR="00F84260">
        <w:rPr>
          <w:rFonts w:cs="Arial"/>
          <w:szCs w:val="20"/>
          <w:shd w:val="clear" w:color="auto" w:fill="FFFFFF"/>
        </w:rPr>
        <w:t>August</w:t>
      </w:r>
      <w:r w:rsidRPr="009F5CC3">
        <w:rPr>
          <w:rFonts w:cs="Arial"/>
          <w:szCs w:val="20"/>
          <w:shd w:val="clear" w:color="auto" w:fill="FFFFFF"/>
        </w:rPr>
        <w:t xml:space="preserve"> 2022.</w:t>
      </w:r>
    </w:p>
    <w:p w14:paraId="3076D2B9" w14:textId="77777777" w:rsidR="009F5CC3" w:rsidRPr="009F5CC3" w:rsidRDefault="009F5CC3" w:rsidP="009F5CC3">
      <w:pPr>
        <w:numPr>
          <w:ilvl w:val="0"/>
          <w:numId w:val="18"/>
        </w:numPr>
        <w:textAlignment w:val="baseline"/>
        <w:rPr>
          <w:rFonts w:cs="Arial"/>
          <w:szCs w:val="20"/>
        </w:rPr>
      </w:pPr>
      <w:r w:rsidRPr="009F5CC3">
        <w:rPr>
          <w:rFonts w:cs="Arial"/>
          <w:szCs w:val="20"/>
        </w:rPr>
        <w:t xml:space="preserve">KDIGO Clinical Practice Guideline for Anemia in Chronic Kidney Disease. Kidney Int Suppl 2012; 2:279-335. </w:t>
      </w:r>
      <w:hyperlink r:id="rId11" w:history="1">
        <w:r w:rsidRPr="009F5CC3">
          <w:rPr>
            <w:rFonts w:cs="Arial"/>
            <w:szCs w:val="20"/>
          </w:rPr>
          <w:t>https://kdigo.org/wp-content/uploads/2016/10/KDIGO-2012-Anemia-Guideline-English.pdf</w:t>
        </w:r>
      </w:hyperlink>
    </w:p>
    <w:p w14:paraId="597EC0CC" w14:textId="0DB1B9B8" w:rsidR="009F5CC3" w:rsidRPr="009F5CC3" w:rsidRDefault="009250A2" w:rsidP="009F5CC3">
      <w:pPr>
        <w:numPr>
          <w:ilvl w:val="0"/>
          <w:numId w:val="18"/>
        </w:numPr>
        <w:textAlignment w:val="baseline"/>
        <w:rPr>
          <w:rFonts w:cs="Arial"/>
          <w:szCs w:val="20"/>
        </w:rPr>
      </w:pPr>
      <w:r w:rsidRPr="009250A2">
        <w:rPr>
          <w:rFonts w:cs="Arial"/>
          <w:szCs w:val="20"/>
        </w:rPr>
        <w:lastRenderedPageBreak/>
        <w:t>Latimer, Kelly et al. “Iron Deficiency Anemia: Evaluation and Management.” American family physician vol. 112,5 (2025): 538-545</w:t>
      </w:r>
      <w:r w:rsidR="009F5CC3" w:rsidRPr="009F5CC3">
        <w:rPr>
          <w:rFonts w:cs="Arial"/>
          <w:szCs w:val="20"/>
        </w:rPr>
        <w:t xml:space="preserve">. </w:t>
      </w:r>
      <w:r w:rsidR="000B3EC9" w:rsidRPr="000B3EC9">
        <w:t>https://www.aafp.org/afp/2025/1100/iron-deficiency-anemia</w:t>
      </w:r>
    </w:p>
    <w:p w14:paraId="6EB737C9" w14:textId="284E3391" w:rsidR="009F5CC3" w:rsidRPr="009F5CC3" w:rsidRDefault="009F5CC3" w:rsidP="009F5CC3">
      <w:pPr>
        <w:numPr>
          <w:ilvl w:val="0"/>
          <w:numId w:val="18"/>
        </w:numPr>
        <w:textAlignment w:val="baseline"/>
        <w:rPr>
          <w:rFonts w:cs="Arial"/>
          <w:szCs w:val="20"/>
        </w:rPr>
      </w:pPr>
      <w:r w:rsidRPr="009F5CC3">
        <w:rPr>
          <w:rFonts w:cs="Arial"/>
          <w:szCs w:val="20"/>
        </w:rPr>
        <w:t>Facts &amp; Comparisons.  Iron Parenteral.  Accessed June 7, 202</w:t>
      </w:r>
      <w:r w:rsidR="00457C9C">
        <w:rPr>
          <w:rFonts w:cs="Arial"/>
          <w:szCs w:val="20"/>
        </w:rPr>
        <w:t>6</w:t>
      </w:r>
      <w:r w:rsidRPr="009F5CC3">
        <w:rPr>
          <w:rFonts w:cs="Arial"/>
          <w:szCs w:val="20"/>
        </w:rPr>
        <w:t>.</w:t>
      </w:r>
    </w:p>
    <w:p w14:paraId="05E40685" w14:textId="4F77ADFC" w:rsidR="009F5CC3" w:rsidRPr="009F5CC3" w:rsidRDefault="009F5CC3" w:rsidP="009F5CC3">
      <w:pPr>
        <w:numPr>
          <w:ilvl w:val="0"/>
          <w:numId w:val="18"/>
        </w:numPr>
        <w:textAlignment w:val="baseline"/>
        <w:rPr>
          <w:rFonts w:cs="Arial"/>
          <w:szCs w:val="20"/>
        </w:rPr>
      </w:pPr>
      <w:r w:rsidRPr="009F5CC3">
        <w:rPr>
          <w:rFonts w:cs="Arial"/>
          <w:szCs w:val="20"/>
        </w:rPr>
        <w:t xml:space="preserve">Auerbach M, DeLoughery T. Treatment of iron deficiency anemia in adults. UpToDate. UpToDate; 2024. Accessed </w:t>
      </w:r>
      <w:r w:rsidR="00300CE7">
        <w:rPr>
          <w:rFonts w:cs="Arial"/>
          <w:szCs w:val="20"/>
        </w:rPr>
        <w:t>May</w:t>
      </w:r>
      <w:r w:rsidRPr="009F5CC3">
        <w:rPr>
          <w:rFonts w:cs="Arial"/>
          <w:szCs w:val="20"/>
        </w:rPr>
        <w:t xml:space="preserve"> 17, 202</w:t>
      </w:r>
      <w:r w:rsidR="00300CE7">
        <w:rPr>
          <w:rFonts w:cs="Arial"/>
          <w:szCs w:val="20"/>
        </w:rPr>
        <w:t>6</w:t>
      </w:r>
    </w:p>
    <w:p w14:paraId="3FA1E7DB" w14:textId="7A964D6B" w:rsidR="00777CA4" w:rsidRDefault="00777CA4" w:rsidP="009F5CC3">
      <w:pPr>
        <w:pStyle w:val="ListParagraph"/>
        <w:numPr>
          <w:ilvl w:val="0"/>
          <w:numId w:val="0"/>
        </w:numPr>
        <w:ind w:left="360"/>
      </w:pPr>
    </w:p>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E7D7" w14:textId="77777777" w:rsidR="00682AD7" w:rsidRPr="00C02553" w:rsidRDefault="00682AD7" w:rsidP="00AE77DB">
      <w:r w:rsidRPr="00C02553">
        <w:separator/>
      </w:r>
    </w:p>
  </w:endnote>
  <w:endnote w:type="continuationSeparator" w:id="0">
    <w:p w14:paraId="7CF14132" w14:textId="77777777" w:rsidR="00682AD7" w:rsidRPr="00C02553" w:rsidRDefault="00682AD7" w:rsidP="00AE77DB">
      <w:r w:rsidRPr="00C02553">
        <w:continuationSeparator/>
      </w:r>
    </w:p>
  </w:endnote>
  <w:endnote w:type="continuationNotice" w:id="1">
    <w:p w14:paraId="2FBE2CF0" w14:textId="77777777" w:rsidR="00682AD7" w:rsidRPr="00C02553" w:rsidRDefault="00682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779A" w14:textId="77777777" w:rsidR="00682AD7" w:rsidRPr="00C02553" w:rsidRDefault="00682AD7" w:rsidP="00AE77DB">
      <w:r w:rsidRPr="00C02553">
        <w:separator/>
      </w:r>
    </w:p>
  </w:footnote>
  <w:footnote w:type="continuationSeparator" w:id="0">
    <w:p w14:paraId="4EAAEBB4" w14:textId="77777777" w:rsidR="00682AD7" w:rsidRPr="00C02553" w:rsidRDefault="00682AD7" w:rsidP="00AE77DB">
      <w:r w:rsidRPr="00C02553">
        <w:continuationSeparator/>
      </w:r>
    </w:p>
  </w:footnote>
  <w:footnote w:type="continuationNotice" w:id="1">
    <w:p w14:paraId="294C01B9" w14:textId="77777777" w:rsidR="00682AD7" w:rsidRPr="00C02553" w:rsidRDefault="00682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0627D8">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0627D8">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0627D8">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9D4086"/>
    <w:multiLevelType w:val="hybridMultilevel"/>
    <w:tmpl w:val="6AC21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C1EA7"/>
    <w:multiLevelType w:val="hybridMultilevel"/>
    <w:tmpl w:val="47C48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64CF6"/>
    <w:multiLevelType w:val="hybridMultilevel"/>
    <w:tmpl w:val="7D7EBB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9"/>
  </w:num>
  <w:num w:numId="5" w16cid:durableId="1769498754">
    <w:abstractNumId w:val="3"/>
  </w:num>
  <w:num w:numId="6" w16cid:durableId="1094596320">
    <w:abstractNumId w:val="14"/>
  </w:num>
  <w:num w:numId="7" w16cid:durableId="2110008555">
    <w:abstractNumId w:val="2"/>
  </w:num>
  <w:num w:numId="8" w16cid:durableId="489712751">
    <w:abstractNumId w:val="8"/>
  </w:num>
  <w:num w:numId="9" w16cid:durableId="1085147965">
    <w:abstractNumId w:val="12"/>
  </w:num>
  <w:num w:numId="10" w16cid:durableId="917518096">
    <w:abstractNumId w:val="10"/>
  </w:num>
  <w:num w:numId="11" w16cid:durableId="1894998475">
    <w:abstractNumId w:val="1"/>
  </w:num>
  <w:num w:numId="12" w16cid:durableId="1418215296">
    <w:abstractNumId w:val="15"/>
  </w:num>
  <w:num w:numId="13" w16cid:durableId="604729665">
    <w:abstractNumId w:val="5"/>
  </w:num>
  <w:num w:numId="14" w16cid:durableId="1805081292">
    <w:abstractNumId w:val="13"/>
  </w:num>
  <w:num w:numId="15" w16cid:durableId="1911186802">
    <w:abstractNumId w:val="6"/>
  </w:num>
  <w:num w:numId="16" w16cid:durableId="326523253">
    <w:abstractNumId w:val="7"/>
  </w:num>
  <w:num w:numId="17" w16cid:durableId="754787975">
    <w:abstractNumId w:val="11"/>
  </w:num>
  <w:num w:numId="18" w16cid:durableId="25941805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Z+5piKHSdq1Zx9Lt9dwxmE+FIMc6liaVcaiSlc3vMTqpk3OP2OrWkDyuRS7m0n9L53Mx0GopQMsV3mbqcMqNLA==" w:salt="LIX39mB5Hx8f7BGoyFLaO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36B3"/>
    <w:rsid w:val="000276D9"/>
    <w:rsid w:val="0003166D"/>
    <w:rsid w:val="000344C5"/>
    <w:rsid w:val="00040AD3"/>
    <w:rsid w:val="00041B62"/>
    <w:rsid w:val="000460AE"/>
    <w:rsid w:val="00053807"/>
    <w:rsid w:val="000572E5"/>
    <w:rsid w:val="00061541"/>
    <w:rsid w:val="000627D8"/>
    <w:rsid w:val="00064162"/>
    <w:rsid w:val="00065C22"/>
    <w:rsid w:val="00074464"/>
    <w:rsid w:val="00076030"/>
    <w:rsid w:val="00082590"/>
    <w:rsid w:val="000913C3"/>
    <w:rsid w:val="000953B9"/>
    <w:rsid w:val="000962A9"/>
    <w:rsid w:val="000A2D17"/>
    <w:rsid w:val="000A413B"/>
    <w:rsid w:val="000A6279"/>
    <w:rsid w:val="000B3EC9"/>
    <w:rsid w:val="000B496B"/>
    <w:rsid w:val="000C3940"/>
    <w:rsid w:val="000C5992"/>
    <w:rsid w:val="000E1479"/>
    <w:rsid w:val="000E231E"/>
    <w:rsid w:val="000E247D"/>
    <w:rsid w:val="000E6A51"/>
    <w:rsid w:val="000E6B14"/>
    <w:rsid w:val="000E70D8"/>
    <w:rsid w:val="001062F6"/>
    <w:rsid w:val="00112FC7"/>
    <w:rsid w:val="00125F5F"/>
    <w:rsid w:val="001268A4"/>
    <w:rsid w:val="00126951"/>
    <w:rsid w:val="00126B60"/>
    <w:rsid w:val="00127EF6"/>
    <w:rsid w:val="001310AD"/>
    <w:rsid w:val="001314A5"/>
    <w:rsid w:val="00132C7F"/>
    <w:rsid w:val="00143A11"/>
    <w:rsid w:val="00144DBE"/>
    <w:rsid w:val="00152C8B"/>
    <w:rsid w:val="0015636A"/>
    <w:rsid w:val="00157824"/>
    <w:rsid w:val="00172053"/>
    <w:rsid w:val="00177A80"/>
    <w:rsid w:val="001808B8"/>
    <w:rsid w:val="001A50CB"/>
    <w:rsid w:val="001A74B7"/>
    <w:rsid w:val="001B2D47"/>
    <w:rsid w:val="001B5F66"/>
    <w:rsid w:val="001C0250"/>
    <w:rsid w:val="001C6DA4"/>
    <w:rsid w:val="001C73B1"/>
    <w:rsid w:val="001D1E7D"/>
    <w:rsid w:val="001D3D1B"/>
    <w:rsid w:val="001D6567"/>
    <w:rsid w:val="001E21A1"/>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335ED"/>
    <w:rsid w:val="00246564"/>
    <w:rsid w:val="00246A3B"/>
    <w:rsid w:val="00250FBF"/>
    <w:rsid w:val="00251993"/>
    <w:rsid w:val="00255404"/>
    <w:rsid w:val="0025594F"/>
    <w:rsid w:val="00256308"/>
    <w:rsid w:val="00270C5E"/>
    <w:rsid w:val="002737C4"/>
    <w:rsid w:val="00290A03"/>
    <w:rsid w:val="0029159A"/>
    <w:rsid w:val="00291600"/>
    <w:rsid w:val="002A02F4"/>
    <w:rsid w:val="002A659A"/>
    <w:rsid w:val="002C2C41"/>
    <w:rsid w:val="002C62E7"/>
    <w:rsid w:val="002C78BB"/>
    <w:rsid w:val="002E05E2"/>
    <w:rsid w:val="002E193D"/>
    <w:rsid w:val="002E2DD6"/>
    <w:rsid w:val="002E3F28"/>
    <w:rsid w:val="002F06FB"/>
    <w:rsid w:val="002F0E52"/>
    <w:rsid w:val="002F2274"/>
    <w:rsid w:val="002F238D"/>
    <w:rsid w:val="002F2405"/>
    <w:rsid w:val="002F690F"/>
    <w:rsid w:val="00300CE7"/>
    <w:rsid w:val="0030301F"/>
    <w:rsid w:val="00303B21"/>
    <w:rsid w:val="0030681F"/>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72506"/>
    <w:rsid w:val="003878C1"/>
    <w:rsid w:val="00396C0B"/>
    <w:rsid w:val="003A630F"/>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13B6"/>
    <w:rsid w:val="00433339"/>
    <w:rsid w:val="00446BBC"/>
    <w:rsid w:val="004471BA"/>
    <w:rsid w:val="004472C0"/>
    <w:rsid w:val="00450705"/>
    <w:rsid w:val="00451928"/>
    <w:rsid w:val="00457C9C"/>
    <w:rsid w:val="00460B5D"/>
    <w:rsid w:val="00464BB4"/>
    <w:rsid w:val="0046618B"/>
    <w:rsid w:val="0047243F"/>
    <w:rsid w:val="0048608C"/>
    <w:rsid w:val="00496E57"/>
    <w:rsid w:val="004B3E10"/>
    <w:rsid w:val="004C0F5D"/>
    <w:rsid w:val="004C375A"/>
    <w:rsid w:val="004C4954"/>
    <w:rsid w:val="004C5767"/>
    <w:rsid w:val="004D0080"/>
    <w:rsid w:val="004D4383"/>
    <w:rsid w:val="004D5322"/>
    <w:rsid w:val="004D78B0"/>
    <w:rsid w:val="004E611F"/>
    <w:rsid w:val="004F2A79"/>
    <w:rsid w:val="004F4D37"/>
    <w:rsid w:val="0050085E"/>
    <w:rsid w:val="00501A14"/>
    <w:rsid w:val="00501DE3"/>
    <w:rsid w:val="005058CB"/>
    <w:rsid w:val="0051044D"/>
    <w:rsid w:val="00513252"/>
    <w:rsid w:val="005139E4"/>
    <w:rsid w:val="00515075"/>
    <w:rsid w:val="00516D12"/>
    <w:rsid w:val="00520FE9"/>
    <w:rsid w:val="005233E7"/>
    <w:rsid w:val="00526C8D"/>
    <w:rsid w:val="005328B2"/>
    <w:rsid w:val="00532B72"/>
    <w:rsid w:val="00535BD5"/>
    <w:rsid w:val="00540977"/>
    <w:rsid w:val="00551668"/>
    <w:rsid w:val="0055358F"/>
    <w:rsid w:val="005572D5"/>
    <w:rsid w:val="00566BE4"/>
    <w:rsid w:val="00570D21"/>
    <w:rsid w:val="00576113"/>
    <w:rsid w:val="00590652"/>
    <w:rsid w:val="00591210"/>
    <w:rsid w:val="005916DF"/>
    <w:rsid w:val="0059235F"/>
    <w:rsid w:val="00596936"/>
    <w:rsid w:val="005A2F1E"/>
    <w:rsid w:val="005A4232"/>
    <w:rsid w:val="005C3616"/>
    <w:rsid w:val="005C4A5C"/>
    <w:rsid w:val="005D36B2"/>
    <w:rsid w:val="005D52E7"/>
    <w:rsid w:val="005D5A88"/>
    <w:rsid w:val="005D78B5"/>
    <w:rsid w:val="005E32A4"/>
    <w:rsid w:val="005E3572"/>
    <w:rsid w:val="005E45E4"/>
    <w:rsid w:val="005F0A81"/>
    <w:rsid w:val="005F0FCF"/>
    <w:rsid w:val="005F6104"/>
    <w:rsid w:val="0060042F"/>
    <w:rsid w:val="006008BC"/>
    <w:rsid w:val="00602CFD"/>
    <w:rsid w:val="00603510"/>
    <w:rsid w:val="00606B55"/>
    <w:rsid w:val="00612A7B"/>
    <w:rsid w:val="00616E5E"/>
    <w:rsid w:val="006173A4"/>
    <w:rsid w:val="006205AD"/>
    <w:rsid w:val="00622ECB"/>
    <w:rsid w:val="00625C3A"/>
    <w:rsid w:val="0062671C"/>
    <w:rsid w:val="00635DDB"/>
    <w:rsid w:val="0064149A"/>
    <w:rsid w:val="00646DFE"/>
    <w:rsid w:val="00650530"/>
    <w:rsid w:val="00650C96"/>
    <w:rsid w:val="00653788"/>
    <w:rsid w:val="0065477F"/>
    <w:rsid w:val="00656896"/>
    <w:rsid w:val="00661656"/>
    <w:rsid w:val="0066374F"/>
    <w:rsid w:val="0067320C"/>
    <w:rsid w:val="00677C65"/>
    <w:rsid w:val="00682AD7"/>
    <w:rsid w:val="00693152"/>
    <w:rsid w:val="00694FAE"/>
    <w:rsid w:val="00696E3A"/>
    <w:rsid w:val="006A0834"/>
    <w:rsid w:val="006A4BBD"/>
    <w:rsid w:val="006A52F1"/>
    <w:rsid w:val="006B561D"/>
    <w:rsid w:val="006B6D5D"/>
    <w:rsid w:val="006D1693"/>
    <w:rsid w:val="006D2330"/>
    <w:rsid w:val="006E0F8B"/>
    <w:rsid w:val="006E12F7"/>
    <w:rsid w:val="006E29D7"/>
    <w:rsid w:val="007032FC"/>
    <w:rsid w:val="007068A4"/>
    <w:rsid w:val="00706D67"/>
    <w:rsid w:val="00713052"/>
    <w:rsid w:val="00721367"/>
    <w:rsid w:val="007231FA"/>
    <w:rsid w:val="00732C67"/>
    <w:rsid w:val="00734418"/>
    <w:rsid w:val="007411EF"/>
    <w:rsid w:val="007516BC"/>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19E7"/>
    <w:rsid w:val="007E6A37"/>
    <w:rsid w:val="007F1774"/>
    <w:rsid w:val="007F593C"/>
    <w:rsid w:val="00811A70"/>
    <w:rsid w:val="0081406E"/>
    <w:rsid w:val="00832211"/>
    <w:rsid w:val="008325F4"/>
    <w:rsid w:val="00832AC8"/>
    <w:rsid w:val="00846FA4"/>
    <w:rsid w:val="008524BA"/>
    <w:rsid w:val="00852B74"/>
    <w:rsid w:val="00856928"/>
    <w:rsid w:val="00865538"/>
    <w:rsid w:val="00870875"/>
    <w:rsid w:val="00880D10"/>
    <w:rsid w:val="0088225C"/>
    <w:rsid w:val="00884026"/>
    <w:rsid w:val="00884C78"/>
    <w:rsid w:val="008859E1"/>
    <w:rsid w:val="00896264"/>
    <w:rsid w:val="008A2549"/>
    <w:rsid w:val="008A5D88"/>
    <w:rsid w:val="008B2851"/>
    <w:rsid w:val="008C000E"/>
    <w:rsid w:val="008C2F32"/>
    <w:rsid w:val="008D0F2F"/>
    <w:rsid w:val="008D237F"/>
    <w:rsid w:val="008D3FD8"/>
    <w:rsid w:val="008D6B05"/>
    <w:rsid w:val="008E7D2D"/>
    <w:rsid w:val="008F44C0"/>
    <w:rsid w:val="008F5999"/>
    <w:rsid w:val="00903AD6"/>
    <w:rsid w:val="00904D7A"/>
    <w:rsid w:val="00915332"/>
    <w:rsid w:val="009204BB"/>
    <w:rsid w:val="009250A2"/>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17E"/>
    <w:rsid w:val="009B1A62"/>
    <w:rsid w:val="009C3CC7"/>
    <w:rsid w:val="009D2057"/>
    <w:rsid w:val="009D3D6C"/>
    <w:rsid w:val="009D5551"/>
    <w:rsid w:val="009D62DB"/>
    <w:rsid w:val="009E3B42"/>
    <w:rsid w:val="009F518A"/>
    <w:rsid w:val="009F5CC3"/>
    <w:rsid w:val="00A02AF6"/>
    <w:rsid w:val="00A05B60"/>
    <w:rsid w:val="00A13266"/>
    <w:rsid w:val="00A14FA6"/>
    <w:rsid w:val="00A15D64"/>
    <w:rsid w:val="00A20575"/>
    <w:rsid w:val="00A30B23"/>
    <w:rsid w:val="00A32452"/>
    <w:rsid w:val="00A325CC"/>
    <w:rsid w:val="00A32BBF"/>
    <w:rsid w:val="00A37444"/>
    <w:rsid w:val="00A4281A"/>
    <w:rsid w:val="00A459CF"/>
    <w:rsid w:val="00A5014D"/>
    <w:rsid w:val="00A53E96"/>
    <w:rsid w:val="00A56010"/>
    <w:rsid w:val="00A56F18"/>
    <w:rsid w:val="00A628F8"/>
    <w:rsid w:val="00A62BAA"/>
    <w:rsid w:val="00A66172"/>
    <w:rsid w:val="00A744C3"/>
    <w:rsid w:val="00A80896"/>
    <w:rsid w:val="00A816A3"/>
    <w:rsid w:val="00AA70AB"/>
    <w:rsid w:val="00AB0B9F"/>
    <w:rsid w:val="00AB1713"/>
    <w:rsid w:val="00AB63BE"/>
    <w:rsid w:val="00AC1EBC"/>
    <w:rsid w:val="00AC2599"/>
    <w:rsid w:val="00AC2DE9"/>
    <w:rsid w:val="00AC3CD9"/>
    <w:rsid w:val="00AD2C5F"/>
    <w:rsid w:val="00AE1481"/>
    <w:rsid w:val="00AE27F9"/>
    <w:rsid w:val="00AE77DB"/>
    <w:rsid w:val="00AF35D4"/>
    <w:rsid w:val="00AF7453"/>
    <w:rsid w:val="00B004E7"/>
    <w:rsid w:val="00B00FFF"/>
    <w:rsid w:val="00B06084"/>
    <w:rsid w:val="00B16735"/>
    <w:rsid w:val="00B17EDE"/>
    <w:rsid w:val="00B22585"/>
    <w:rsid w:val="00B33693"/>
    <w:rsid w:val="00B34C53"/>
    <w:rsid w:val="00B507A5"/>
    <w:rsid w:val="00B52475"/>
    <w:rsid w:val="00B535DA"/>
    <w:rsid w:val="00B53B9D"/>
    <w:rsid w:val="00B53E07"/>
    <w:rsid w:val="00B56DCC"/>
    <w:rsid w:val="00B56F54"/>
    <w:rsid w:val="00B638C2"/>
    <w:rsid w:val="00B758AB"/>
    <w:rsid w:val="00B76277"/>
    <w:rsid w:val="00B772AB"/>
    <w:rsid w:val="00B80395"/>
    <w:rsid w:val="00B80B56"/>
    <w:rsid w:val="00B83E5F"/>
    <w:rsid w:val="00B84300"/>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E71C7"/>
    <w:rsid w:val="00BF5EEF"/>
    <w:rsid w:val="00C02553"/>
    <w:rsid w:val="00C04EB6"/>
    <w:rsid w:val="00C056F9"/>
    <w:rsid w:val="00C07A7B"/>
    <w:rsid w:val="00C1018C"/>
    <w:rsid w:val="00C1150E"/>
    <w:rsid w:val="00C14D52"/>
    <w:rsid w:val="00C2586C"/>
    <w:rsid w:val="00C26001"/>
    <w:rsid w:val="00C34E72"/>
    <w:rsid w:val="00C5194A"/>
    <w:rsid w:val="00C56B1F"/>
    <w:rsid w:val="00C61B52"/>
    <w:rsid w:val="00C62745"/>
    <w:rsid w:val="00C654CA"/>
    <w:rsid w:val="00C66EFB"/>
    <w:rsid w:val="00C763BD"/>
    <w:rsid w:val="00C779A8"/>
    <w:rsid w:val="00C82E19"/>
    <w:rsid w:val="00C86560"/>
    <w:rsid w:val="00C96873"/>
    <w:rsid w:val="00CA1735"/>
    <w:rsid w:val="00CA207E"/>
    <w:rsid w:val="00CA3C4B"/>
    <w:rsid w:val="00CA7252"/>
    <w:rsid w:val="00CB2C5A"/>
    <w:rsid w:val="00CE0C1C"/>
    <w:rsid w:val="00CE34AF"/>
    <w:rsid w:val="00CE4A1B"/>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84EA8"/>
    <w:rsid w:val="00D859AE"/>
    <w:rsid w:val="00D87A2B"/>
    <w:rsid w:val="00D92EDD"/>
    <w:rsid w:val="00D95E68"/>
    <w:rsid w:val="00DA3A0F"/>
    <w:rsid w:val="00DA4E62"/>
    <w:rsid w:val="00DA6990"/>
    <w:rsid w:val="00DB27BA"/>
    <w:rsid w:val="00DB3009"/>
    <w:rsid w:val="00DB337A"/>
    <w:rsid w:val="00DC034A"/>
    <w:rsid w:val="00DC51CB"/>
    <w:rsid w:val="00DC737E"/>
    <w:rsid w:val="00DD4819"/>
    <w:rsid w:val="00DD4B8A"/>
    <w:rsid w:val="00DD5403"/>
    <w:rsid w:val="00DE1388"/>
    <w:rsid w:val="00DE2910"/>
    <w:rsid w:val="00DE7501"/>
    <w:rsid w:val="00DF3146"/>
    <w:rsid w:val="00DF57C3"/>
    <w:rsid w:val="00E008D9"/>
    <w:rsid w:val="00E02FE0"/>
    <w:rsid w:val="00E07ABE"/>
    <w:rsid w:val="00E11A3F"/>
    <w:rsid w:val="00E12D97"/>
    <w:rsid w:val="00E1386E"/>
    <w:rsid w:val="00E2369B"/>
    <w:rsid w:val="00E23EC0"/>
    <w:rsid w:val="00E354AA"/>
    <w:rsid w:val="00E43D54"/>
    <w:rsid w:val="00E442FB"/>
    <w:rsid w:val="00E529DB"/>
    <w:rsid w:val="00E53A5E"/>
    <w:rsid w:val="00E6466A"/>
    <w:rsid w:val="00E72221"/>
    <w:rsid w:val="00E81B96"/>
    <w:rsid w:val="00E83428"/>
    <w:rsid w:val="00E84C58"/>
    <w:rsid w:val="00E873A5"/>
    <w:rsid w:val="00E90D11"/>
    <w:rsid w:val="00E915E5"/>
    <w:rsid w:val="00E95870"/>
    <w:rsid w:val="00EB0367"/>
    <w:rsid w:val="00EB4FB9"/>
    <w:rsid w:val="00EB5BC8"/>
    <w:rsid w:val="00EC2738"/>
    <w:rsid w:val="00ED760F"/>
    <w:rsid w:val="00ED7B42"/>
    <w:rsid w:val="00EE3EA5"/>
    <w:rsid w:val="00EE613F"/>
    <w:rsid w:val="00EE6BD1"/>
    <w:rsid w:val="00EF0262"/>
    <w:rsid w:val="00EF0828"/>
    <w:rsid w:val="00EF404D"/>
    <w:rsid w:val="00EF6F8B"/>
    <w:rsid w:val="00F03898"/>
    <w:rsid w:val="00F1527A"/>
    <w:rsid w:val="00F2696B"/>
    <w:rsid w:val="00F27821"/>
    <w:rsid w:val="00F4092A"/>
    <w:rsid w:val="00F41F69"/>
    <w:rsid w:val="00F43E41"/>
    <w:rsid w:val="00F4790C"/>
    <w:rsid w:val="00F50C4B"/>
    <w:rsid w:val="00F54C08"/>
    <w:rsid w:val="00F553A2"/>
    <w:rsid w:val="00F6068C"/>
    <w:rsid w:val="00F60919"/>
    <w:rsid w:val="00F62F33"/>
    <w:rsid w:val="00F634C1"/>
    <w:rsid w:val="00F63A52"/>
    <w:rsid w:val="00F730BA"/>
    <w:rsid w:val="00F73CF6"/>
    <w:rsid w:val="00F84260"/>
    <w:rsid w:val="00F87CCE"/>
    <w:rsid w:val="00F903BE"/>
    <w:rsid w:val="00F95D04"/>
    <w:rsid w:val="00F963A9"/>
    <w:rsid w:val="00FA16EC"/>
    <w:rsid w:val="00FA2811"/>
    <w:rsid w:val="00FA4837"/>
    <w:rsid w:val="00FA5AD4"/>
    <w:rsid w:val="00FB1D33"/>
    <w:rsid w:val="00FB5E96"/>
    <w:rsid w:val="00FC05A0"/>
    <w:rsid w:val="00FC6758"/>
    <w:rsid w:val="00FD34EA"/>
    <w:rsid w:val="00FD39F8"/>
    <w:rsid w:val="00FE3E4B"/>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DE2910"/>
    <w:rPr>
      <w:sz w:val="16"/>
      <w:szCs w:val="16"/>
    </w:rPr>
  </w:style>
  <w:style w:type="paragraph" w:styleId="CommentSubject">
    <w:name w:val="annotation subject"/>
    <w:basedOn w:val="CommentText"/>
    <w:next w:val="CommentText"/>
    <w:link w:val="CommentSubjectChar"/>
    <w:uiPriority w:val="99"/>
    <w:semiHidden/>
    <w:unhideWhenUsed/>
    <w:rsid w:val="00DE2910"/>
    <w:rPr>
      <w:b/>
      <w:bCs/>
    </w:rPr>
  </w:style>
  <w:style w:type="character" w:customStyle="1" w:styleId="CommentTextChar">
    <w:name w:val="Comment Text Char"/>
    <w:basedOn w:val="DefaultParagraphFont"/>
    <w:link w:val="CommentText"/>
    <w:semiHidden/>
    <w:rsid w:val="00DE2910"/>
    <w:rPr>
      <w:rFonts w:ascii="Arial" w:hAnsi="Arial"/>
    </w:rPr>
  </w:style>
  <w:style w:type="character" w:customStyle="1" w:styleId="CommentSubjectChar">
    <w:name w:val="Comment Subject Char"/>
    <w:basedOn w:val="CommentTextChar"/>
    <w:link w:val="CommentSubject"/>
    <w:uiPriority w:val="99"/>
    <w:semiHidden/>
    <w:rsid w:val="00DE291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digo.org/wp-content/uploads/2016/10/KDIGO-2012-Anemia-Guideline-English.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0F9992BC-7C11-4A83-A97F-D2E41AE80BFC}">
  <ds:schemaRefs>
    <ds:schemaRef ds:uri="http://schemas.microsoft.com/sharepoint/v3"/>
    <ds:schemaRef ds:uri="http://purl.org/dc/terms/"/>
    <ds:schemaRef ds:uri="http://schemas.openxmlformats.org/package/2006/metadata/core-properties"/>
    <ds:schemaRef ds:uri="http://schemas.microsoft.com/office/2006/documentManagement/types"/>
    <ds:schemaRef ds:uri="f5eefb00-5952-4f7e-8cf8-96f81cfadd01"/>
    <ds:schemaRef ds:uri="http://purl.org/dc/elements/1.1/"/>
    <ds:schemaRef ds:uri="http://schemas.microsoft.com/office/2006/metadata/properties"/>
    <ds:schemaRef ds:uri="http://schemas.microsoft.com/office/infopath/2007/PartnerControls"/>
    <ds:schemaRef ds:uri="aba01ddc-ae9a-4c9e-819c-7140b4239cde"/>
    <ds:schemaRef ds:uri="http://www.w3.org/XML/1998/namespace"/>
    <ds:schemaRef ds:uri="http://purl.org/dc/dcmityp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563FFCF9-D2CA-48EA-8AB4-1EB40F83D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153</TotalTime>
  <Pages>3</Pages>
  <Words>765</Words>
  <Characters>4392</Characters>
  <Application>Microsoft Office Word</Application>
  <DocSecurity>10</DocSecurity>
  <Lines>36</Lines>
  <Paragraphs>10</Paragraphs>
  <ScaleCrop>false</ScaleCrop>
  <HeadingPairs>
    <vt:vector size="2" baseType="variant">
      <vt:variant>
        <vt:lpstr>Title</vt:lpstr>
      </vt:variant>
      <vt:variant>
        <vt:i4>1</vt:i4>
      </vt:variant>
    </vt:vector>
  </HeadingPairs>
  <TitlesOfParts>
    <vt:vector size="1" baseType="lpstr">
      <vt:lpstr>Iron_Injectable_July 2026_Proposal</vt:lpstr>
    </vt:vector>
  </TitlesOfParts>
  <Company>DSS</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Iron_Injectable_July 2026_Proposal</dc:title>
  <dc:subject/>
  <dc:creator>DMS</dc:creator>
  <cp:keywords/>
  <cp:lastModifiedBy>Heriford, Katherine</cp:lastModifiedBy>
  <cp:revision>75</cp:revision>
  <cp:lastPrinted>2018-10-31T18:17:00Z</cp:lastPrinted>
  <dcterms:created xsi:type="dcterms:W3CDTF">2025-11-19T15:39:00Z</dcterms:created>
  <dcterms:modified xsi:type="dcterms:W3CDTF">2026-07-06T17:18:00Z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