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6F078B8E" w:rsidR="004C5767" w:rsidRPr="008859E1" w:rsidRDefault="004C5767" w:rsidP="00D27533">
      <w:pPr>
        <w:pStyle w:val="tbody"/>
        <w:rPr>
          <w:b w:val="0"/>
          <w:bCs/>
        </w:rPr>
      </w:pPr>
      <w:r w:rsidRPr="00C02553">
        <w:t>Drug/Drug Class:</w:t>
      </w:r>
      <w:r w:rsidR="003B4820" w:rsidRPr="00573856">
        <w:rPr>
          <w:b w:val="0"/>
          <w:bCs/>
        </w:rPr>
        <w:t xml:space="preserve"> </w:t>
      </w:r>
      <w:r w:rsidR="007D2E3D" w:rsidRPr="007D2E3D">
        <w:rPr>
          <w:b w:val="0"/>
          <w:bCs/>
        </w:rPr>
        <w:t>Luteinizing Hormone Releasing Hormone (LHRH)/Gonadotropin Releasing Hormone (GnRH) Agents, Oral PDL Edit</w:t>
      </w:r>
    </w:p>
    <w:p w14:paraId="7AD7FFCE" w14:textId="74D5C383" w:rsidR="004C5767" w:rsidRPr="00C02553" w:rsidRDefault="004C5767" w:rsidP="00D27533">
      <w:pPr>
        <w:pStyle w:val="tbody"/>
      </w:pPr>
      <w:r w:rsidRPr="00C02553">
        <w:t>First Implementation Date:</w:t>
      </w:r>
      <w:r w:rsidRPr="00573856">
        <w:rPr>
          <w:b w:val="0"/>
          <w:bCs/>
        </w:rPr>
        <w:t xml:space="preserve"> </w:t>
      </w:r>
      <w:r w:rsidR="00906DFE" w:rsidRPr="00906DFE">
        <w:rPr>
          <w:b w:val="0"/>
          <w:bCs/>
        </w:rPr>
        <w:t>July 24, 2019</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4EAC877"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7ACECC9F" w14:textId="0B42DF59" w:rsidR="00B56DCC" w:rsidRPr="004821D3" w:rsidRDefault="00E23EC0" w:rsidP="00696E3A">
      <w:pPr>
        <w:rPr>
          <w:b/>
          <w:bCs/>
        </w:rPr>
      </w:pPr>
      <w:r w:rsidRPr="00696E3A">
        <w:rPr>
          <w:b/>
          <w:bCs/>
        </w:rPr>
        <w:t>Why Issue Selected:</w:t>
      </w:r>
    </w:p>
    <w:p w14:paraId="3AB6DA40" w14:textId="77777777" w:rsidR="004821D3" w:rsidRDefault="004821D3" w:rsidP="004821D3">
      <w:pPr>
        <w:pStyle w:val="Header"/>
        <w:rPr>
          <w:rFonts w:cs="Arial"/>
          <w:spacing w:val="-3"/>
          <w:sz w:val="20"/>
          <w:highlight w:val="yellow"/>
        </w:rPr>
      </w:pPr>
      <w:r w:rsidRPr="002C2A3B">
        <w:rPr>
          <w:rFonts w:cs="Arial"/>
          <w:spacing w:val="-3"/>
          <w:sz w:val="20"/>
        </w:rPr>
        <w:t xml:space="preserve">Gonadotropin </w:t>
      </w:r>
      <w:r>
        <w:rPr>
          <w:rFonts w:cs="Arial"/>
          <w:spacing w:val="-3"/>
          <w:sz w:val="20"/>
        </w:rPr>
        <w:t>r</w:t>
      </w:r>
      <w:r w:rsidRPr="002C2A3B">
        <w:rPr>
          <w:rFonts w:cs="Arial"/>
          <w:spacing w:val="-3"/>
          <w:sz w:val="20"/>
        </w:rPr>
        <w:t xml:space="preserve">eleasing </w:t>
      </w:r>
      <w:r>
        <w:rPr>
          <w:rFonts w:cs="Arial"/>
          <w:spacing w:val="-3"/>
          <w:sz w:val="20"/>
        </w:rPr>
        <w:t>h</w:t>
      </w:r>
      <w:r w:rsidRPr="002C2A3B">
        <w:rPr>
          <w:rFonts w:cs="Arial"/>
          <w:spacing w:val="-3"/>
          <w:sz w:val="20"/>
        </w:rPr>
        <w:t xml:space="preserve">ormone (GnRH) </w:t>
      </w:r>
      <w:r>
        <w:rPr>
          <w:rFonts w:cs="Arial"/>
          <w:spacing w:val="-3"/>
          <w:sz w:val="20"/>
        </w:rPr>
        <w:t>a</w:t>
      </w:r>
      <w:r w:rsidRPr="002C2A3B">
        <w:rPr>
          <w:rFonts w:cs="Arial"/>
          <w:spacing w:val="-3"/>
          <w:sz w:val="20"/>
        </w:rPr>
        <w:t>ntagonists</w:t>
      </w:r>
      <w:r>
        <w:rPr>
          <w:rFonts w:cs="Arial"/>
          <w:spacing w:val="-3"/>
          <w:sz w:val="20"/>
        </w:rPr>
        <w:t xml:space="preserve"> compete with endogenous GnRH for binding to </w:t>
      </w:r>
      <w:r w:rsidRPr="002C2A3B">
        <w:rPr>
          <w:rFonts w:cs="Arial"/>
          <w:spacing w:val="-3"/>
          <w:sz w:val="20"/>
        </w:rPr>
        <w:t>pituitary GnRH receptors, thereby reducing luteinizing hormone (LH) and follicle-stimulating hormone (FSH) secretio</w:t>
      </w:r>
      <w:r>
        <w:rPr>
          <w:rFonts w:cs="Arial"/>
          <w:spacing w:val="-3"/>
          <w:sz w:val="20"/>
        </w:rPr>
        <w:t>n. The oral agents in this class are indicated for use in prostate cancer, endometriosis, and uterine fibroids.</w:t>
      </w:r>
    </w:p>
    <w:p w14:paraId="13DF9D9F" w14:textId="77777777" w:rsidR="004821D3" w:rsidRDefault="004821D3" w:rsidP="004821D3">
      <w:pPr>
        <w:pStyle w:val="Header"/>
        <w:rPr>
          <w:rFonts w:cs="Arial"/>
          <w:spacing w:val="-3"/>
          <w:sz w:val="20"/>
          <w:highlight w:val="yellow"/>
        </w:rPr>
      </w:pPr>
    </w:p>
    <w:p w14:paraId="04AEA479" w14:textId="77777777" w:rsidR="004821D3" w:rsidRDefault="004821D3" w:rsidP="004821D3">
      <w:pPr>
        <w:pStyle w:val="Header"/>
        <w:rPr>
          <w:rFonts w:cs="Arial"/>
          <w:spacing w:val="-3"/>
          <w:sz w:val="20"/>
        </w:rPr>
      </w:pPr>
      <w:r w:rsidRPr="00A24534">
        <w:rPr>
          <w:rFonts w:cs="Arial"/>
          <w:spacing w:val="-3"/>
          <w:sz w:val="20"/>
        </w:rPr>
        <w:t>Elagolix and relugolix are both oral GnRH antagonists. Elagolix is available in 2 different brand name products, Orilissa</w:t>
      </w:r>
      <w:r w:rsidRPr="009847F3">
        <w:rPr>
          <w:rFonts w:cs="Arial"/>
          <w:spacing w:val="-3"/>
          <w:sz w:val="20"/>
          <w:vertAlign w:val="superscript"/>
        </w:rPr>
        <w:t>®</w:t>
      </w:r>
      <w:r w:rsidRPr="00A24534">
        <w:rPr>
          <w:rFonts w:cs="Arial"/>
          <w:spacing w:val="-3"/>
          <w:sz w:val="20"/>
        </w:rPr>
        <w:t xml:space="preserve"> (elagolix) and Oriahnn</w:t>
      </w:r>
      <w:r w:rsidRPr="00A24534">
        <w:rPr>
          <w:rFonts w:cs="Arial"/>
          <w:spacing w:val="-3"/>
          <w:sz w:val="20"/>
          <w:vertAlign w:val="superscript"/>
        </w:rPr>
        <w:t xml:space="preserve">® </w:t>
      </w:r>
      <w:r w:rsidRPr="00A24534">
        <w:rPr>
          <w:rFonts w:cs="Arial"/>
          <w:spacing w:val="-3"/>
          <w:sz w:val="20"/>
        </w:rPr>
        <w:t>(elagolix/estradiol/norethindrone acetate). Relugolix is also available in 2 different brand name products, Orgovyx</w:t>
      </w:r>
      <w:r w:rsidRPr="00A24534">
        <w:rPr>
          <w:rFonts w:cs="Arial"/>
          <w:spacing w:val="-3"/>
          <w:sz w:val="20"/>
          <w:vertAlign w:val="superscript"/>
        </w:rPr>
        <w:t>®</w:t>
      </w:r>
      <w:r w:rsidRPr="00A24534">
        <w:rPr>
          <w:rFonts w:cs="Arial"/>
          <w:spacing w:val="-3"/>
          <w:sz w:val="20"/>
        </w:rPr>
        <w:t xml:space="preserve"> (relugolix) and Myfembree</w:t>
      </w:r>
      <w:r w:rsidRPr="00A24534">
        <w:rPr>
          <w:rFonts w:cs="Arial"/>
          <w:spacing w:val="-3"/>
          <w:sz w:val="20"/>
          <w:vertAlign w:val="superscript"/>
        </w:rPr>
        <w:t>®</w:t>
      </w:r>
      <w:r w:rsidRPr="00A24534">
        <w:rPr>
          <w:rFonts w:cs="Arial"/>
          <w:spacing w:val="-3"/>
          <w:sz w:val="20"/>
        </w:rPr>
        <w:t xml:space="preserve"> (relugolix/estradiol/norethindrone acetate). Unlike the other agents in this class, Orgovyx is currently only indicated for the treatment of advanced prostate cancer. Due to the risk of potentially irreversible bone loss, a baseline dual energy X-ray absorptiometry (DEXA) scan should be considered for all patients beginning therapy with Orilissa, Oriahnn, or Myfembree.</w:t>
      </w:r>
      <w:r>
        <w:rPr>
          <w:rFonts w:cs="Arial"/>
          <w:spacing w:val="-3"/>
          <w:sz w:val="20"/>
        </w:rPr>
        <w:t xml:space="preserve"> </w:t>
      </w:r>
      <w:r w:rsidRPr="00A24534">
        <w:rPr>
          <w:rFonts w:cs="Arial"/>
          <w:spacing w:val="-3"/>
          <w:sz w:val="20"/>
        </w:rPr>
        <w:t>Therapy with these agents should be limited to a maximum of 24 months due to the risk of continued bone loss, which may not be reversible.</w:t>
      </w:r>
    </w:p>
    <w:p w14:paraId="3AE862EA" w14:textId="77777777" w:rsidR="004821D3" w:rsidRDefault="004821D3" w:rsidP="004821D3">
      <w:pPr>
        <w:pStyle w:val="Header"/>
        <w:rPr>
          <w:rFonts w:cs="Arial"/>
          <w:spacing w:val="-3"/>
          <w:sz w:val="20"/>
        </w:rPr>
      </w:pPr>
    </w:p>
    <w:p w14:paraId="00278440" w14:textId="77777777" w:rsidR="004821D3" w:rsidRPr="002C2A3B" w:rsidRDefault="004821D3" w:rsidP="004821D3">
      <w:pPr>
        <w:pStyle w:val="Header"/>
        <w:rPr>
          <w:rFonts w:cs="Arial"/>
          <w:spacing w:val="-3"/>
          <w:sz w:val="20"/>
        </w:rPr>
      </w:pPr>
      <w:r>
        <w:rPr>
          <w:rFonts w:cs="Arial"/>
          <w:spacing w:val="-3"/>
          <w:sz w:val="20"/>
        </w:rPr>
        <w:t xml:space="preserve">Orilissa and Myfembree are </w:t>
      </w:r>
      <w:r w:rsidRPr="002C2A3B">
        <w:rPr>
          <w:rFonts w:cs="Arial"/>
          <w:spacing w:val="-3"/>
          <w:sz w:val="20"/>
        </w:rPr>
        <w:t>indicated for the management of moderate to severe pain associated with endometriosis in women 18 years of age and older. Endometriosis is a chronic disease that affects about 6% to 10% of women in the United States. Current treatment includes both pharmacological and surgical options. Some of the pharmacological options include NSAID</w:t>
      </w:r>
      <w:r>
        <w:rPr>
          <w:rFonts w:cs="Arial"/>
          <w:spacing w:val="-3"/>
          <w:sz w:val="20"/>
        </w:rPr>
        <w:t>s</w:t>
      </w:r>
      <w:r w:rsidRPr="002C2A3B">
        <w:rPr>
          <w:rFonts w:cs="Arial"/>
          <w:spacing w:val="-3"/>
          <w:sz w:val="20"/>
        </w:rPr>
        <w:t>, extended cycle combined oral contraceptives, progestin therapy, and GnRH agonists.</w:t>
      </w:r>
    </w:p>
    <w:p w14:paraId="07094B8B" w14:textId="77777777" w:rsidR="004821D3" w:rsidRPr="002C2A3B" w:rsidRDefault="004821D3" w:rsidP="004821D3">
      <w:pPr>
        <w:pStyle w:val="Header"/>
        <w:rPr>
          <w:rFonts w:cs="Arial"/>
          <w:spacing w:val="-3"/>
          <w:sz w:val="20"/>
        </w:rPr>
      </w:pPr>
    </w:p>
    <w:p w14:paraId="0AA3C122" w14:textId="77777777" w:rsidR="004821D3" w:rsidRDefault="004821D3" w:rsidP="004821D3">
      <w:pPr>
        <w:pStyle w:val="Header"/>
        <w:rPr>
          <w:rFonts w:eastAsia="Arial" w:cs="Arial"/>
          <w:sz w:val="20"/>
        </w:rPr>
      </w:pPr>
      <w:r w:rsidRPr="002C2A3B">
        <w:rPr>
          <w:rFonts w:cs="Arial"/>
          <w:spacing w:val="-3"/>
          <w:sz w:val="20"/>
        </w:rPr>
        <w:t>Oriahnn and Myfembree</w:t>
      </w:r>
      <w:r>
        <w:rPr>
          <w:rFonts w:cs="Arial"/>
          <w:spacing w:val="-3"/>
          <w:sz w:val="20"/>
        </w:rPr>
        <w:t xml:space="preserve"> </w:t>
      </w:r>
      <w:r w:rsidRPr="002C2A3B">
        <w:rPr>
          <w:rFonts w:cs="Arial"/>
          <w:spacing w:val="-3"/>
          <w:sz w:val="20"/>
        </w:rPr>
        <w:t xml:space="preserve">are indicated for the management of heavy menstrual bleeding associated with </w:t>
      </w:r>
      <w:r w:rsidRPr="002C2A3B">
        <w:rPr>
          <w:rFonts w:eastAsia="Arial" w:cs="Arial"/>
          <w:sz w:val="20"/>
        </w:rPr>
        <w:t xml:space="preserve">uterine leiomyomas (fibroids) in premenopausal women.  Uterine fibroids are benign neoplasms that grow along the uterine wall, occurring most commonly in women in their 30s and 40s. Clinically relevant symptoms, such as abnormal uterine bleeding, pelvic pressure, bowel dysfunction, urinary frequency and urgency, urinary retention, low back pain, constipation, dyspareunia and possibly even infertility, are </w:t>
      </w:r>
      <w:r w:rsidRPr="00C50B07">
        <w:rPr>
          <w:rFonts w:eastAsia="Arial" w:cs="Arial"/>
          <w:sz w:val="20"/>
        </w:rPr>
        <w:t>experienced in 25% of women. However, it is estimated that upwards of 70% of women may have uterine fibroids without any noticeable symptoms.  For</w:t>
      </w:r>
      <w:r w:rsidRPr="002C2A3B">
        <w:rPr>
          <w:rFonts w:eastAsia="Arial" w:cs="Arial"/>
          <w:sz w:val="20"/>
        </w:rPr>
        <w:t xml:space="preserve"> patients over the age of 35, </w:t>
      </w:r>
      <w:r w:rsidRPr="002C2A3B">
        <w:rPr>
          <w:rFonts w:cs="Arial"/>
          <w:sz w:val="20"/>
          <w:shd w:val="clear" w:color="auto" w:fill="FFFFFF"/>
        </w:rPr>
        <w:t>dilation and curettage (</w:t>
      </w:r>
      <w:r w:rsidRPr="002C2A3B">
        <w:rPr>
          <w:rFonts w:eastAsia="Arial" w:cs="Arial"/>
          <w:sz w:val="20"/>
        </w:rPr>
        <w:t xml:space="preserve">D&amp;C) or other forms of uterine sampling should be considered prior to beginning therapy with Oriahnn or Myfembree.  </w:t>
      </w:r>
    </w:p>
    <w:p w14:paraId="742DFF96" w14:textId="77777777" w:rsidR="00726F59" w:rsidRDefault="00726F59" w:rsidP="004821D3">
      <w:pPr>
        <w:pStyle w:val="Header"/>
        <w:rPr>
          <w:rFonts w:eastAsia="Arial" w:cs="Arial"/>
          <w:sz w:val="20"/>
        </w:rPr>
      </w:pPr>
    </w:p>
    <w:p w14:paraId="6A5FD8BF" w14:textId="6C74846D" w:rsidR="004821D3" w:rsidRDefault="00726F59" w:rsidP="004821D3">
      <w:pPr>
        <w:pStyle w:val="Header"/>
        <w:rPr>
          <w:rFonts w:eastAsia="Arial" w:cs="Arial"/>
          <w:sz w:val="20"/>
        </w:rPr>
      </w:pPr>
      <w:r w:rsidRPr="00726F59">
        <w:rPr>
          <w:rFonts w:eastAsia="Arial" w:cs="Arial"/>
          <w:sz w:val="20"/>
        </w:rPr>
        <w:t>Total program savings for the PDL classes will be regularly reviewed.</w:t>
      </w:r>
    </w:p>
    <w:p w14:paraId="127E7C9B" w14:textId="77777777" w:rsidR="004821D3" w:rsidRDefault="004821D3" w:rsidP="004821D3">
      <w:pPr>
        <w:pStyle w:val="Header"/>
        <w:rPr>
          <w:rFonts w:eastAsia="Arial" w:cs="Arial"/>
          <w:sz w:val="20"/>
        </w:rPr>
      </w:pPr>
    </w:p>
    <w:p w14:paraId="05964CF2" w14:textId="77777777" w:rsidR="007A3034" w:rsidRDefault="007A3034" w:rsidP="009A0FB1">
      <w:pPr>
        <w:rPr>
          <w:rFonts w:cs="Arial"/>
          <w:szCs w:val="20"/>
        </w:rPr>
      </w:pPr>
    </w:p>
    <w:p w14:paraId="03E6301A" w14:textId="77777777" w:rsidR="00590E4C" w:rsidRPr="002C2C41" w:rsidRDefault="00590E4C" w:rsidP="009A0FB1">
      <w:pPr>
        <w:rPr>
          <w:rFonts w:cs="Arial"/>
          <w:szCs w:val="20"/>
        </w:rPr>
      </w:pPr>
    </w:p>
    <w:p w14:paraId="6CBEE541" w14:textId="3A362043" w:rsidR="00E90D11" w:rsidRDefault="009A0FB1" w:rsidP="00696E3A">
      <w:pPr>
        <w:rPr>
          <w:b/>
          <w:bCs/>
        </w:rPr>
      </w:pPr>
      <w:r>
        <w:rPr>
          <w:b/>
          <w:bCs/>
        </w:rPr>
        <w:lastRenderedPageBreak/>
        <w:t>Preferred Agents:</w:t>
      </w:r>
    </w:p>
    <w:p w14:paraId="6C1B280C" w14:textId="77777777" w:rsidR="00AE032B" w:rsidRDefault="00AE032B" w:rsidP="00AE032B">
      <w:pPr>
        <w:pStyle w:val="ListParagraph"/>
      </w:pPr>
      <w:r>
        <w:t>Oriahnn</w:t>
      </w:r>
      <w:r w:rsidRPr="00AE032B">
        <w:rPr>
          <w:vertAlign w:val="superscript"/>
        </w:rPr>
        <w:t>®</w:t>
      </w:r>
    </w:p>
    <w:p w14:paraId="47320590" w14:textId="68DC3A69" w:rsidR="00FD34EA" w:rsidRPr="00AE032B" w:rsidRDefault="00AE032B" w:rsidP="00AE032B">
      <w:pPr>
        <w:pStyle w:val="ListParagraph"/>
      </w:pPr>
      <w:r>
        <w:t>Orilissa</w:t>
      </w:r>
      <w:r w:rsidRPr="00AE032B">
        <w:rPr>
          <w:vertAlign w:val="superscript"/>
        </w:rPr>
        <w:t>®</w:t>
      </w:r>
    </w:p>
    <w:p w14:paraId="4A78FBFB" w14:textId="77777777" w:rsidR="00AE032B" w:rsidRPr="00AE032B" w:rsidRDefault="00AE032B" w:rsidP="00AE032B">
      <w:pPr>
        <w:pStyle w:val="ListParagraph"/>
        <w:numPr>
          <w:ilvl w:val="0"/>
          <w:numId w:val="0"/>
        </w:numPr>
        <w:ind w:left="360"/>
      </w:pPr>
    </w:p>
    <w:p w14:paraId="56404718" w14:textId="252714AD" w:rsidR="00846FA4" w:rsidRDefault="00846FA4" w:rsidP="00846FA4">
      <w:pPr>
        <w:rPr>
          <w:b/>
          <w:bCs/>
        </w:rPr>
      </w:pPr>
      <w:r>
        <w:rPr>
          <w:b/>
          <w:bCs/>
        </w:rPr>
        <w:t>Non-Preferred Agents:</w:t>
      </w:r>
    </w:p>
    <w:p w14:paraId="45CE2EF9" w14:textId="77777777" w:rsidR="004A3F73" w:rsidRPr="004A3F73" w:rsidRDefault="004A3F73" w:rsidP="004A3F73">
      <w:pPr>
        <w:numPr>
          <w:ilvl w:val="0"/>
          <w:numId w:val="16"/>
        </w:numPr>
        <w:rPr>
          <w:rFonts w:cs="Arial"/>
          <w:i/>
          <w:iCs/>
          <w:spacing w:val="-3"/>
        </w:rPr>
      </w:pPr>
      <w:r w:rsidRPr="004A3F73">
        <w:rPr>
          <w:rFonts w:cs="Arial"/>
          <w:spacing w:val="-3"/>
        </w:rPr>
        <w:t>Myfembree</w:t>
      </w:r>
      <w:r w:rsidRPr="004A3F73">
        <w:rPr>
          <w:rFonts w:cs="Arial"/>
          <w:spacing w:val="-3"/>
          <w:vertAlign w:val="superscript"/>
        </w:rPr>
        <w:t>®</w:t>
      </w:r>
    </w:p>
    <w:p w14:paraId="6D696800" w14:textId="11ECF2CE" w:rsidR="00E23EC0" w:rsidRPr="004A3F73" w:rsidRDefault="004A3F73" w:rsidP="004A3F73">
      <w:pPr>
        <w:numPr>
          <w:ilvl w:val="0"/>
          <w:numId w:val="16"/>
        </w:numPr>
        <w:rPr>
          <w:rFonts w:cs="Arial"/>
          <w:spacing w:val="-3"/>
        </w:rPr>
      </w:pPr>
      <w:r w:rsidRPr="004A3F73">
        <w:rPr>
          <w:rFonts w:cs="Arial"/>
          <w:spacing w:val="-3"/>
        </w:rPr>
        <w:t>Orgovyx</w:t>
      </w:r>
      <w:r w:rsidRPr="004A3F73">
        <w:rPr>
          <w:rFonts w:cs="Arial"/>
          <w:spacing w:val="-3"/>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6319B74" w:rsidR="0097028A" w:rsidRPr="0079438F" w:rsidRDefault="0097028A" w:rsidP="00696E3A">
      <w:pPr>
        <w:rPr>
          <w:b/>
        </w:rPr>
      </w:pPr>
      <w:r w:rsidRPr="00696E3A">
        <w:rPr>
          <w:b/>
          <w:bCs/>
        </w:rPr>
        <w:t>Drug class for review:</w:t>
      </w:r>
      <w:r w:rsidRPr="00C02553">
        <w:t xml:space="preserve"> </w:t>
      </w:r>
      <w:r w:rsidR="00992970" w:rsidRPr="00992970">
        <w:t>LHRH/GnRH Agents, Oral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0C4AAD5" w14:textId="77777777" w:rsidR="008C6AAB" w:rsidRPr="008C6AAB" w:rsidRDefault="008C6AAB" w:rsidP="008C6AAB">
      <w:pPr>
        <w:numPr>
          <w:ilvl w:val="0"/>
          <w:numId w:val="17"/>
        </w:numPr>
        <w:contextualSpacing/>
        <w:rPr>
          <w:rFonts w:cs="Arial"/>
          <w:szCs w:val="20"/>
        </w:rPr>
      </w:pPr>
      <w:r w:rsidRPr="008C6AAB">
        <w:rPr>
          <w:rFonts w:cs="Arial"/>
          <w:szCs w:val="20"/>
        </w:rPr>
        <w:t>Must meet one of the following:</w:t>
      </w:r>
    </w:p>
    <w:p w14:paraId="03DA6CD9" w14:textId="77777777" w:rsidR="008C6AAB" w:rsidRPr="008C6AAB" w:rsidRDefault="008C6AAB" w:rsidP="008C6AAB">
      <w:pPr>
        <w:numPr>
          <w:ilvl w:val="1"/>
          <w:numId w:val="17"/>
        </w:numPr>
        <w:ind w:left="720"/>
        <w:contextualSpacing/>
        <w:rPr>
          <w:rFonts w:cs="Arial"/>
          <w:szCs w:val="20"/>
        </w:rPr>
      </w:pPr>
      <w:r w:rsidRPr="008C6AAB">
        <w:rPr>
          <w:rFonts w:cs="Arial"/>
          <w:szCs w:val="20"/>
        </w:rPr>
        <w:t xml:space="preserve">Claim is for Orgovyx – must meet </w:t>
      </w:r>
      <w:proofErr w:type="gramStart"/>
      <w:r w:rsidRPr="008C6AAB">
        <w:rPr>
          <w:rFonts w:cs="Arial"/>
          <w:szCs w:val="20"/>
        </w:rPr>
        <w:t>all of</w:t>
      </w:r>
      <w:proofErr w:type="gramEnd"/>
      <w:r w:rsidRPr="008C6AAB">
        <w:rPr>
          <w:rFonts w:cs="Arial"/>
          <w:szCs w:val="20"/>
        </w:rPr>
        <w:t xml:space="preserve"> the following:</w:t>
      </w:r>
    </w:p>
    <w:p w14:paraId="6D8E6E89" w14:textId="77777777" w:rsidR="008C6AAB" w:rsidRPr="008C6AAB" w:rsidRDefault="008C6AAB" w:rsidP="008C6AAB">
      <w:pPr>
        <w:numPr>
          <w:ilvl w:val="2"/>
          <w:numId w:val="17"/>
        </w:numPr>
        <w:ind w:left="1080"/>
        <w:contextualSpacing/>
        <w:rPr>
          <w:rFonts w:cs="Arial"/>
          <w:szCs w:val="20"/>
        </w:rPr>
      </w:pPr>
      <w:r w:rsidRPr="008C6AAB">
        <w:rPr>
          <w:rFonts w:cs="Arial"/>
          <w:szCs w:val="20"/>
        </w:rPr>
        <w:t>Documented diagnosis of prostate cancer;</w:t>
      </w:r>
    </w:p>
    <w:p w14:paraId="0C337655" w14:textId="77777777" w:rsidR="008C6AAB" w:rsidRPr="008C6AAB" w:rsidRDefault="008C6AAB" w:rsidP="008C6AAB">
      <w:pPr>
        <w:numPr>
          <w:ilvl w:val="1"/>
          <w:numId w:val="17"/>
        </w:numPr>
        <w:ind w:left="720"/>
        <w:contextualSpacing/>
        <w:rPr>
          <w:rFonts w:cs="Arial"/>
          <w:szCs w:val="20"/>
        </w:rPr>
      </w:pPr>
      <w:r w:rsidRPr="008C6AAB">
        <w:rPr>
          <w:rFonts w:cs="Arial"/>
          <w:szCs w:val="20"/>
        </w:rPr>
        <w:t xml:space="preserve">Claim is for a preferred agent; </w:t>
      </w:r>
      <w:r w:rsidRPr="008C6AAB">
        <w:rPr>
          <w:rFonts w:cs="Arial"/>
          <w:b/>
          <w:bCs/>
          <w:szCs w:val="20"/>
        </w:rPr>
        <w:t>OR</w:t>
      </w:r>
    </w:p>
    <w:p w14:paraId="2D4F5866" w14:textId="77777777" w:rsidR="008C6AAB" w:rsidRPr="008C6AAB" w:rsidRDefault="008C6AAB" w:rsidP="008C6AAB">
      <w:pPr>
        <w:numPr>
          <w:ilvl w:val="1"/>
          <w:numId w:val="17"/>
        </w:numPr>
        <w:ind w:left="720"/>
        <w:rPr>
          <w:rFonts w:cs="Arial"/>
          <w:szCs w:val="20"/>
        </w:rPr>
      </w:pPr>
      <w:r w:rsidRPr="008C6AAB">
        <w:rPr>
          <w:rFonts w:cs="Arial"/>
          <w:szCs w:val="20"/>
        </w:rPr>
        <w:t xml:space="preserve">Failure to achieve desired therapeutic outcomes with trial on 1 or more preferred agents; </w:t>
      </w:r>
    </w:p>
    <w:p w14:paraId="57FEF966" w14:textId="77777777" w:rsidR="008C6AAB" w:rsidRPr="008C6AAB" w:rsidRDefault="008C6AAB" w:rsidP="008C6AAB">
      <w:pPr>
        <w:numPr>
          <w:ilvl w:val="2"/>
          <w:numId w:val="17"/>
        </w:numPr>
        <w:ind w:left="1080"/>
        <w:jc w:val="both"/>
        <w:rPr>
          <w:rFonts w:cs="Arial"/>
          <w:szCs w:val="20"/>
        </w:rPr>
      </w:pPr>
      <w:r w:rsidRPr="008C6AAB">
        <w:rPr>
          <w:rFonts w:cs="Arial"/>
          <w:szCs w:val="20"/>
        </w:rPr>
        <w:t xml:space="preserve">Documented trial period of preferred agents; </w:t>
      </w:r>
      <w:r w:rsidRPr="008C6AAB">
        <w:rPr>
          <w:rFonts w:cs="Arial"/>
          <w:b/>
          <w:bCs/>
          <w:szCs w:val="20"/>
        </w:rPr>
        <w:t>OR</w:t>
      </w:r>
    </w:p>
    <w:p w14:paraId="6BB2AEAB" w14:textId="77777777" w:rsidR="008C6AAB" w:rsidRPr="008C6AAB" w:rsidRDefault="008C6AAB" w:rsidP="008C6AAB">
      <w:pPr>
        <w:numPr>
          <w:ilvl w:val="2"/>
          <w:numId w:val="17"/>
        </w:numPr>
        <w:ind w:left="1080"/>
        <w:jc w:val="both"/>
        <w:rPr>
          <w:rFonts w:cs="Arial"/>
          <w:szCs w:val="20"/>
        </w:rPr>
      </w:pPr>
      <w:r w:rsidRPr="008C6AAB">
        <w:rPr>
          <w:rFonts w:cs="Arial"/>
          <w:szCs w:val="20"/>
        </w:rPr>
        <w:t>Documented ADE/ADR to preferred agents.</w:t>
      </w:r>
    </w:p>
    <w:p w14:paraId="40E3D68C" w14:textId="77777777" w:rsidR="008C6AAB" w:rsidRPr="008C6AAB" w:rsidRDefault="008C6AAB" w:rsidP="008C6AAB">
      <w:pPr>
        <w:numPr>
          <w:ilvl w:val="0"/>
          <w:numId w:val="17"/>
        </w:numPr>
        <w:contextualSpacing/>
        <w:rPr>
          <w:rFonts w:cs="Arial"/>
          <w:bCs/>
          <w:szCs w:val="20"/>
        </w:rPr>
      </w:pPr>
      <w:r w:rsidRPr="008C6AAB">
        <w:rPr>
          <w:rFonts w:cs="Arial"/>
          <w:szCs w:val="20"/>
        </w:rPr>
        <w:t xml:space="preserve">Additional approval criteria for documented </w:t>
      </w:r>
      <w:r w:rsidRPr="008C6AAB">
        <w:rPr>
          <w:rFonts w:cs="Arial"/>
          <w:bCs/>
          <w:szCs w:val="20"/>
        </w:rPr>
        <w:t xml:space="preserve">diagnosis of moderate to severe pain associated with endometriosis in the past year: </w:t>
      </w:r>
    </w:p>
    <w:p w14:paraId="7FAA9F95" w14:textId="77777777" w:rsidR="008C6AAB" w:rsidRPr="008C6AAB" w:rsidRDefault="008C6AAB" w:rsidP="008C6AAB">
      <w:pPr>
        <w:numPr>
          <w:ilvl w:val="1"/>
          <w:numId w:val="17"/>
        </w:numPr>
        <w:ind w:left="720"/>
        <w:jc w:val="both"/>
        <w:rPr>
          <w:rFonts w:cs="Arial"/>
          <w:szCs w:val="20"/>
        </w:rPr>
      </w:pPr>
      <w:r w:rsidRPr="008C6AAB">
        <w:rPr>
          <w:rFonts w:cs="Arial"/>
          <w:szCs w:val="20"/>
        </w:rPr>
        <w:t xml:space="preserve">Must meet </w:t>
      </w:r>
      <w:proofErr w:type="gramStart"/>
      <w:r w:rsidRPr="008C6AAB">
        <w:rPr>
          <w:rFonts w:cs="Arial"/>
          <w:szCs w:val="20"/>
        </w:rPr>
        <w:t>all of</w:t>
      </w:r>
      <w:proofErr w:type="gramEnd"/>
      <w:r w:rsidRPr="008C6AAB">
        <w:rPr>
          <w:rFonts w:cs="Arial"/>
          <w:szCs w:val="20"/>
        </w:rPr>
        <w:t xml:space="preserve"> the following:</w:t>
      </w:r>
    </w:p>
    <w:p w14:paraId="4FB91874" w14:textId="77777777" w:rsidR="008C6AAB" w:rsidRPr="008C6AAB" w:rsidRDefault="008C6AAB" w:rsidP="008C6AAB">
      <w:pPr>
        <w:numPr>
          <w:ilvl w:val="2"/>
          <w:numId w:val="17"/>
        </w:numPr>
        <w:ind w:left="1080"/>
        <w:jc w:val="both"/>
        <w:rPr>
          <w:rFonts w:cs="Arial"/>
          <w:szCs w:val="20"/>
        </w:rPr>
      </w:pPr>
      <w:r w:rsidRPr="008C6AAB">
        <w:rPr>
          <w:rFonts w:cs="Arial"/>
          <w:szCs w:val="20"/>
        </w:rPr>
        <w:t>Participant is 18 years of age or older;</w:t>
      </w:r>
    </w:p>
    <w:p w14:paraId="0AEC07C4" w14:textId="77777777" w:rsidR="008C6AAB" w:rsidRPr="008C6AAB" w:rsidRDefault="008C6AAB" w:rsidP="008C6AAB">
      <w:pPr>
        <w:numPr>
          <w:ilvl w:val="2"/>
          <w:numId w:val="17"/>
        </w:numPr>
        <w:ind w:left="1080"/>
        <w:jc w:val="both"/>
        <w:rPr>
          <w:rFonts w:cs="Arial"/>
          <w:szCs w:val="20"/>
        </w:rPr>
      </w:pPr>
      <w:r w:rsidRPr="008C6AAB">
        <w:rPr>
          <w:rFonts w:cs="Arial"/>
          <w:szCs w:val="20"/>
        </w:rPr>
        <w:t xml:space="preserve">Prescribed by or in consultation with an obstetrician, gynecologist, or other specialist in the treated disease </w:t>
      </w:r>
      <w:proofErr w:type="gramStart"/>
      <w:r w:rsidRPr="008C6AAB">
        <w:rPr>
          <w:rFonts w:cs="Arial"/>
          <w:szCs w:val="20"/>
        </w:rPr>
        <w:t>state;</w:t>
      </w:r>
      <w:proofErr w:type="gramEnd"/>
    </w:p>
    <w:p w14:paraId="1BF293B7" w14:textId="77777777" w:rsidR="008C6AAB" w:rsidRPr="008C6AAB" w:rsidRDefault="008C6AAB" w:rsidP="008C6AAB">
      <w:pPr>
        <w:numPr>
          <w:ilvl w:val="2"/>
          <w:numId w:val="17"/>
        </w:numPr>
        <w:ind w:left="1080"/>
        <w:jc w:val="both"/>
        <w:rPr>
          <w:rFonts w:cs="Arial"/>
          <w:szCs w:val="20"/>
        </w:rPr>
      </w:pPr>
      <w:r w:rsidRPr="008C6AAB">
        <w:rPr>
          <w:rFonts w:cs="Arial"/>
          <w:szCs w:val="20"/>
        </w:rPr>
        <w:t xml:space="preserve">Claim is for </w:t>
      </w:r>
      <w:r w:rsidRPr="008C6AAB">
        <w:rPr>
          <w:rFonts w:cs="Arial"/>
          <w:bCs/>
          <w:szCs w:val="20"/>
        </w:rPr>
        <w:t>Orilissa</w:t>
      </w:r>
      <w:r w:rsidRPr="008C6AAB">
        <w:rPr>
          <w:rFonts w:cs="Arial"/>
          <w:b/>
          <w:szCs w:val="20"/>
        </w:rPr>
        <w:t xml:space="preserve"> </w:t>
      </w:r>
      <w:r w:rsidRPr="008C6AAB">
        <w:rPr>
          <w:rFonts w:cs="Arial"/>
          <w:bCs/>
          <w:szCs w:val="20"/>
        </w:rPr>
        <w:t xml:space="preserve">or Myfembree; </w:t>
      </w:r>
      <w:r w:rsidRPr="008C6AAB">
        <w:rPr>
          <w:rFonts w:cs="Arial"/>
          <w:b/>
          <w:szCs w:val="20"/>
        </w:rPr>
        <w:t>AND</w:t>
      </w:r>
    </w:p>
    <w:p w14:paraId="44199F15" w14:textId="77777777" w:rsidR="008C6AAB" w:rsidRPr="008C6AAB" w:rsidRDefault="008C6AAB" w:rsidP="008C6AAB">
      <w:pPr>
        <w:numPr>
          <w:ilvl w:val="2"/>
          <w:numId w:val="17"/>
        </w:numPr>
        <w:ind w:left="1080"/>
        <w:jc w:val="both"/>
        <w:rPr>
          <w:rFonts w:cs="Arial"/>
          <w:szCs w:val="20"/>
        </w:rPr>
      </w:pPr>
      <w:r w:rsidRPr="008C6AAB">
        <w:rPr>
          <w:rFonts w:cs="Arial"/>
          <w:bCs/>
          <w:szCs w:val="20"/>
        </w:rPr>
        <w:t>Must meet one of the following:</w:t>
      </w:r>
    </w:p>
    <w:p w14:paraId="25F8CD09" w14:textId="77777777" w:rsidR="008C6AAB" w:rsidRPr="008C6AAB" w:rsidRDefault="008C6AAB" w:rsidP="008C6AAB">
      <w:pPr>
        <w:numPr>
          <w:ilvl w:val="3"/>
          <w:numId w:val="17"/>
        </w:numPr>
        <w:ind w:left="1440"/>
        <w:jc w:val="both"/>
        <w:rPr>
          <w:rFonts w:cs="Arial"/>
          <w:szCs w:val="20"/>
        </w:rPr>
      </w:pPr>
      <w:r w:rsidRPr="008C6AAB">
        <w:rPr>
          <w:rFonts w:cs="Arial"/>
          <w:bCs/>
          <w:szCs w:val="20"/>
        </w:rPr>
        <w:t>Documented trial of the following alternative therapies:</w:t>
      </w:r>
    </w:p>
    <w:p w14:paraId="54DE9508" w14:textId="77777777" w:rsidR="008C6AAB" w:rsidRPr="008C6AAB" w:rsidRDefault="008C6AAB" w:rsidP="008C6AAB">
      <w:pPr>
        <w:numPr>
          <w:ilvl w:val="4"/>
          <w:numId w:val="17"/>
        </w:numPr>
        <w:ind w:left="1800"/>
        <w:contextualSpacing/>
        <w:rPr>
          <w:rFonts w:cs="Arial"/>
          <w:bCs/>
          <w:szCs w:val="20"/>
        </w:rPr>
      </w:pPr>
      <w:r w:rsidRPr="008C6AAB">
        <w:rPr>
          <w:rFonts w:cs="Arial"/>
          <w:bCs/>
          <w:szCs w:val="20"/>
        </w:rPr>
        <w:t xml:space="preserve">NSAIDS – trial defined as 30/180 days; </w:t>
      </w:r>
      <w:r w:rsidRPr="008C6AAB">
        <w:rPr>
          <w:rFonts w:cs="Arial"/>
          <w:b/>
          <w:bCs/>
          <w:szCs w:val="20"/>
        </w:rPr>
        <w:t>AND</w:t>
      </w:r>
    </w:p>
    <w:p w14:paraId="7A0827AC" w14:textId="77777777" w:rsidR="008C6AAB" w:rsidRPr="008C6AAB" w:rsidRDefault="008C6AAB" w:rsidP="008C6AAB">
      <w:pPr>
        <w:numPr>
          <w:ilvl w:val="4"/>
          <w:numId w:val="17"/>
        </w:numPr>
        <w:ind w:left="1800"/>
        <w:contextualSpacing/>
        <w:rPr>
          <w:rFonts w:cs="Arial"/>
          <w:bCs/>
          <w:szCs w:val="20"/>
        </w:rPr>
      </w:pPr>
      <w:r w:rsidRPr="008C6AAB">
        <w:rPr>
          <w:rFonts w:cs="Arial"/>
          <w:bCs/>
          <w:szCs w:val="20"/>
        </w:rPr>
        <w:t>Must meet one of the following:</w:t>
      </w:r>
    </w:p>
    <w:p w14:paraId="25E6F489" w14:textId="77777777" w:rsidR="008C6AAB" w:rsidRPr="008C6AAB" w:rsidRDefault="008C6AAB" w:rsidP="008C6AAB">
      <w:pPr>
        <w:numPr>
          <w:ilvl w:val="5"/>
          <w:numId w:val="17"/>
        </w:numPr>
        <w:ind w:left="2160"/>
        <w:contextualSpacing/>
        <w:rPr>
          <w:rFonts w:cs="Arial"/>
          <w:bCs/>
          <w:szCs w:val="20"/>
        </w:rPr>
      </w:pPr>
      <w:r w:rsidRPr="008C6AAB">
        <w:rPr>
          <w:rFonts w:cs="Arial"/>
          <w:bCs/>
          <w:szCs w:val="20"/>
        </w:rPr>
        <w:t>Combined contraceptive therapy – trial defined as 180/270 days;</w:t>
      </w:r>
    </w:p>
    <w:p w14:paraId="283FF9C6" w14:textId="77777777" w:rsidR="008C6AAB" w:rsidRPr="008C6AAB" w:rsidRDefault="008C6AAB" w:rsidP="008C6AAB">
      <w:pPr>
        <w:numPr>
          <w:ilvl w:val="5"/>
          <w:numId w:val="17"/>
        </w:numPr>
        <w:ind w:left="2160"/>
        <w:contextualSpacing/>
        <w:rPr>
          <w:rFonts w:cs="Arial"/>
          <w:bCs/>
          <w:szCs w:val="20"/>
        </w:rPr>
      </w:pPr>
      <w:r w:rsidRPr="008C6AAB">
        <w:rPr>
          <w:rFonts w:cs="Arial"/>
          <w:bCs/>
          <w:szCs w:val="20"/>
        </w:rPr>
        <w:t>Injectable contraceptive trial defined as 2 claims in 270 days;</w:t>
      </w:r>
    </w:p>
    <w:p w14:paraId="395DD7C7" w14:textId="77777777" w:rsidR="008C6AAB" w:rsidRPr="008C6AAB" w:rsidRDefault="008C6AAB" w:rsidP="008C6AAB">
      <w:pPr>
        <w:numPr>
          <w:ilvl w:val="5"/>
          <w:numId w:val="17"/>
        </w:numPr>
        <w:ind w:left="2160"/>
        <w:contextualSpacing/>
        <w:rPr>
          <w:rFonts w:cs="Arial"/>
          <w:bCs/>
          <w:szCs w:val="20"/>
        </w:rPr>
      </w:pPr>
      <w:r w:rsidRPr="008C6AAB">
        <w:rPr>
          <w:rFonts w:cs="Arial"/>
          <w:bCs/>
          <w:szCs w:val="20"/>
        </w:rPr>
        <w:t>Medroxyprogesterone tablets trial defined as 30/90 days;</w:t>
      </w:r>
    </w:p>
    <w:p w14:paraId="602BC5A2" w14:textId="77777777" w:rsidR="008C6AAB" w:rsidRPr="008C6AAB" w:rsidRDefault="008C6AAB" w:rsidP="008C6AAB">
      <w:pPr>
        <w:numPr>
          <w:ilvl w:val="5"/>
          <w:numId w:val="17"/>
        </w:numPr>
        <w:ind w:left="2160"/>
        <w:contextualSpacing/>
        <w:rPr>
          <w:rFonts w:cs="Arial"/>
          <w:bCs/>
          <w:szCs w:val="20"/>
        </w:rPr>
      </w:pPr>
      <w:r w:rsidRPr="008C6AAB">
        <w:rPr>
          <w:rFonts w:cs="Arial"/>
          <w:bCs/>
          <w:szCs w:val="20"/>
        </w:rPr>
        <w:t xml:space="preserve">Norethindrone acetate trial defined as 180/270 days; </w:t>
      </w:r>
      <w:r w:rsidRPr="008C6AAB">
        <w:rPr>
          <w:rFonts w:cs="Arial"/>
          <w:b/>
          <w:szCs w:val="20"/>
        </w:rPr>
        <w:t>OR</w:t>
      </w:r>
    </w:p>
    <w:p w14:paraId="0A49B79D" w14:textId="77777777" w:rsidR="008C6AAB" w:rsidRPr="008C6AAB" w:rsidRDefault="008C6AAB" w:rsidP="008C6AAB">
      <w:pPr>
        <w:numPr>
          <w:ilvl w:val="5"/>
          <w:numId w:val="17"/>
        </w:numPr>
        <w:ind w:left="2160"/>
        <w:contextualSpacing/>
        <w:rPr>
          <w:rFonts w:cs="Arial"/>
          <w:bCs/>
          <w:szCs w:val="20"/>
        </w:rPr>
      </w:pPr>
      <w:r w:rsidRPr="008C6AAB">
        <w:rPr>
          <w:rFonts w:cs="Arial"/>
          <w:bCs/>
          <w:szCs w:val="20"/>
        </w:rPr>
        <w:t>Clinical consultant review may be obtained if pain is severe or worsening after 2 months trial of alternative therapies.</w:t>
      </w:r>
    </w:p>
    <w:p w14:paraId="4915BAC1" w14:textId="77777777" w:rsidR="008C6AAB" w:rsidRPr="008C6AAB" w:rsidRDefault="008C6AAB" w:rsidP="008C6AAB">
      <w:pPr>
        <w:numPr>
          <w:ilvl w:val="1"/>
          <w:numId w:val="17"/>
        </w:numPr>
        <w:ind w:left="720"/>
        <w:contextualSpacing/>
        <w:rPr>
          <w:rFonts w:cs="Arial"/>
          <w:bCs/>
          <w:szCs w:val="20"/>
        </w:rPr>
      </w:pPr>
      <w:r w:rsidRPr="008C6AAB">
        <w:rPr>
          <w:rFonts w:cs="Arial"/>
          <w:bCs/>
          <w:szCs w:val="20"/>
        </w:rPr>
        <w:t>Additional approval criteria for Orilissa:</w:t>
      </w:r>
    </w:p>
    <w:p w14:paraId="61AA6B35" w14:textId="77777777" w:rsidR="008C6AAB" w:rsidRPr="008C6AAB" w:rsidRDefault="008C6AAB" w:rsidP="008C6AAB">
      <w:pPr>
        <w:numPr>
          <w:ilvl w:val="2"/>
          <w:numId w:val="17"/>
        </w:numPr>
        <w:ind w:left="1080"/>
        <w:contextualSpacing/>
        <w:rPr>
          <w:rFonts w:cs="Arial"/>
          <w:bCs/>
          <w:szCs w:val="20"/>
        </w:rPr>
      </w:pPr>
      <w:r w:rsidRPr="008C6AAB">
        <w:rPr>
          <w:rFonts w:cs="Arial"/>
          <w:bCs/>
          <w:szCs w:val="20"/>
        </w:rPr>
        <w:t>Claim for 150 mg tablets – max allowable quantity and duration does not exceed the following:</w:t>
      </w:r>
    </w:p>
    <w:p w14:paraId="61DFBC13" w14:textId="77777777" w:rsidR="008C6AAB" w:rsidRPr="008C6AAB" w:rsidRDefault="008C6AAB" w:rsidP="008C6AAB">
      <w:pPr>
        <w:numPr>
          <w:ilvl w:val="3"/>
          <w:numId w:val="17"/>
        </w:numPr>
        <w:ind w:left="1440"/>
        <w:contextualSpacing/>
        <w:rPr>
          <w:rFonts w:cs="Arial"/>
          <w:bCs/>
          <w:szCs w:val="20"/>
        </w:rPr>
      </w:pPr>
      <w:r w:rsidRPr="008C6AAB">
        <w:rPr>
          <w:rFonts w:cs="Arial"/>
          <w:bCs/>
          <w:szCs w:val="20"/>
        </w:rPr>
        <w:t xml:space="preserve">Moderate hepatic impairment (Child-Pugh B): 150mg/day for up to 6 months; </w:t>
      </w:r>
      <w:r w:rsidRPr="008C6AAB">
        <w:rPr>
          <w:rFonts w:cs="Arial"/>
          <w:b/>
          <w:szCs w:val="20"/>
        </w:rPr>
        <w:t>OR</w:t>
      </w:r>
    </w:p>
    <w:p w14:paraId="5F3F0D5A" w14:textId="77777777" w:rsidR="008C6AAB" w:rsidRPr="008C6AAB" w:rsidRDefault="008C6AAB" w:rsidP="008C6AAB">
      <w:pPr>
        <w:numPr>
          <w:ilvl w:val="3"/>
          <w:numId w:val="17"/>
        </w:numPr>
        <w:ind w:left="1440"/>
        <w:contextualSpacing/>
        <w:rPr>
          <w:rFonts w:cs="Arial"/>
          <w:bCs/>
          <w:szCs w:val="20"/>
        </w:rPr>
      </w:pPr>
      <w:r w:rsidRPr="008C6AAB">
        <w:rPr>
          <w:rFonts w:cs="Arial"/>
          <w:bCs/>
          <w:szCs w:val="20"/>
        </w:rPr>
        <w:t>Mild to no hepatic impairment (Child-Pugh A): 150mg/day for up to 24 months</w:t>
      </w:r>
    </w:p>
    <w:p w14:paraId="10F0177B" w14:textId="77777777" w:rsidR="008C6AAB" w:rsidRPr="008C6AAB" w:rsidRDefault="008C6AAB" w:rsidP="008C6AAB">
      <w:pPr>
        <w:numPr>
          <w:ilvl w:val="2"/>
          <w:numId w:val="17"/>
        </w:numPr>
        <w:ind w:left="1080"/>
        <w:contextualSpacing/>
        <w:rPr>
          <w:rFonts w:cs="Arial"/>
          <w:bCs/>
          <w:szCs w:val="20"/>
        </w:rPr>
      </w:pPr>
      <w:r w:rsidRPr="008C6AAB">
        <w:rPr>
          <w:rFonts w:cs="Arial"/>
          <w:bCs/>
          <w:szCs w:val="20"/>
        </w:rPr>
        <w:t>Claim for 200mg tablets – documented diagnosis of dyspareunia.</w:t>
      </w:r>
    </w:p>
    <w:p w14:paraId="65C17EBB" w14:textId="77777777" w:rsidR="008C6AAB" w:rsidRPr="008C6AAB" w:rsidRDefault="008C6AAB" w:rsidP="008C6AAB">
      <w:pPr>
        <w:numPr>
          <w:ilvl w:val="1"/>
          <w:numId w:val="17"/>
        </w:numPr>
        <w:ind w:left="720"/>
        <w:contextualSpacing/>
        <w:rPr>
          <w:rFonts w:cs="Arial"/>
          <w:bCs/>
          <w:szCs w:val="20"/>
        </w:rPr>
      </w:pPr>
      <w:r w:rsidRPr="008C6AAB">
        <w:rPr>
          <w:rFonts w:cs="Arial"/>
          <w:bCs/>
          <w:szCs w:val="20"/>
        </w:rPr>
        <w:t>Additional approval criteria for Myfembree: total duration of therapy does not exceed 24 months.</w:t>
      </w:r>
    </w:p>
    <w:p w14:paraId="4B27BCDA" w14:textId="77777777" w:rsidR="008C6AAB" w:rsidRPr="008C6AAB" w:rsidRDefault="008C6AAB" w:rsidP="008C6AAB">
      <w:pPr>
        <w:numPr>
          <w:ilvl w:val="0"/>
          <w:numId w:val="17"/>
        </w:numPr>
        <w:contextualSpacing/>
        <w:rPr>
          <w:rFonts w:cs="Arial"/>
          <w:bCs/>
          <w:szCs w:val="20"/>
        </w:rPr>
      </w:pPr>
      <w:r w:rsidRPr="008C6AAB">
        <w:rPr>
          <w:rFonts w:cs="Arial"/>
          <w:bCs/>
          <w:szCs w:val="20"/>
        </w:rPr>
        <w:t>Additional approval criteria for documented diagnosis of menorrhagia associated with uterine leiomyomas:</w:t>
      </w:r>
    </w:p>
    <w:p w14:paraId="4E84C6C5" w14:textId="77777777" w:rsidR="008C6AAB" w:rsidRPr="008C6AAB" w:rsidRDefault="008C6AAB" w:rsidP="008C6AAB">
      <w:pPr>
        <w:numPr>
          <w:ilvl w:val="1"/>
          <w:numId w:val="17"/>
        </w:numPr>
        <w:ind w:left="720"/>
        <w:contextualSpacing/>
        <w:rPr>
          <w:rFonts w:cs="Arial"/>
          <w:b/>
          <w:szCs w:val="20"/>
        </w:rPr>
      </w:pPr>
      <w:r w:rsidRPr="008C6AAB">
        <w:rPr>
          <w:rFonts w:cs="Arial"/>
          <w:bCs/>
          <w:szCs w:val="20"/>
        </w:rPr>
        <w:t xml:space="preserve">Must meet </w:t>
      </w:r>
      <w:proofErr w:type="gramStart"/>
      <w:r w:rsidRPr="008C6AAB">
        <w:rPr>
          <w:rFonts w:cs="Arial"/>
          <w:bCs/>
          <w:szCs w:val="20"/>
        </w:rPr>
        <w:t>all of</w:t>
      </w:r>
      <w:proofErr w:type="gramEnd"/>
      <w:r w:rsidRPr="008C6AAB">
        <w:rPr>
          <w:rFonts w:cs="Arial"/>
          <w:bCs/>
          <w:szCs w:val="20"/>
        </w:rPr>
        <w:t xml:space="preserve"> the following:</w:t>
      </w:r>
    </w:p>
    <w:p w14:paraId="56CA49A8" w14:textId="77777777" w:rsidR="008C6AAB" w:rsidRPr="008C6AAB" w:rsidRDefault="008C6AAB" w:rsidP="008C6AAB">
      <w:pPr>
        <w:numPr>
          <w:ilvl w:val="2"/>
          <w:numId w:val="17"/>
        </w:numPr>
        <w:ind w:left="1080"/>
        <w:jc w:val="both"/>
        <w:rPr>
          <w:rFonts w:cs="Arial"/>
          <w:szCs w:val="20"/>
        </w:rPr>
      </w:pPr>
      <w:r w:rsidRPr="008C6AAB">
        <w:rPr>
          <w:rFonts w:cs="Arial"/>
          <w:szCs w:val="20"/>
        </w:rPr>
        <w:t>Participant is 18 years of age or older;</w:t>
      </w:r>
    </w:p>
    <w:p w14:paraId="6CB8B0AF" w14:textId="77777777" w:rsidR="00DC58EA" w:rsidRPr="00185175" w:rsidRDefault="00DC58EA" w:rsidP="00DC58EA">
      <w:pPr>
        <w:numPr>
          <w:ilvl w:val="2"/>
          <w:numId w:val="17"/>
        </w:numPr>
        <w:ind w:left="1080"/>
        <w:jc w:val="both"/>
        <w:rPr>
          <w:rFonts w:cs="Arial"/>
          <w:szCs w:val="20"/>
        </w:rPr>
      </w:pPr>
      <w:r>
        <w:rPr>
          <w:rFonts w:cs="Arial"/>
          <w:szCs w:val="20"/>
        </w:rPr>
        <w:t xml:space="preserve">Prescribed by or </w:t>
      </w:r>
      <w:r w:rsidRPr="00D60EAF">
        <w:rPr>
          <w:rFonts w:cs="Arial"/>
          <w:szCs w:val="20"/>
        </w:rPr>
        <w:t xml:space="preserve">in consultation with an obstetrician, gynecologist, or other specialist in the treated disease </w:t>
      </w:r>
      <w:proofErr w:type="gramStart"/>
      <w:r w:rsidRPr="00D60EAF">
        <w:rPr>
          <w:rFonts w:cs="Arial"/>
          <w:szCs w:val="20"/>
        </w:rPr>
        <w:t>state;</w:t>
      </w:r>
      <w:proofErr w:type="gramEnd"/>
    </w:p>
    <w:p w14:paraId="045F0A29" w14:textId="77777777" w:rsidR="00DC58EA" w:rsidRPr="00874F6D" w:rsidRDefault="00DC58EA" w:rsidP="00DC58EA">
      <w:pPr>
        <w:pStyle w:val="ListParagraph"/>
        <w:numPr>
          <w:ilvl w:val="2"/>
          <w:numId w:val="17"/>
        </w:numPr>
        <w:ind w:left="1080"/>
        <w:rPr>
          <w:rFonts w:cs="Arial"/>
          <w:b/>
          <w:szCs w:val="20"/>
        </w:rPr>
      </w:pPr>
      <w:r w:rsidRPr="00874F6D">
        <w:rPr>
          <w:rFonts w:cs="Arial"/>
          <w:bCs/>
          <w:szCs w:val="20"/>
        </w:rPr>
        <w:t>Claim is for Oriahnn</w:t>
      </w:r>
      <w:r w:rsidRPr="00874F6D">
        <w:rPr>
          <w:rFonts w:cs="Arial"/>
          <w:b/>
          <w:szCs w:val="20"/>
        </w:rPr>
        <w:t xml:space="preserve"> </w:t>
      </w:r>
      <w:r w:rsidRPr="00874F6D">
        <w:rPr>
          <w:rFonts w:cs="Arial"/>
          <w:bCs/>
          <w:szCs w:val="20"/>
        </w:rPr>
        <w:t>or Myfembree</w:t>
      </w:r>
      <w:r>
        <w:rPr>
          <w:rFonts w:cs="Arial"/>
          <w:bCs/>
          <w:szCs w:val="20"/>
        </w:rPr>
        <w:t>;</w:t>
      </w:r>
    </w:p>
    <w:p w14:paraId="4D157F9D" w14:textId="77777777" w:rsidR="00DC58EA" w:rsidRPr="00874F6D" w:rsidRDefault="00DC58EA" w:rsidP="00DC58EA">
      <w:pPr>
        <w:pStyle w:val="ListParagraph"/>
        <w:numPr>
          <w:ilvl w:val="2"/>
          <w:numId w:val="17"/>
        </w:numPr>
        <w:ind w:left="1080"/>
        <w:rPr>
          <w:rFonts w:cs="Arial"/>
          <w:bCs/>
          <w:szCs w:val="20"/>
        </w:rPr>
      </w:pPr>
      <w:r>
        <w:rPr>
          <w:rFonts w:cs="Arial"/>
          <w:bCs/>
          <w:szCs w:val="20"/>
        </w:rPr>
        <w:t>D</w:t>
      </w:r>
      <w:r w:rsidRPr="00874F6D">
        <w:rPr>
          <w:rFonts w:cs="Arial"/>
          <w:bCs/>
          <w:szCs w:val="20"/>
        </w:rPr>
        <w:t xml:space="preserve">ocumented trial of </w:t>
      </w:r>
      <w:r>
        <w:rPr>
          <w:rFonts w:cs="Arial"/>
          <w:bCs/>
          <w:szCs w:val="20"/>
        </w:rPr>
        <w:t xml:space="preserve">the following </w:t>
      </w:r>
      <w:r w:rsidRPr="00874F6D">
        <w:rPr>
          <w:rFonts w:cs="Arial"/>
          <w:bCs/>
          <w:szCs w:val="20"/>
        </w:rPr>
        <w:t>alternative therap</w:t>
      </w:r>
      <w:r>
        <w:rPr>
          <w:rFonts w:cs="Arial"/>
          <w:bCs/>
          <w:szCs w:val="20"/>
        </w:rPr>
        <w:t>ies</w:t>
      </w:r>
      <w:r w:rsidRPr="00874F6D">
        <w:rPr>
          <w:rFonts w:cs="Arial"/>
          <w:bCs/>
          <w:szCs w:val="20"/>
        </w:rPr>
        <w:t>:</w:t>
      </w:r>
    </w:p>
    <w:p w14:paraId="4CCD9721" w14:textId="77777777" w:rsidR="00DC58EA" w:rsidRPr="00874F6D" w:rsidRDefault="00DC58EA" w:rsidP="00DC58EA">
      <w:pPr>
        <w:pStyle w:val="ListParagraph"/>
        <w:numPr>
          <w:ilvl w:val="3"/>
          <w:numId w:val="17"/>
        </w:numPr>
        <w:ind w:left="1440"/>
        <w:rPr>
          <w:rFonts w:cs="Arial"/>
          <w:bCs/>
          <w:szCs w:val="20"/>
        </w:rPr>
      </w:pPr>
      <w:r w:rsidRPr="00874F6D">
        <w:rPr>
          <w:rFonts w:cs="Arial"/>
          <w:bCs/>
          <w:szCs w:val="20"/>
        </w:rPr>
        <w:t>NSAIDs – trial defined as 30/180 days</w:t>
      </w:r>
      <w:r>
        <w:rPr>
          <w:rFonts w:cs="Arial"/>
          <w:bCs/>
          <w:szCs w:val="20"/>
        </w:rPr>
        <w:t>;</w:t>
      </w:r>
      <w:r w:rsidRPr="00874F6D">
        <w:rPr>
          <w:rFonts w:cs="Arial"/>
          <w:bCs/>
          <w:szCs w:val="20"/>
        </w:rPr>
        <w:t xml:space="preserve"> </w:t>
      </w:r>
      <w:r w:rsidRPr="00874F6D">
        <w:rPr>
          <w:rFonts w:cs="Arial"/>
          <w:b/>
          <w:szCs w:val="20"/>
        </w:rPr>
        <w:t>AND</w:t>
      </w:r>
    </w:p>
    <w:p w14:paraId="062BB8D0" w14:textId="77777777" w:rsidR="00DC58EA" w:rsidRPr="001D3D54" w:rsidRDefault="00DC58EA" w:rsidP="00DC58EA">
      <w:pPr>
        <w:pStyle w:val="ListParagraph"/>
        <w:numPr>
          <w:ilvl w:val="3"/>
          <w:numId w:val="17"/>
        </w:numPr>
        <w:ind w:left="1440"/>
        <w:rPr>
          <w:rFonts w:cs="Arial"/>
          <w:b/>
          <w:szCs w:val="20"/>
        </w:rPr>
      </w:pPr>
      <w:r w:rsidRPr="00874F6D">
        <w:rPr>
          <w:rFonts w:cs="Arial"/>
          <w:bCs/>
          <w:szCs w:val="20"/>
        </w:rPr>
        <w:lastRenderedPageBreak/>
        <w:t>Combined contraceptive therapy – trial defined as 180/270 days</w:t>
      </w:r>
      <w:r>
        <w:rPr>
          <w:rFonts w:cs="Arial"/>
          <w:bCs/>
          <w:szCs w:val="20"/>
        </w:rPr>
        <w:t xml:space="preserve">; </w:t>
      </w:r>
      <w:r>
        <w:rPr>
          <w:rFonts w:cs="Arial"/>
          <w:b/>
          <w:szCs w:val="20"/>
        </w:rPr>
        <w:t>AND</w:t>
      </w:r>
    </w:p>
    <w:p w14:paraId="565DC5A6" w14:textId="77777777" w:rsidR="00DC58EA" w:rsidRPr="00874F6D" w:rsidRDefault="00DC58EA" w:rsidP="00DC58EA">
      <w:pPr>
        <w:pStyle w:val="ListParagraph"/>
        <w:numPr>
          <w:ilvl w:val="2"/>
          <w:numId w:val="17"/>
        </w:numPr>
        <w:ind w:left="1080"/>
        <w:rPr>
          <w:rFonts w:cs="Arial"/>
          <w:bCs/>
          <w:szCs w:val="20"/>
        </w:rPr>
      </w:pPr>
      <w:r w:rsidRPr="00874F6D">
        <w:rPr>
          <w:rFonts w:cs="Arial"/>
          <w:bCs/>
          <w:szCs w:val="20"/>
        </w:rPr>
        <w:t>Total duration of therapy does not exceed 24 months</w:t>
      </w:r>
      <w:r>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E685C10" w14:textId="77777777" w:rsidR="00FC0AE2" w:rsidRPr="00FC0AE2" w:rsidRDefault="00FC0AE2" w:rsidP="00FC0AE2">
      <w:pPr>
        <w:numPr>
          <w:ilvl w:val="0"/>
          <w:numId w:val="17"/>
        </w:numPr>
        <w:contextualSpacing/>
        <w:rPr>
          <w:rFonts w:cs="Arial"/>
          <w:noProof/>
          <w:szCs w:val="20"/>
        </w:rPr>
      </w:pPr>
      <w:r w:rsidRPr="00FC0AE2">
        <w:rPr>
          <w:rFonts w:cs="Arial"/>
          <w:noProof/>
          <w:szCs w:val="20"/>
        </w:rPr>
        <w:t>Therapy will deny with the presence of one of the following:</w:t>
      </w:r>
    </w:p>
    <w:p w14:paraId="14A0A223" w14:textId="77777777" w:rsidR="00FC0AE2" w:rsidRPr="00FC0AE2" w:rsidRDefault="00FC0AE2" w:rsidP="00FC0AE2">
      <w:pPr>
        <w:numPr>
          <w:ilvl w:val="1"/>
          <w:numId w:val="17"/>
        </w:numPr>
        <w:ind w:left="720"/>
        <w:contextualSpacing/>
        <w:rPr>
          <w:rFonts w:cs="Arial"/>
          <w:noProof/>
          <w:szCs w:val="20"/>
        </w:rPr>
      </w:pPr>
      <w:r w:rsidRPr="00FC0AE2">
        <w:rPr>
          <w:rFonts w:cs="Arial"/>
          <w:noProof/>
          <w:szCs w:val="20"/>
        </w:rPr>
        <w:t>Any approval criteria are not met;</w:t>
      </w:r>
    </w:p>
    <w:p w14:paraId="7178E7C3" w14:textId="77777777" w:rsidR="00FC0AE2" w:rsidRPr="00FC0AE2" w:rsidRDefault="00FC0AE2" w:rsidP="00FC0AE2">
      <w:pPr>
        <w:numPr>
          <w:ilvl w:val="1"/>
          <w:numId w:val="17"/>
        </w:numPr>
        <w:ind w:left="720"/>
        <w:contextualSpacing/>
        <w:rPr>
          <w:rFonts w:cs="Arial"/>
          <w:noProof/>
          <w:szCs w:val="20"/>
        </w:rPr>
      </w:pPr>
      <w:r w:rsidRPr="00FC0AE2">
        <w:rPr>
          <w:rFonts w:cs="Arial"/>
          <w:noProof/>
          <w:szCs w:val="20"/>
        </w:rPr>
        <w:t>Claim is for Orilissa and one of the following is present:</w:t>
      </w:r>
    </w:p>
    <w:p w14:paraId="466015E1" w14:textId="77777777" w:rsidR="00FC0AE2" w:rsidRPr="00FC0AE2" w:rsidRDefault="00FC0AE2" w:rsidP="00FC0AE2">
      <w:pPr>
        <w:numPr>
          <w:ilvl w:val="2"/>
          <w:numId w:val="17"/>
        </w:numPr>
        <w:ind w:left="1080"/>
        <w:contextualSpacing/>
        <w:rPr>
          <w:rFonts w:cs="Arial"/>
          <w:noProof/>
          <w:szCs w:val="20"/>
        </w:rPr>
      </w:pPr>
      <w:r w:rsidRPr="00FC0AE2">
        <w:rPr>
          <w:rFonts w:cs="Arial"/>
          <w:noProof/>
          <w:szCs w:val="20"/>
        </w:rPr>
        <w:t>Participant is currently pregnant;</w:t>
      </w:r>
    </w:p>
    <w:p w14:paraId="6F344442" w14:textId="77777777" w:rsidR="00FC0AE2" w:rsidRPr="00FC0AE2" w:rsidRDefault="00FC0AE2" w:rsidP="00FC0AE2">
      <w:pPr>
        <w:numPr>
          <w:ilvl w:val="2"/>
          <w:numId w:val="17"/>
        </w:numPr>
        <w:ind w:left="1080"/>
        <w:contextualSpacing/>
        <w:rPr>
          <w:rFonts w:cs="Arial"/>
          <w:noProof/>
          <w:szCs w:val="20"/>
        </w:rPr>
      </w:pPr>
      <w:r w:rsidRPr="00FC0AE2">
        <w:rPr>
          <w:rFonts w:cs="Arial"/>
          <w:noProof/>
          <w:szCs w:val="20"/>
        </w:rPr>
        <w:t>Documented diagnosis of osteoporosis in the past year;</w:t>
      </w:r>
    </w:p>
    <w:p w14:paraId="432B8AEB" w14:textId="77777777" w:rsidR="00FC0AE2" w:rsidRPr="00FC0AE2" w:rsidRDefault="00FC0AE2" w:rsidP="00FC0AE2">
      <w:pPr>
        <w:numPr>
          <w:ilvl w:val="2"/>
          <w:numId w:val="17"/>
        </w:numPr>
        <w:ind w:left="1080"/>
        <w:contextualSpacing/>
        <w:rPr>
          <w:rFonts w:cs="Arial"/>
          <w:noProof/>
          <w:szCs w:val="20"/>
        </w:rPr>
      </w:pPr>
      <w:r w:rsidRPr="00FC0AE2">
        <w:rPr>
          <w:rFonts w:cs="Arial"/>
          <w:noProof/>
          <w:szCs w:val="20"/>
        </w:rPr>
        <w:t>Therapy with any other oral LHRH/GnRH antagonist in the past 2 years;</w:t>
      </w:r>
    </w:p>
    <w:p w14:paraId="787D256C" w14:textId="77777777" w:rsidR="00FC0AE2" w:rsidRPr="00FC0AE2" w:rsidRDefault="00FC0AE2" w:rsidP="00FC0AE2">
      <w:pPr>
        <w:numPr>
          <w:ilvl w:val="2"/>
          <w:numId w:val="17"/>
        </w:numPr>
        <w:ind w:left="1080"/>
        <w:contextualSpacing/>
        <w:rPr>
          <w:rFonts w:cs="Arial"/>
          <w:noProof/>
          <w:szCs w:val="20"/>
        </w:rPr>
      </w:pPr>
      <w:r w:rsidRPr="00FC0AE2">
        <w:rPr>
          <w:rFonts w:cs="Arial"/>
          <w:noProof/>
          <w:szCs w:val="20"/>
        </w:rPr>
        <w:t xml:space="preserve">Documented diagnosis of severe hepatic impairment (Child-Pugh C); </w:t>
      </w:r>
      <w:r w:rsidRPr="00FC0AE2">
        <w:rPr>
          <w:rFonts w:cs="Arial"/>
          <w:b/>
          <w:bCs/>
          <w:noProof/>
          <w:szCs w:val="20"/>
        </w:rPr>
        <w:t>OR</w:t>
      </w:r>
    </w:p>
    <w:p w14:paraId="74118815" w14:textId="77777777" w:rsidR="00FC0AE2" w:rsidRPr="00FC0AE2" w:rsidRDefault="00FC0AE2" w:rsidP="00FC0AE2">
      <w:pPr>
        <w:numPr>
          <w:ilvl w:val="2"/>
          <w:numId w:val="17"/>
        </w:numPr>
        <w:ind w:left="1080"/>
        <w:contextualSpacing/>
        <w:rPr>
          <w:rFonts w:cs="Arial"/>
          <w:noProof/>
          <w:szCs w:val="20"/>
        </w:rPr>
      </w:pPr>
      <w:r w:rsidRPr="00FC0AE2">
        <w:rPr>
          <w:rFonts w:cs="Arial"/>
          <w:noProof/>
          <w:szCs w:val="20"/>
        </w:rPr>
        <w:t>For 200 mg tablets – documented diagnosis of moderate hepatic impairment (Child-Pugh B)</w:t>
      </w:r>
    </w:p>
    <w:p w14:paraId="5F9E848A" w14:textId="77777777" w:rsidR="00FC0AE2" w:rsidRPr="00FC0AE2" w:rsidRDefault="00FC0AE2" w:rsidP="00FC0AE2">
      <w:pPr>
        <w:numPr>
          <w:ilvl w:val="1"/>
          <w:numId w:val="17"/>
        </w:numPr>
        <w:ind w:left="720"/>
        <w:contextualSpacing/>
        <w:rPr>
          <w:rFonts w:cs="Arial"/>
          <w:noProof/>
          <w:szCs w:val="20"/>
        </w:rPr>
      </w:pPr>
      <w:r w:rsidRPr="00FC0AE2">
        <w:rPr>
          <w:rFonts w:cs="Arial"/>
          <w:noProof/>
          <w:szCs w:val="20"/>
        </w:rPr>
        <w:t xml:space="preserve">Claim is for Oriahnn or Myfembree and one of the folloiwng is present: </w:t>
      </w:r>
    </w:p>
    <w:p w14:paraId="5F4F8629" w14:textId="77777777" w:rsidR="00FC0AE2" w:rsidRPr="00FC0AE2" w:rsidRDefault="00FC0AE2" w:rsidP="00FC0AE2">
      <w:pPr>
        <w:numPr>
          <w:ilvl w:val="2"/>
          <w:numId w:val="17"/>
        </w:numPr>
        <w:ind w:left="1080"/>
        <w:contextualSpacing/>
        <w:rPr>
          <w:rFonts w:cs="Arial"/>
          <w:noProof/>
          <w:szCs w:val="20"/>
        </w:rPr>
      </w:pPr>
      <w:r w:rsidRPr="00FC0AE2">
        <w:rPr>
          <w:rFonts w:cs="Arial"/>
          <w:noProof/>
          <w:szCs w:val="20"/>
        </w:rPr>
        <w:t xml:space="preserve">Participant is currently pregnant; </w:t>
      </w:r>
    </w:p>
    <w:p w14:paraId="08DABF8B" w14:textId="77777777" w:rsidR="00FC0AE2" w:rsidRPr="00FC0AE2" w:rsidRDefault="00FC0AE2" w:rsidP="00FC0AE2">
      <w:pPr>
        <w:numPr>
          <w:ilvl w:val="2"/>
          <w:numId w:val="17"/>
        </w:numPr>
        <w:ind w:left="1080"/>
        <w:contextualSpacing/>
        <w:rPr>
          <w:rFonts w:cs="Arial"/>
          <w:noProof/>
          <w:szCs w:val="20"/>
        </w:rPr>
      </w:pPr>
      <w:r w:rsidRPr="00FC0AE2">
        <w:rPr>
          <w:rFonts w:cs="Arial"/>
          <w:noProof/>
          <w:szCs w:val="20"/>
        </w:rPr>
        <w:t>Documented diagnosis of osteoporosis in the past year;</w:t>
      </w:r>
    </w:p>
    <w:p w14:paraId="4AF2F982" w14:textId="77777777" w:rsidR="00FC0AE2" w:rsidRPr="00FC0AE2" w:rsidRDefault="00FC0AE2" w:rsidP="00FC0AE2">
      <w:pPr>
        <w:numPr>
          <w:ilvl w:val="2"/>
          <w:numId w:val="17"/>
        </w:numPr>
        <w:ind w:left="1080"/>
        <w:contextualSpacing/>
        <w:rPr>
          <w:rFonts w:cs="Arial"/>
          <w:noProof/>
          <w:szCs w:val="20"/>
        </w:rPr>
      </w:pPr>
      <w:r w:rsidRPr="00FC0AE2">
        <w:rPr>
          <w:rFonts w:cs="Arial"/>
          <w:noProof/>
          <w:szCs w:val="20"/>
        </w:rPr>
        <w:t xml:space="preserve">Therapy with any other oral LHRH/GnRH antagonist in the past 2 years; </w:t>
      </w:r>
      <w:r w:rsidRPr="00FC0AE2">
        <w:rPr>
          <w:rFonts w:cs="Arial"/>
          <w:b/>
          <w:bCs/>
          <w:noProof/>
          <w:szCs w:val="20"/>
        </w:rPr>
        <w:t>OR</w:t>
      </w:r>
    </w:p>
    <w:p w14:paraId="665ACB0A" w14:textId="77777777" w:rsidR="00FC0AE2" w:rsidRPr="00FC0AE2" w:rsidRDefault="00FC0AE2" w:rsidP="00FC0AE2">
      <w:pPr>
        <w:numPr>
          <w:ilvl w:val="2"/>
          <w:numId w:val="17"/>
        </w:numPr>
        <w:ind w:left="1080"/>
        <w:contextualSpacing/>
        <w:rPr>
          <w:rFonts w:cs="Arial"/>
          <w:noProof/>
          <w:szCs w:val="20"/>
        </w:rPr>
      </w:pPr>
      <w:r w:rsidRPr="00FC0AE2">
        <w:rPr>
          <w:rFonts w:cs="Arial"/>
          <w:noProof/>
          <w:szCs w:val="20"/>
        </w:rPr>
        <w:t xml:space="preserve">Documented diagnosis of any hepatic impairment; </w:t>
      </w:r>
      <w:r w:rsidRPr="00FC0AE2">
        <w:rPr>
          <w:rFonts w:cs="Arial"/>
          <w:b/>
          <w:bCs/>
          <w:noProof/>
          <w:szCs w:val="20"/>
        </w:rPr>
        <w:t>OR</w:t>
      </w:r>
    </w:p>
    <w:p w14:paraId="442C1E2B" w14:textId="77777777" w:rsidR="00FC0AE2" w:rsidRPr="00FC0AE2" w:rsidRDefault="00FC0AE2" w:rsidP="00FC0AE2">
      <w:pPr>
        <w:numPr>
          <w:ilvl w:val="1"/>
          <w:numId w:val="17"/>
        </w:numPr>
        <w:ind w:left="720"/>
        <w:contextualSpacing/>
        <w:rPr>
          <w:rFonts w:cs="Arial"/>
          <w:noProof/>
          <w:szCs w:val="20"/>
        </w:rPr>
      </w:pPr>
      <w:r w:rsidRPr="00FC0AE2">
        <w:rPr>
          <w:rFonts w:cs="Arial"/>
          <w:noProof/>
          <w:szCs w:val="20"/>
        </w:rPr>
        <w:t>Claim exceeds maximum dosing limitation for the following:</w:t>
      </w:r>
    </w:p>
    <w:tbl>
      <w:tblPr>
        <w:tblStyle w:val="TableGrid"/>
        <w:tblW w:w="9103" w:type="dxa"/>
        <w:tblInd w:w="360" w:type="dxa"/>
        <w:tblLook w:val="04A0" w:firstRow="1" w:lastRow="0" w:firstColumn="1" w:lastColumn="0" w:noHBand="0" w:noVBand="1"/>
      </w:tblPr>
      <w:tblGrid>
        <w:gridCol w:w="3122"/>
        <w:gridCol w:w="4084"/>
        <w:gridCol w:w="1897"/>
      </w:tblGrid>
      <w:tr w:rsidR="00BF3CE0" w:rsidRPr="00BF3CE0" w14:paraId="18CE1231" w14:textId="77777777" w:rsidTr="003F3B43">
        <w:tc>
          <w:tcPr>
            <w:tcW w:w="3145" w:type="dxa"/>
            <w:shd w:val="clear" w:color="auto" w:fill="FABF8F" w:themeFill="accent6" w:themeFillTint="99"/>
            <w:vAlign w:val="center"/>
          </w:tcPr>
          <w:p w14:paraId="2048B815" w14:textId="77777777" w:rsidR="00BF3CE0" w:rsidRPr="00BF3CE0" w:rsidRDefault="00BF3CE0" w:rsidP="00BF3CE0">
            <w:pPr>
              <w:contextualSpacing/>
              <w:rPr>
                <w:rFonts w:cs="Arial"/>
                <w:b/>
                <w:noProof/>
                <w:szCs w:val="20"/>
              </w:rPr>
            </w:pPr>
            <w:r w:rsidRPr="00BF3CE0">
              <w:rPr>
                <w:rFonts w:cs="Arial"/>
                <w:b/>
                <w:noProof/>
                <w:szCs w:val="20"/>
              </w:rPr>
              <w:t>Drug Description</w:t>
            </w:r>
          </w:p>
        </w:tc>
        <w:tc>
          <w:tcPr>
            <w:tcW w:w="4050" w:type="dxa"/>
            <w:shd w:val="clear" w:color="auto" w:fill="FABF8F" w:themeFill="accent6" w:themeFillTint="99"/>
            <w:vAlign w:val="center"/>
          </w:tcPr>
          <w:p w14:paraId="20CABA9F" w14:textId="77777777" w:rsidR="00BF3CE0" w:rsidRPr="00BF3CE0" w:rsidRDefault="00BF3CE0" w:rsidP="00BF3CE0">
            <w:pPr>
              <w:contextualSpacing/>
              <w:rPr>
                <w:rFonts w:cs="Arial"/>
                <w:b/>
                <w:noProof/>
                <w:szCs w:val="20"/>
              </w:rPr>
            </w:pPr>
            <w:r w:rsidRPr="00BF3CE0">
              <w:rPr>
                <w:rFonts w:cs="Arial"/>
                <w:b/>
                <w:noProof/>
                <w:szCs w:val="20"/>
              </w:rPr>
              <w:t>Generic Equivalent</w:t>
            </w:r>
          </w:p>
        </w:tc>
        <w:tc>
          <w:tcPr>
            <w:tcW w:w="1908" w:type="dxa"/>
            <w:shd w:val="clear" w:color="auto" w:fill="FABF8F" w:themeFill="accent6" w:themeFillTint="99"/>
            <w:vAlign w:val="center"/>
          </w:tcPr>
          <w:p w14:paraId="1C663A0F" w14:textId="77777777" w:rsidR="00BF3CE0" w:rsidRPr="00BF3CE0" w:rsidRDefault="00BF3CE0" w:rsidP="00BF3CE0">
            <w:pPr>
              <w:contextualSpacing/>
              <w:rPr>
                <w:rFonts w:cs="Arial"/>
                <w:b/>
                <w:noProof/>
                <w:szCs w:val="20"/>
              </w:rPr>
            </w:pPr>
            <w:r w:rsidRPr="00BF3CE0">
              <w:rPr>
                <w:rFonts w:cs="Arial"/>
                <w:b/>
                <w:noProof/>
                <w:szCs w:val="20"/>
              </w:rPr>
              <w:t>Max Dosing Limitation</w:t>
            </w:r>
          </w:p>
        </w:tc>
      </w:tr>
      <w:tr w:rsidR="00BF3CE0" w:rsidRPr="00BF3CE0" w14:paraId="25D69793" w14:textId="77777777" w:rsidTr="003F3B43">
        <w:tc>
          <w:tcPr>
            <w:tcW w:w="3145" w:type="dxa"/>
            <w:vAlign w:val="center"/>
          </w:tcPr>
          <w:p w14:paraId="349C92E1" w14:textId="77777777" w:rsidR="00BF3CE0" w:rsidRPr="00BF3CE0" w:rsidRDefault="00BF3CE0" w:rsidP="00BF3CE0">
            <w:pPr>
              <w:contextualSpacing/>
              <w:rPr>
                <w:rFonts w:cs="Arial"/>
                <w:b/>
                <w:caps/>
                <w:noProof/>
                <w:szCs w:val="20"/>
              </w:rPr>
            </w:pPr>
            <w:r w:rsidRPr="00BF3CE0">
              <w:rPr>
                <w:rFonts w:cs="Arial"/>
                <w:bCs/>
                <w:caps/>
                <w:noProof/>
                <w:szCs w:val="20"/>
              </w:rPr>
              <w:t>Myfembree 40-1-0.5 mg</w:t>
            </w:r>
          </w:p>
        </w:tc>
        <w:tc>
          <w:tcPr>
            <w:tcW w:w="4050" w:type="dxa"/>
            <w:vAlign w:val="center"/>
          </w:tcPr>
          <w:p w14:paraId="75BB9A9A" w14:textId="77777777" w:rsidR="00BF3CE0" w:rsidRPr="00BF3CE0" w:rsidRDefault="00BF3CE0" w:rsidP="00BF3CE0">
            <w:pPr>
              <w:contextualSpacing/>
              <w:rPr>
                <w:rFonts w:cs="Arial"/>
                <w:b/>
                <w:caps/>
                <w:noProof/>
                <w:szCs w:val="20"/>
              </w:rPr>
            </w:pPr>
            <w:r w:rsidRPr="00BF3CE0">
              <w:rPr>
                <w:rFonts w:cs="Arial"/>
                <w:bCs/>
                <w:caps/>
                <w:noProof/>
                <w:szCs w:val="20"/>
              </w:rPr>
              <w:t>Relugolix/Estradiol/Norethindrn</w:t>
            </w:r>
          </w:p>
        </w:tc>
        <w:tc>
          <w:tcPr>
            <w:tcW w:w="1908" w:type="dxa"/>
            <w:vAlign w:val="center"/>
          </w:tcPr>
          <w:p w14:paraId="3926F01F" w14:textId="77777777" w:rsidR="00BF3CE0" w:rsidRPr="00BF3CE0" w:rsidRDefault="00BF3CE0" w:rsidP="00BF3CE0">
            <w:pPr>
              <w:contextualSpacing/>
              <w:rPr>
                <w:rFonts w:cs="Arial"/>
                <w:bCs/>
                <w:noProof/>
                <w:szCs w:val="20"/>
              </w:rPr>
            </w:pPr>
            <w:r w:rsidRPr="00BF3CE0">
              <w:rPr>
                <w:rFonts w:cs="Arial"/>
                <w:bCs/>
                <w:noProof/>
                <w:szCs w:val="20"/>
              </w:rPr>
              <w:t>1 tablet per day</w:t>
            </w:r>
          </w:p>
        </w:tc>
      </w:tr>
      <w:tr w:rsidR="00BF3CE0" w:rsidRPr="00BF3CE0" w14:paraId="24048F36" w14:textId="77777777" w:rsidTr="003F3B43">
        <w:tc>
          <w:tcPr>
            <w:tcW w:w="3145" w:type="dxa"/>
            <w:vAlign w:val="bottom"/>
          </w:tcPr>
          <w:p w14:paraId="3481B2BA" w14:textId="77777777" w:rsidR="00BF3CE0" w:rsidRPr="00BF3CE0" w:rsidRDefault="00BF3CE0" w:rsidP="00BF3CE0">
            <w:pPr>
              <w:contextualSpacing/>
              <w:rPr>
                <w:rFonts w:cs="Arial"/>
                <w:bCs/>
                <w:caps/>
                <w:noProof/>
                <w:szCs w:val="20"/>
              </w:rPr>
            </w:pPr>
            <w:r w:rsidRPr="00BF3CE0">
              <w:rPr>
                <w:rFonts w:cs="Arial"/>
                <w:bCs/>
                <w:caps/>
                <w:noProof/>
                <w:szCs w:val="20"/>
              </w:rPr>
              <w:t>Orilissa 150mg tab</w:t>
            </w:r>
          </w:p>
        </w:tc>
        <w:tc>
          <w:tcPr>
            <w:tcW w:w="4050" w:type="dxa"/>
            <w:vAlign w:val="bottom"/>
          </w:tcPr>
          <w:p w14:paraId="6EB2589E" w14:textId="77777777" w:rsidR="00BF3CE0" w:rsidRPr="00BF3CE0" w:rsidRDefault="00BF3CE0" w:rsidP="00BF3CE0">
            <w:pPr>
              <w:contextualSpacing/>
              <w:rPr>
                <w:rFonts w:cs="Arial"/>
                <w:bCs/>
                <w:caps/>
                <w:noProof/>
                <w:szCs w:val="20"/>
              </w:rPr>
            </w:pPr>
            <w:r w:rsidRPr="00BF3CE0">
              <w:rPr>
                <w:rFonts w:cs="Arial"/>
                <w:bCs/>
                <w:caps/>
                <w:noProof/>
                <w:szCs w:val="20"/>
              </w:rPr>
              <w:t>Elagolix</w:t>
            </w:r>
          </w:p>
        </w:tc>
        <w:tc>
          <w:tcPr>
            <w:tcW w:w="1908" w:type="dxa"/>
            <w:vAlign w:val="center"/>
          </w:tcPr>
          <w:p w14:paraId="4AFE9770" w14:textId="77777777" w:rsidR="00BF3CE0" w:rsidRPr="00BF3CE0" w:rsidRDefault="00BF3CE0" w:rsidP="00BF3CE0">
            <w:pPr>
              <w:contextualSpacing/>
              <w:rPr>
                <w:rFonts w:cs="Arial"/>
                <w:bCs/>
                <w:noProof/>
                <w:szCs w:val="20"/>
              </w:rPr>
            </w:pPr>
            <w:r w:rsidRPr="00BF3CE0">
              <w:rPr>
                <w:rFonts w:cs="Arial"/>
                <w:bCs/>
                <w:noProof/>
                <w:szCs w:val="20"/>
              </w:rPr>
              <w:t>1 tablet per day</w:t>
            </w:r>
          </w:p>
        </w:tc>
      </w:tr>
      <w:tr w:rsidR="00BF3CE0" w:rsidRPr="00BF3CE0" w14:paraId="0F26A600" w14:textId="77777777" w:rsidTr="003F3B43">
        <w:tc>
          <w:tcPr>
            <w:tcW w:w="3145" w:type="dxa"/>
            <w:vAlign w:val="bottom"/>
          </w:tcPr>
          <w:p w14:paraId="5DF6D731" w14:textId="77777777" w:rsidR="00BF3CE0" w:rsidRPr="00BF3CE0" w:rsidRDefault="00BF3CE0" w:rsidP="00BF3CE0">
            <w:pPr>
              <w:contextualSpacing/>
              <w:rPr>
                <w:rFonts w:cs="Arial"/>
                <w:bCs/>
                <w:caps/>
                <w:noProof/>
                <w:szCs w:val="20"/>
              </w:rPr>
            </w:pPr>
            <w:r w:rsidRPr="00BF3CE0">
              <w:rPr>
                <w:rFonts w:cs="Arial"/>
                <w:bCs/>
                <w:caps/>
                <w:noProof/>
                <w:szCs w:val="20"/>
              </w:rPr>
              <w:t>Orilissa 200mg tab</w:t>
            </w:r>
          </w:p>
        </w:tc>
        <w:tc>
          <w:tcPr>
            <w:tcW w:w="4050" w:type="dxa"/>
            <w:vAlign w:val="bottom"/>
          </w:tcPr>
          <w:p w14:paraId="61AA6511" w14:textId="77777777" w:rsidR="00BF3CE0" w:rsidRPr="00BF3CE0" w:rsidRDefault="00BF3CE0" w:rsidP="00BF3CE0">
            <w:pPr>
              <w:contextualSpacing/>
              <w:rPr>
                <w:rFonts w:cs="Arial"/>
                <w:bCs/>
                <w:caps/>
                <w:noProof/>
                <w:szCs w:val="20"/>
              </w:rPr>
            </w:pPr>
            <w:r w:rsidRPr="00BF3CE0">
              <w:rPr>
                <w:rFonts w:cs="Arial"/>
                <w:bCs/>
                <w:caps/>
                <w:noProof/>
                <w:szCs w:val="20"/>
              </w:rPr>
              <w:t>Elagolix</w:t>
            </w:r>
          </w:p>
        </w:tc>
        <w:tc>
          <w:tcPr>
            <w:tcW w:w="1908" w:type="dxa"/>
            <w:vAlign w:val="center"/>
          </w:tcPr>
          <w:p w14:paraId="60F41717" w14:textId="77777777" w:rsidR="00BF3CE0" w:rsidRPr="00BF3CE0" w:rsidRDefault="00BF3CE0" w:rsidP="00BF3CE0">
            <w:pPr>
              <w:contextualSpacing/>
              <w:rPr>
                <w:rFonts w:cs="Arial"/>
                <w:bCs/>
                <w:noProof/>
                <w:szCs w:val="20"/>
              </w:rPr>
            </w:pPr>
            <w:r w:rsidRPr="00BF3CE0">
              <w:rPr>
                <w:rFonts w:cs="Arial"/>
                <w:bCs/>
                <w:noProof/>
                <w:szCs w:val="20"/>
              </w:rPr>
              <w:t>2 tablets per day</w:t>
            </w:r>
          </w:p>
        </w:tc>
      </w:tr>
      <w:tr w:rsidR="00BF3CE0" w:rsidRPr="00BF3CE0" w14:paraId="515A769D" w14:textId="77777777" w:rsidTr="003F3B43">
        <w:tc>
          <w:tcPr>
            <w:tcW w:w="3145" w:type="dxa"/>
            <w:vAlign w:val="center"/>
          </w:tcPr>
          <w:p w14:paraId="58BAFCE7" w14:textId="77777777" w:rsidR="00BF3CE0" w:rsidRPr="00BF3CE0" w:rsidRDefault="00BF3CE0" w:rsidP="00BF3CE0">
            <w:pPr>
              <w:contextualSpacing/>
              <w:rPr>
                <w:rFonts w:cs="Arial"/>
                <w:bCs/>
                <w:caps/>
                <w:noProof/>
                <w:szCs w:val="20"/>
              </w:rPr>
            </w:pPr>
            <w:r w:rsidRPr="00BF3CE0">
              <w:rPr>
                <w:rFonts w:cs="Arial"/>
                <w:bCs/>
                <w:caps/>
                <w:noProof/>
                <w:szCs w:val="20"/>
              </w:rPr>
              <w:t>Oriahnn 300-1-0.5mg/300mg</w:t>
            </w:r>
          </w:p>
        </w:tc>
        <w:tc>
          <w:tcPr>
            <w:tcW w:w="4050" w:type="dxa"/>
            <w:vAlign w:val="center"/>
          </w:tcPr>
          <w:p w14:paraId="18851EE2" w14:textId="77777777" w:rsidR="00BF3CE0" w:rsidRPr="00BF3CE0" w:rsidRDefault="00BF3CE0" w:rsidP="00BF3CE0">
            <w:pPr>
              <w:contextualSpacing/>
              <w:rPr>
                <w:rFonts w:cs="Arial"/>
                <w:bCs/>
                <w:caps/>
                <w:noProof/>
                <w:szCs w:val="20"/>
              </w:rPr>
            </w:pPr>
            <w:r w:rsidRPr="00BF3CE0">
              <w:rPr>
                <w:rFonts w:cs="Arial"/>
                <w:bCs/>
                <w:caps/>
                <w:noProof/>
                <w:szCs w:val="20"/>
              </w:rPr>
              <w:t>Elagolix/Estradiol/Norethindrn</w:t>
            </w:r>
          </w:p>
        </w:tc>
        <w:tc>
          <w:tcPr>
            <w:tcW w:w="1908" w:type="dxa"/>
            <w:vAlign w:val="center"/>
          </w:tcPr>
          <w:p w14:paraId="45FE8C55" w14:textId="77777777" w:rsidR="00BF3CE0" w:rsidRPr="00BF3CE0" w:rsidRDefault="00BF3CE0" w:rsidP="00BF3CE0">
            <w:pPr>
              <w:contextualSpacing/>
              <w:rPr>
                <w:rFonts w:cs="Arial"/>
                <w:bCs/>
                <w:noProof/>
                <w:szCs w:val="20"/>
              </w:rPr>
            </w:pPr>
            <w:r w:rsidRPr="00BF3CE0">
              <w:rPr>
                <w:rFonts w:cs="Arial"/>
                <w:bCs/>
                <w:noProof/>
                <w:szCs w:val="20"/>
              </w:rPr>
              <w:t>2 capsules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ED672B5" w14:textId="77777777" w:rsidR="00431CD5" w:rsidRPr="00431CD5" w:rsidRDefault="00431CD5" w:rsidP="00431CD5">
      <w:pPr>
        <w:ind w:left="159"/>
        <w:rPr>
          <w:rFonts w:cs="Arial"/>
          <w:szCs w:val="20"/>
        </w:rPr>
      </w:pPr>
    </w:p>
    <w:p w14:paraId="33FB7ECB" w14:textId="77777777" w:rsidR="00431CD5" w:rsidRPr="00431CD5" w:rsidRDefault="00431CD5" w:rsidP="00431CD5">
      <w:pPr>
        <w:numPr>
          <w:ilvl w:val="0"/>
          <w:numId w:val="18"/>
        </w:numPr>
        <w:contextualSpacing/>
        <w:rPr>
          <w:rFonts w:cs="Arial"/>
          <w:szCs w:val="20"/>
        </w:rPr>
      </w:pPr>
      <w:r w:rsidRPr="00431CD5">
        <w:rPr>
          <w:rFonts w:cs="Arial"/>
          <w:szCs w:val="20"/>
        </w:rPr>
        <w:t>Evidence-Based Medicine and Fiscal Analysis: “Therapeutic Class Review: ENDOCRINE AND METABOLIC AGENTS: LHRH, GnRH Antagonists, Oral”, Gainwell Technologies; Last updated April 10, 2024.</w:t>
      </w:r>
    </w:p>
    <w:p w14:paraId="523C0118" w14:textId="2F0161B8" w:rsidR="00431CD5" w:rsidRPr="00431CD5" w:rsidRDefault="00431CD5" w:rsidP="088E5B9B">
      <w:pPr>
        <w:numPr>
          <w:ilvl w:val="0"/>
          <w:numId w:val="18"/>
        </w:numPr>
        <w:contextualSpacing/>
        <w:rPr>
          <w:rFonts w:cs="Arial"/>
        </w:rPr>
      </w:pPr>
      <w:r w:rsidRPr="088E5B9B">
        <w:rPr>
          <w:rFonts w:cs="Arial"/>
        </w:rPr>
        <w:t xml:space="preserve">Evidence-Based Medicine Analysis: “Luteinizing Hormone-releasing Hormone (LHRH) Antagonists and Gonadotropin-releasing Hormone (GnRH) Antagonists and Agonists”, UMKC-DIC; </w:t>
      </w:r>
      <w:r w:rsidR="03AE5A1B" w:rsidRPr="088E5B9B">
        <w:rPr>
          <w:rFonts w:cs="Arial"/>
        </w:rPr>
        <w:t>May</w:t>
      </w:r>
      <w:r w:rsidRPr="088E5B9B">
        <w:rPr>
          <w:rFonts w:cs="Arial"/>
        </w:rPr>
        <w:t xml:space="preserve"> 202</w:t>
      </w:r>
      <w:r w:rsidR="62A7C927" w:rsidRPr="088E5B9B">
        <w:rPr>
          <w:rFonts w:cs="Arial"/>
        </w:rPr>
        <w:t>6</w:t>
      </w:r>
      <w:r w:rsidRPr="088E5B9B">
        <w:rPr>
          <w:rFonts w:cs="Arial"/>
        </w:rPr>
        <w:t>.</w:t>
      </w:r>
    </w:p>
    <w:p w14:paraId="6302DD45" w14:textId="05CCD91D" w:rsidR="00431CD5" w:rsidRPr="00431CD5" w:rsidRDefault="00431CD5" w:rsidP="00431CD5">
      <w:pPr>
        <w:numPr>
          <w:ilvl w:val="0"/>
          <w:numId w:val="18"/>
        </w:numPr>
        <w:contextualSpacing/>
        <w:rPr>
          <w:rFonts w:cs="Arial"/>
          <w:szCs w:val="20"/>
        </w:rPr>
      </w:pPr>
      <w:r w:rsidRPr="00431CD5">
        <w:rPr>
          <w:rFonts w:cs="Arial"/>
          <w:szCs w:val="20"/>
        </w:rPr>
        <w:t xml:space="preserve">Myfembree (relugolix, estradiol, and norethindrone acetate) tablets [package insert]. Marlborough, MA: Sumitomo Pharma America, Inc; </w:t>
      </w:r>
      <w:r w:rsidR="00C15374">
        <w:rPr>
          <w:rFonts w:cs="Arial"/>
          <w:szCs w:val="20"/>
        </w:rPr>
        <w:t>August</w:t>
      </w:r>
      <w:r w:rsidRPr="00431CD5">
        <w:rPr>
          <w:rFonts w:cs="Arial"/>
          <w:szCs w:val="20"/>
        </w:rPr>
        <w:t xml:space="preserve"> 202</w:t>
      </w:r>
      <w:r w:rsidR="00C15374">
        <w:rPr>
          <w:rFonts w:cs="Arial"/>
          <w:szCs w:val="20"/>
        </w:rPr>
        <w:t>5</w:t>
      </w:r>
      <w:r w:rsidRPr="00431CD5">
        <w:rPr>
          <w:rFonts w:cs="Arial"/>
          <w:szCs w:val="20"/>
        </w:rPr>
        <w:t>.</w:t>
      </w:r>
    </w:p>
    <w:p w14:paraId="7FEF7AF3" w14:textId="03DA7C44" w:rsidR="00431CD5" w:rsidRPr="00431CD5" w:rsidRDefault="00431CD5" w:rsidP="00431CD5">
      <w:pPr>
        <w:numPr>
          <w:ilvl w:val="0"/>
          <w:numId w:val="18"/>
        </w:numPr>
        <w:contextualSpacing/>
        <w:rPr>
          <w:rFonts w:cs="Arial"/>
          <w:szCs w:val="20"/>
        </w:rPr>
      </w:pPr>
      <w:r w:rsidRPr="00431CD5">
        <w:rPr>
          <w:rFonts w:cs="Arial"/>
          <w:szCs w:val="20"/>
        </w:rPr>
        <w:t>Orgovyx (relugolix) tablets [package insert]. Marlborough, MA: Sumitomo Pharma America, Inc.; October 202</w:t>
      </w:r>
      <w:r w:rsidR="00182999">
        <w:rPr>
          <w:rFonts w:cs="Arial"/>
          <w:szCs w:val="20"/>
        </w:rPr>
        <w:t>5</w:t>
      </w:r>
      <w:r w:rsidRPr="00431CD5">
        <w:rPr>
          <w:rFonts w:cs="Arial"/>
          <w:szCs w:val="20"/>
        </w:rPr>
        <w:t>.</w:t>
      </w:r>
    </w:p>
    <w:p w14:paraId="214CC925" w14:textId="6B7E4AE0" w:rsidR="00431CD5" w:rsidRPr="00431CD5" w:rsidRDefault="00431CD5" w:rsidP="00431CD5">
      <w:pPr>
        <w:numPr>
          <w:ilvl w:val="0"/>
          <w:numId w:val="18"/>
        </w:numPr>
        <w:contextualSpacing/>
        <w:rPr>
          <w:rFonts w:cs="Arial"/>
          <w:szCs w:val="20"/>
        </w:rPr>
      </w:pPr>
      <w:r w:rsidRPr="00431CD5">
        <w:rPr>
          <w:rFonts w:cs="Arial"/>
          <w:szCs w:val="20"/>
        </w:rPr>
        <w:t xml:space="preserve">Oriahnn (elagolix, estradiol, and norethindrone acetate capsules; elagolix capsules) [package insert]. North Chicago, IL: AbbVie Inc.; </w:t>
      </w:r>
      <w:r w:rsidR="00CB5F57">
        <w:rPr>
          <w:rFonts w:cs="Arial"/>
          <w:szCs w:val="20"/>
        </w:rPr>
        <w:t>December</w:t>
      </w:r>
      <w:r w:rsidRPr="00431CD5">
        <w:rPr>
          <w:rFonts w:cs="Arial"/>
          <w:szCs w:val="20"/>
        </w:rPr>
        <w:t xml:space="preserve"> 20</w:t>
      </w:r>
      <w:r w:rsidR="000B6F69">
        <w:rPr>
          <w:rFonts w:cs="Arial"/>
          <w:szCs w:val="20"/>
        </w:rPr>
        <w:t>2</w:t>
      </w:r>
      <w:r w:rsidR="00CB5F57">
        <w:rPr>
          <w:rFonts w:cs="Arial"/>
          <w:szCs w:val="20"/>
        </w:rPr>
        <w:t>5</w:t>
      </w:r>
      <w:r w:rsidRPr="00431CD5">
        <w:rPr>
          <w:rFonts w:cs="Arial"/>
          <w:szCs w:val="20"/>
        </w:rPr>
        <w:t>.</w:t>
      </w:r>
    </w:p>
    <w:p w14:paraId="19CD5681" w14:textId="6D3241C9" w:rsidR="00431CD5" w:rsidRPr="00431CD5" w:rsidRDefault="00431CD5" w:rsidP="00431CD5">
      <w:pPr>
        <w:numPr>
          <w:ilvl w:val="0"/>
          <w:numId w:val="18"/>
        </w:numPr>
        <w:contextualSpacing/>
        <w:rPr>
          <w:rFonts w:cs="Arial"/>
          <w:szCs w:val="20"/>
        </w:rPr>
      </w:pPr>
      <w:r w:rsidRPr="00431CD5">
        <w:rPr>
          <w:rFonts w:cs="Arial"/>
          <w:szCs w:val="20"/>
        </w:rPr>
        <w:t xml:space="preserve">Orilissa (elagolix) tablets [package insert]. North Chicago, IL: AbbVie Inc.; </w:t>
      </w:r>
      <w:r w:rsidR="000B6F69">
        <w:rPr>
          <w:rFonts w:cs="Arial"/>
          <w:szCs w:val="20"/>
        </w:rPr>
        <w:t>December</w:t>
      </w:r>
      <w:r w:rsidRPr="00431CD5">
        <w:rPr>
          <w:rFonts w:cs="Arial"/>
          <w:szCs w:val="20"/>
        </w:rPr>
        <w:t xml:space="preserve"> 202</w:t>
      </w:r>
      <w:r w:rsidR="000B6F69">
        <w:rPr>
          <w:rFonts w:cs="Arial"/>
          <w:szCs w:val="20"/>
        </w:rPr>
        <w:t>5</w:t>
      </w:r>
      <w:r w:rsidRPr="00431CD5">
        <w:rPr>
          <w:rFonts w:cs="Arial"/>
          <w:szCs w:val="20"/>
        </w:rPr>
        <w:t>.</w:t>
      </w:r>
    </w:p>
    <w:p w14:paraId="757C3FF8" w14:textId="77777777" w:rsidR="00431CD5" w:rsidRPr="00431CD5" w:rsidRDefault="00431CD5" w:rsidP="00431CD5">
      <w:pPr>
        <w:numPr>
          <w:ilvl w:val="0"/>
          <w:numId w:val="18"/>
        </w:numPr>
        <w:contextualSpacing/>
        <w:rPr>
          <w:rFonts w:cs="Arial"/>
          <w:szCs w:val="20"/>
        </w:rPr>
      </w:pPr>
      <w:r w:rsidRPr="00431CD5">
        <w:rPr>
          <w:rFonts w:cs="Arial"/>
          <w:szCs w:val="20"/>
        </w:rPr>
        <w:t>IPD Analytics.  Obstetrics/Gynecology (Women's Health): Uterine Fibroids and Endometriosis.  Accessed May 11, 2023.</w:t>
      </w:r>
    </w:p>
    <w:p w14:paraId="3AAEF445" w14:textId="51C46C95" w:rsidR="00431CD5" w:rsidRPr="00431CD5" w:rsidRDefault="00431CD5" w:rsidP="00431CD5">
      <w:pPr>
        <w:numPr>
          <w:ilvl w:val="0"/>
          <w:numId w:val="18"/>
        </w:numPr>
        <w:rPr>
          <w:rFonts w:cs="Arial"/>
        </w:rPr>
      </w:pPr>
      <w:r w:rsidRPr="00431CD5">
        <w:rPr>
          <w:rFonts w:cs="Arial"/>
          <w:szCs w:val="20"/>
        </w:rPr>
        <w:t>USPDI, Micromedex; 202</w:t>
      </w:r>
      <w:r w:rsidR="000637E5">
        <w:rPr>
          <w:rFonts w:cs="Arial"/>
          <w:szCs w:val="20"/>
        </w:rPr>
        <w:t>6</w:t>
      </w:r>
      <w:r w:rsidRPr="00431CD5">
        <w:rPr>
          <w:rFonts w:cs="Arial"/>
          <w:szCs w:val="20"/>
        </w:rPr>
        <w:t xml:space="preserve">. </w:t>
      </w:r>
    </w:p>
    <w:p w14:paraId="64DDD98D" w14:textId="0C43B647" w:rsidR="00431CD5" w:rsidRPr="00431CD5" w:rsidRDefault="00431CD5" w:rsidP="00431CD5">
      <w:pPr>
        <w:numPr>
          <w:ilvl w:val="0"/>
          <w:numId w:val="18"/>
        </w:numPr>
        <w:rPr>
          <w:rFonts w:cs="Arial"/>
          <w:szCs w:val="20"/>
        </w:rPr>
      </w:pPr>
      <w:r w:rsidRPr="00431CD5">
        <w:rPr>
          <w:rFonts w:cs="Arial"/>
          <w:szCs w:val="20"/>
        </w:rPr>
        <w:t>Facts and Comparisons eAnswers (online); 202</w:t>
      </w:r>
      <w:r w:rsidR="000637E5">
        <w:rPr>
          <w:rFonts w:cs="Arial"/>
          <w:szCs w:val="20"/>
        </w:rPr>
        <w:t>6</w:t>
      </w:r>
      <w:r w:rsidRPr="00431CD5">
        <w:rPr>
          <w:rFonts w:cs="Arial"/>
          <w:szCs w:val="20"/>
        </w:rPr>
        <w:t xml:space="preserve"> Clinical Drug Information, LLC. </w:t>
      </w:r>
    </w:p>
    <w:p w14:paraId="3FA1E7DB" w14:textId="63592B13" w:rsidR="00777CA4" w:rsidRDefault="00777CA4" w:rsidP="00431CD5">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A35AA" w14:textId="77777777" w:rsidR="00D60FF6" w:rsidRPr="00C02553" w:rsidRDefault="00D60FF6" w:rsidP="00AE77DB">
      <w:r w:rsidRPr="00C02553">
        <w:separator/>
      </w:r>
    </w:p>
  </w:endnote>
  <w:endnote w:type="continuationSeparator" w:id="0">
    <w:p w14:paraId="7BFAE8D0" w14:textId="77777777" w:rsidR="00D60FF6" w:rsidRPr="00C02553" w:rsidRDefault="00D60FF6" w:rsidP="00AE77DB">
      <w:r w:rsidRPr="00C02553">
        <w:continuationSeparator/>
      </w:r>
    </w:p>
  </w:endnote>
  <w:endnote w:type="continuationNotice" w:id="1">
    <w:p w14:paraId="339E3205" w14:textId="77777777" w:rsidR="00D60FF6" w:rsidRPr="00C02553" w:rsidRDefault="00D60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0BE24" w14:textId="77777777" w:rsidR="00D60FF6" w:rsidRPr="00C02553" w:rsidRDefault="00D60FF6" w:rsidP="00AE77DB">
      <w:r w:rsidRPr="00C02553">
        <w:separator/>
      </w:r>
    </w:p>
  </w:footnote>
  <w:footnote w:type="continuationSeparator" w:id="0">
    <w:p w14:paraId="708247CB" w14:textId="77777777" w:rsidR="00D60FF6" w:rsidRPr="00C02553" w:rsidRDefault="00D60FF6" w:rsidP="00AE77DB">
      <w:r w:rsidRPr="00C02553">
        <w:continuationSeparator/>
      </w:r>
    </w:p>
  </w:footnote>
  <w:footnote w:type="continuationNotice" w:id="1">
    <w:p w14:paraId="65F8E334" w14:textId="77777777" w:rsidR="00D60FF6" w:rsidRPr="00C02553" w:rsidRDefault="00D60F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721334">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721334">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721334">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78C73DB6"/>
    <w:multiLevelType w:val="hybridMultilevel"/>
    <w:tmpl w:val="CAACAB9A"/>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7DF3321F"/>
    <w:multiLevelType w:val="hybridMultilevel"/>
    <w:tmpl w:val="75E0A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4"/>
  </w:num>
  <w:num w:numId="3" w16cid:durableId="1729067566">
    <w:abstractNumId w:val="4"/>
  </w:num>
  <w:num w:numId="4" w16cid:durableId="320159068">
    <w:abstractNumId w:val="8"/>
  </w:num>
  <w:num w:numId="5" w16cid:durableId="1769498754">
    <w:abstractNumId w:val="3"/>
  </w:num>
  <w:num w:numId="6" w16cid:durableId="1094596320">
    <w:abstractNumId w:val="12"/>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3"/>
  </w:num>
  <w:num w:numId="13" w16cid:durableId="604729665">
    <w:abstractNumId w:val="6"/>
  </w:num>
  <w:num w:numId="14" w16cid:durableId="1805081292">
    <w:abstractNumId w:val="11"/>
  </w:num>
  <w:num w:numId="15" w16cid:durableId="653797411">
    <w:abstractNumId w:val="12"/>
  </w:num>
  <w:num w:numId="16" w16cid:durableId="754521697">
    <w:abstractNumId w:val="5"/>
  </w:num>
  <w:num w:numId="17" w16cid:durableId="1009210509">
    <w:abstractNumId w:val="16"/>
  </w:num>
  <w:num w:numId="18" w16cid:durableId="196916456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TDzU0xTF1ErrrVQa4tr+2/huhFwJcBYlaO7alMIY6lPr0rMQvI22XnPFFD+S08IizzmSt0stfalMf36Et0EkoA==" w:salt="uOH5r++v8P41Xgh6PYlYb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37E5"/>
    <w:rsid w:val="00064162"/>
    <w:rsid w:val="00065972"/>
    <w:rsid w:val="00065C22"/>
    <w:rsid w:val="00066885"/>
    <w:rsid w:val="00074464"/>
    <w:rsid w:val="00076030"/>
    <w:rsid w:val="00082590"/>
    <w:rsid w:val="000913C3"/>
    <w:rsid w:val="000953B9"/>
    <w:rsid w:val="000A413B"/>
    <w:rsid w:val="000A6279"/>
    <w:rsid w:val="000B496B"/>
    <w:rsid w:val="000B6F69"/>
    <w:rsid w:val="000C3940"/>
    <w:rsid w:val="000C5992"/>
    <w:rsid w:val="000E1479"/>
    <w:rsid w:val="000E21CC"/>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82999"/>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0D34"/>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B6347"/>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211F"/>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1CD5"/>
    <w:rsid w:val="00433339"/>
    <w:rsid w:val="00446BBC"/>
    <w:rsid w:val="004472C0"/>
    <w:rsid w:val="00450705"/>
    <w:rsid w:val="00451928"/>
    <w:rsid w:val="00464BB4"/>
    <w:rsid w:val="0046618B"/>
    <w:rsid w:val="004821D3"/>
    <w:rsid w:val="0048608C"/>
    <w:rsid w:val="00496E57"/>
    <w:rsid w:val="004A3F73"/>
    <w:rsid w:val="004B3E10"/>
    <w:rsid w:val="004C0F5D"/>
    <w:rsid w:val="004C375A"/>
    <w:rsid w:val="004C4954"/>
    <w:rsid w:val="004C5767"/>
    <w:rsid w:val="004D5322"/>
    <w:rsid w:val="004D78B0"/>
    <w:rsid w:val="004E2A95"/>
    <w:rsid w:val="004E611F"/>
    <w:rsid w:val="004F2A79"/>
    <w:rsid w:val="004F4D37"/>
    <w:rsid w:val="00501A14"/>
    <w:rsid w:val="00501DE3"/>
    <w:rsid w:val="005058CB"/>
    <w:rsid w:val="0051044D"/>
    <w:rsid w:val="0051077F"/>
    <w:rsid w:val="005139E4"/>
    <w:rsid w:val="00515075"/>
    <w:rsid w:val="00520FE9"/>
    <w:rsid w:val="0052267E"/>
    <w:rsid w:val="005233E7"/>
    <w:rsid w:val="005328B2"/>
    <w:rsid w:val="00535BD5"/>
    <w:rsid w:val="00537AC0"/>
    <w:rsid w:val="00540977"/>
    <w:rsid w:val="00551668"/>
    <w:rsid w:val="0055358F"/>
    <w:rsid w:val="005572D5"/>
    <w:rsid w:val="00566BE4"/>
    <w:rsid w:val="00570D21"/>
    <w:rsid w:val="00573856"/>
    <w:rsid w:val="00576113"/>
    <w:rsid w:val="00590652"/>
    <w:rsid w:val="00590E4C"/>
    <w:rsid w:val="0059235F"/>
    <w:rsid w:val="00596936"/>
    <w:rsid w:val="005A2F1E"/>
    <w:rsid w:val="005A4232"/>
    <w:rsid w:val="005B168B"/>
    <w:rsid w:val="005C3616"/>
    <w:rsid w:val="005C4147"/>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5667"/>
    <w:rsid w:val="00696E3A"/>
    <w:rsid w:val="006A0834"/>
    <w:rsid w:val="006A4BBD"/>
    <w:rsid w:val="006A52F1"/>
    <w:rsid w:val="006B561D"/>
    <w:rsid w:val="006B6D5D"/>
    <w:rsid w:val="006D1693"/>
    <w:rsid w:val="006D2330"/>
    <w:rsid w:val="006E0F8B"/>
    <w:rsid w:val="006E12F7"/>
    <w:rsid w:val="006E29D7"/>
    <w:rsid w:val="007068A4"/>
    <w:rsid w:val="00706D67"/>
    <w:rsid w:val="00713052"/>
    <w:rsid w:val="00721334"/>
    <w:rsid w:val="00721367"/>
    <w:rsid w:val="007231FA"/>
    <w:rsid w:val="00726F59"/>
    <w:rsid w:val="00732C67"/>
    <w:rsid w:val="00734418"/>
    <w:rsid w:val="00757826"/>
    <w:rsid w:val="007632B7"/>
    <w:rsid w:val="0076382F"/>
    <w:rsid w:val="00765768"/>
    <w:rsid w:val="00765D10"/>
    <w:rsid w:val="00766AC8"/>
    <w:rsid w:val="00767486"/>
    <w:rsid w:val="0077070E"/>
    <w:rsid w:val="0077296A"/>
    <w:rsid w:val="007759CE"/>
    <w:rsid w:val="00777CA4"/>
    <w:rsid w:val="00792DF0"/>
    <w:rsid w:val="0079438F"/>
    <w:rsid w:val="007A3034"/>
    <w:rsid w:val="007A527E"/>
    <w:rsid w:val="007A53E7"/>
    <w:rsid w:val="007A78F7"/>
    <w:rsid w:val="007B3333"/>
    <w:rsid w:val="007B379F"/>
    <w:rsid w:val="007B37D6"/>
    <w:rsid w:val="007B5D30"/>
    <w:rsid w:val="007D2920"/>
    <w:rsid w:val="007D2E3D"/>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C6AAB"/>
    <w:rsid w:val="008D0F2F"/>
    <w:rsid w:val="008D237F"/>
    <w:rsid w:val="008D6B05"/>
    <w:rsid w:val="008E7D2D"/>
    <w:rsid w:val="008F44C0"/>
    <w:rsid w:val="008F5999"/>
    <w:rsid w:val="009039C5"/>
    <w:rsid w:val="00903AD6"/>
    <w:rsid w:val="00904D7A"/>
    <w:rsid w:val="00906DFE"/>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970"/>
    <w:rsid w:val="009A0661"/>
    <w:rsid w:val="009A0FB1"/>
    <w:rsid w:val="009A1FAC"/>
    <w:rsid w:val="009B001A"/>
    <w:rsid w:val="009B1A62"/>
    <w:rsid w:val="009B362F"/>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2800"/>
    <w:rsid w:val="00AA70AB"/>
    <w:rsid w:val="00AB0B9F"/>
    <w:rsid w:val="00AB1713"/>
    <w:rsid w:val="00AB63BE"/>
    <w:rsid w:val="00AC1EBC"/>
    <w:rsid w:val="00AC2599"/>
    <w:rsid w:val="00AC2DE9"/>
    <w:rsid w:val="00AD0F62"/>
    <w:rsid w:val="00AD2C5F"/>
    <w:rsid w:val="00AE032B"/>
    <w:rsid w:val="00AE1481"/>
    <w:rsid w:val="00AE27F9"/>
    <w:rsid w:val="00AE3473"/>
    <w:rsid w:val="00AE77DB"/>
    <w:rsid w:val="00AF7453"/>
    <w:rsid w:val="00B00FFF"/>
    <w:rsid w:val="00B04A72"/>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A9D"/>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3CE0"/>
    <w:rsid w:val="00BF5EEF"/>
    <w:rsid w:val="00C02553"/>
    <w:rsid w:val="00C03299"/>
    <w:rsid w:val="00C04EB6"/>
    <w:rsid w:val="00C056F9"/>
    <w:rsid w:val="00C1018C"/>
    <w:rsid w:val="00C1150E"/>
    <w:rsid w:val="00C14D52"/>
    <w:rsid w:val="00C15374"/>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B5F57"/>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0FF6"/>
    <w:rsid w:val="00D61118"/>
    <w:rsid w:val="00D614F1"/>
    <w:rsid w:val="00D70D50"/>
    <w:rsid w:val="00D71917"/>
    <w:rsid w:val="00D74838"/>
    <w:rsid w:val="00DA3A0F"/>
    <w:rsid w:val="00DA4E62"/>
    <w:rsid w:val="00DA6990"/>
    <w:rsid w:val="00DB27BA"/>
    <w:rsid w:val="00DB337A"/>
    <w:rsid w:val="00DC51CB"/>
    <w:rsid w:val="00DC58EA"/>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20DD"/>
    <w:rsid w:val="00E34158"/>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70C"/>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0E20"/>
    <w:rsid w:val="00F903BE"/>
    <w:rsid w:val="00F95D04"/>
    <w:rsid w:val="00FA16EC"/>
    <w:rsid w:val="00FA2811"/>
    <w:rsid w:val="00FA2CFB"/>
    <w:rsid w:val="00FA4837"/>
    <w:rsid w:val="00FB1D33"/>
    <w:rsid w:val="00FB5E96"/>
    <w:rsid w:val="00FC008C"/>
    <w:rsid w:val="00FC05A0"/>
    <w:rsid w:val="00FC0AE2"/>
    <w:rsid w:val="00FC6758"/>
    <w:rsid w:val="00FD3014"/>
    <w:rsid w:val="00FD34EA"/>
    <w:rsid w:val="00FE3F3E"/>
    <w:rsid w:val="00FE4D52"/>
    <w:rsid w:val="00FE5AEE"/>
    <w:rsid w:val="00FF106B"/>
    <w:rsid w:val="03AE5A1B"/>
    <w:rsid w:val="088E5B9B"/>
    <w:rsid w:val="62A7C927"/>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D74838"/>
    <w:rPr>
      <w:sz w:val="16"/>
      <w:szCs w:val="16"/>
    </w:rPr>
  </w:style>
  <w:style w:type="paragraph" w:styleId="CommentSubject">
    <w:name w:val="annotation subject"/>
    <w:basedOn w:val="CommentText"/>
    <w:next w:val="CommentText"/>
    <w:link w:val="CommentSubjectChar"/>
    <w:uiPriority w:val="99"/>
    <w:semiHidden/>
    <w:unhideWhenUsed/>
    <w:rsid w:val="00D74838"/>
    <w:rPr>
      <w:b/>
      <w:bCs/>
    </w:rPr>
  </w:style>
  <w:style w:type="character" w:customStyle="1" w:styleId="CommentTextChar">
    <w:name w:val="Comment Text Char"/>
    <w:basedOn w:val="DefaultParagraphFont"/>
    <w:link w:val="CommentText"/>
    <w:semiHidden/>
    <w:rsid w:val="00D74838"/>
    <w:rPr>
      <w:rFonts w:ascii="Arial" w:hAnsi="Arial"/>
    </w:rPr>
  </w:style>
  <w:style w:type="character" w:customStyle="1" w:styleId="CommentSubjectChar">
    <w:name w:val="Comment Subject Char"/>
    <w:basedOn w:val="CommentTextChar"/>
    <w:link w:val="CommentSubject"/>
    <w:uiPriority w:val="99"/>
    <w:semiHidden/>
    <w:rsid w:val="00D7483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purl.org/dc/dcmitype/"/>
    <ds:schemaRef ds:uri="http://schemas.microsoft.com/office/2006/documentManagement/types"/>
    <ds:schemaRef ds:uri="f5eefb00-5952-4f7e-8cf8-96f81cfadd01"/>
    <ds:schemaRef ds:uri="http://purl.org/dc/elements/1.1/"/>
    <ds:schemaRef ds:uri="http://schemas.microsoft.com/office/2006/metadata/properties"/>
    <ds:schemaRef ds:uri="http://schemas.microsoft.com/sharepoint/v3"/>
    <ds:schemaRef ds:uri="http://schemas.microsoft.com/office/infopath/2007/PartnerControls"/>
    <ds:schemaRef ds:uri="aba01ddc-ae9a-4c9e-819c-7140b4239cde"/>
    <ds:schemaRef ds:uri="http://www.w3.org/XML/1998/namespace"/>
  </ds:schemaRefs>
</ds:datastoreItem>
</file>

<file path=customXml/itemProps3.xml><?xml version="1.0" encoding="utf-8"?>
<ds:datastoreItem xmlns:ds="http://schemas.openxmlformats.org/officeDocument/2006/customXml" ds:itemID="{1C6E6FB8-4A62-43E1-9701-772659068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1129</Words>
  <Characters>6617</Characters>
  <Application>Microsoft Office Word</Application>
  <DocSecurity>10</DocSecurity>
  <Lines>55</Lines>
  <Paragraphs>15</Paragraphs>
  <ScaleCrop>false</ScaleCrop>
  <HeadingPairs>
    <vt:vector size="2" baseType="variant">
      <vt:variant>
        <vt:lpstr>Title</vt:lpstr>
      </vt:variant>
      <vt:variant>
        <vt:i4>1</vt:i4>
      </vt:variant>
    </vt:vector>
  </HeadingPairs>
  <TitlesOfParts>
    <vt:vector size="1" baseType="lpstr">
      <vt:lpstr>LHRH-GnRH-Agents_Oral_July_2026_Proposal</vt:lpstr>
    </vt:vector>
  </TitlesOfParts>
  <Company>DSS</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LHRH-GnRH-Agents_Oral_July_2026_Proposal</dc:title>
  <dc:creator>DMS</dc:creator>
  <cp:lastModifiedBy>Heriford, Katherine</cp:lastModifiedBy>
  <cp:revision>48</cp:revision>
  <cp:lastPrinted>2018-10-31T20:17:00Z</cp:lastPrinted>
  <dcterms:created xsi:type="dcterms:W3CDTF">2025-09-19T16:48:00Z</dcterms:created>
  <dcterms:modified xsi:type="dcterms:W3CDTF">2026-07-06T21:53:00Z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