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5F6752DE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D75965" w:rsidRPr="00D75965">
        <w:rPr>
          <w:b w:val="0"/>
          <w:bCs/>
        </w:rPr>
        <w:t>Multiple Sclerosis Agents, Oral PDL Edit</w:t>
      </w:r>
    </w:p>
    <w:p w14:paraId="7AD7FFCE" w14:textId="60CE67E0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3D3F31" w:rsidRPr="003D3F31">
        <w:rPr>
          <w:b w:val="0"/>
          <w:bCs/>
        </w:rPr>
        <w:t>January 6, 2011</w:t>
      </w:r>
    </w:p>
    <w:p w14:paraId="4B7D760D" w14:textId="42DE2784" w:rsidR="004C5767" w:rsidRPr="00057F84" w:rsidRDefault="00F41F69" w:rsidP="70E341D6">
      <w:pPr>
        <w:pStyle w:val="tbody"/>
        <w:rPr>
          <w:b w:val="0"/>
        </w:rPr>
      </w:pPr>
      <w:r>
        <w:t>Pro</w:t>
      </w:r>
      <w:r w:rsidR="00FA2CFB">
        <w:t>posed</w:t>
      </w:r>
      <w:r w:rsidR="004C5767">
        <w:t xml:space="preserve"> Date:</w:t>
      </w:r>
      <w:r w:rsidR="00065C22">
        <w:t xml:space="preserve"> </w:t>
      </w:r>
      <w:r w:rsidR="00B04A72">
        <w:rPr>
          <w:b w:val="0"/>
          <w:bCs/>
        </w:rPr>
        <w:t>July</w:t>
      </w:r>
      <w:r w:rsidR="00BD4DC4" w:rsidRPr="00BD4DC4">
        <w:rPr>
          <w:b w:val="0"/>
          <w:bCs/>
        </w:rPr>
        <w:t xml:space="preserve">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51CB19FD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3E44BC">
        <w:t xml:space="preserve">Criteria Status: </w:t>
      </w:r>
      <w:r w:rsidR="00566BE4" w:rsidRPr="003E44BC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3ED6C6BD" w14:textId="77777777" w:rsidR="00A23172" w:rsidRDefault="00A23172" w:rsidP="00A23172">
      <w:pPr>
        <w:pStyle w:val="Header"/>
        <w:rPr>
          <w:rFonts w:cs="Arial"/>
          <w:spacing w:val="-3"/>
          <w:sz w:val="20"/>
        </w:rPr>
      </w:pPr>
      <w:r w:rsidRPr="00F74538">
        <w:rPr>
          <w:rFonts w:cs="Arial"/>
          <w:spacing w:val="-3"/>
          <w:sz w:val="20"/>
        </w:rPr>
        <w:t xml:space="preserve">Multiple </w:t>
      </w:r>
      <w:r>
        <w:rPr>
          <w:rFonts w:cs="Arial"/>
          <w:spacing w:val="-3"/>
          <w:sz w:val="20"/>
        </w:rPr>
        <w:t>s</w:t>
      </w:r>
      <w:r w:rsidRPr="00F74538">
        <w:rPr>
          <w:rFonts w:cs="Arial"/>
          <w:spacing w:val="-3"/>
          <w:sz w:val="20"/>
        </w:rPr>
        <w:t xml:space="preserve">clerosis (MS) is an inflammatory demyelinating disease of the central nervous system that is associated with many chronic symptoms. MS is an immune-mediated disorder of acute, repeated episodes of inflammation causing the destruction of the myelin sheath and axonal loss. </w:t>
      </w:r>
      <w:r>
        <w:rPr>
          <w:rFonts w:cs="Arial"/>
          <w:spacing w:val="-3"/>
          <w:sz w:val="20"/>
        </w:rPr>
        <w:t>T</w:t>
      </w:r>
      <w:r w:rsidRPr="00F74538">
        <w:rPr>
          <w:rFonts w:cs="Arial"/>
          <w:spacing w:val="-3"/>
          <w:sz w:val="20"/>
        </w:rPr>
        <w:t>his process leads to chronic multifocal sclerotic plaques and eventually, progressive neurological dysfunction.</w:t>
      </w:r>
      <w:r>
        <w:rPr>
          <w:rFonts w:cs="Arial"/>
          <w:spacing w:val="-3"/>
          <w:sz w:val="20"/>
        </w:rPr>
        <w:t xml:space="preserve">  </w:t>
      </w:r>
      <w:r w:rsidRPr="00F74538">
        <w:rPr>
          <w:rFonts w:cs="Arial"/>
          <w:spacing w:val="-3"/>
          <w:sz w:val="20"/>
        </w:rPr>
        <w:t xml:space="preserve">Multiple </w:t>
      </w:r>
      <w:r>
        <w:rPr>
          <w:rFonts w:cs="Arial"/>
          <w:spacing w:val="-3"/>
          <w:sz w:val="20"/>
        </w:rPr>
        <w:t>s</w:t>
      </w:r>
      <w:r w:rsidRPr="00F74538">
        <w:rPr>
          <w:rFonts w:cs="Arial"/>
          <w:spacing w:val="-3"/>
          <w:sz w:val="20"/>
        </w:rPr>
        <w:t>clerosis is the most common cause of neurological disability in young adults</w:t>
      </w:r>
      <w:r>
        <w:rPr>
          <w:rFonts w:cs="Arial"/>
          <w:spacing w:val="-3"/>
          <w:sz w:val="20"/>
        </w:rPr>
        <w:t xml:space="preserve"> and</w:t>
      </w:r>
      <w:r w:rsidRPr="00F74538">
        <w:rPr>
          <w:rFonts w:cs="Arial"/>
          <w:spacing w:val="-3"/>
          <w:sz w:val="20"/>
        </w:rPr>
        <w:t xml:space="preserve"> affects twice as many women as men, as is often observed in autoimmune diseases. </w:t>
      </w:r>
      <w:r>
        <w:rPr>
          <w:rFonts w:cs="Arial"/>
          <w:spacing w:val="-3"/>
          <w:sz w:val="20"/>
        </w:rPr>
        <w:t xml:space="preserve"> </w:t>
      </w:r>
      <w:r w:rsidRPr="00F74538">
        <w:rPr>
          <w:rFonts w:cs="Arial"/>
          <w:spacing w:val="-3"/>
          <w:sz w:val="20"/>
        </w:rPr>
        <w:t xml:space="preserve">Multiple </w:t>
      </w:r>
      <w:r>
        <w:rPr>
          <w:rFonts w:cs="Arial"/>
          <w:spacing w:val="-3"/>
          <w:sz w:val="20"/>
        </w:rPr>
        <w:t>sclerosis</w:t>
      </w:r>
      <w:r w:rsidRPr="00F74538">
        <w:rPr>
          <w:rFonts w:cs="Arial"/>
          <w:spacing w:val="-3"/>
          <w:sz w:val="20"/>
        </w:rPr>
        <w:t xml:space="preserve"> agents are used to reduce the frequency of relapses and slow disease progression.</w:t>
      </w:r>
      <w:r>
        <w:rPr>
          <w:rFonts w:cs="Arial"/>
          <w:spacing w:val="-3"/>
          <w:sz w:val="20"/>
        </w:rPr>
        <w:t xml:space="preserve"> </w:t>
      </w:r>
      <w:r w:rsidRPr="009F67C9">
        <w:rPr>
          <w:rFonts w:cs="Arial"/>
          <w:spacing w:val="-3"/>
          <w:sz w:val="20"/>
        </w:rPr>
        <w:t>Most agents are FDA approved for the treatment of relapsing forms of MS</w:t>
      </w:r>
      <w:r>
        <w:rPr>
          <w:rFonts w:cs="Arial"/>
          <w:spacing w:val="-3"/>
          <w:sz w:val="20"/>
        </w:rPr>
        <w:t xml:space="preserve">. </w:t>
      </w:r>
      <w:r w:rsidRPr="009F67C9">
        <w:rPr>
          <w:rFonts w:cs="Arial"/>
          <w:spacing w:val="-3"/>
          <w:sz w:val="20"/>
        </w:rPr>
        <w:t xml:space="preserve">The </w:t>
      </w:r>
      <w:r w:rsidRPr="00FF3227">
        <w:rPr>
          <w:rFonts w:cs="Arial"/>
          <w:sz w:val="20"/>
        </w:rPr>
        <w:t>American Academy of Neurology</w:t>
      </w:r>
      <w:r w:rsidRPr="009F67C9">
        <w:rPr>
          <w:rFonts w:cs="Arial"/>
          <w:spacing w:val="-3"/>
          <w:sz w:val="20"/>
        </w:rPr>
        <w:t xml:space="preserve"> does not recommend a specific first-line agent for MS and state</w:t>
      </w:r>
      <w:r>
        <w:rPr>
          <w:rFonts w:cs="Arial"/>
          <w:spacing w:val="-3"/>
          <w:sz w:val="20"/>
        </w:rPr>
        <w:t>s</w:t>
      </w:r>
      <w:r w:rsidRPr="009F67C9">
        <w:rPr>
          <w:rFonts w:cs="Arial"/>
          <w:spacing w:val="-3"/>
          <w:sz w:val="20"/>
        </w:rPr>
        <w:t xml:space="preserve"> </w:t>
      </w:r>
      <w:r>
        <w:rPr>
          <w:rFonts w:cs="Arial"/>
          <w:spacing w:val="-3"/>
          <w:sz w:val="20"/>
        </w:rPr>
        <w:t>participant</w:t>
      </w:r>
      <w:r w:rsidRPr="009F67C9">
        <w:rPr>
          <w:rFonts w:cs="Arial"/>
          <w:spacing w:val="-3"/>
          <w:sz w:val="20"/>
        </w:rPr>
        <w:t xml:space="preserve"> factors regarding safety, route of administration, </w:t>
      </w:r>
      <w:r>
        <w:rPr>
          <w:rFonts w:cs="Arial"/>
          <w:spacing w:val="-3"/>
          <w:sz w:val="20"/>
        </w:rPr>
        <w:t xml:space="preserve">lifestyle, </w:t>
      </w:r>
      <w:r w:rsidRPr="009F67C9">
        <w:rPr>
          <w:rFonts w:cs="Arial"/>
          <w:spacing w:val="-3"/>
          <w:sz w:val="20"/>
        </w:rPr>
        <w:t>cost, efficacy</w:t>
      </w:r>
      <w:r>
        <w:rPr>
          <w:rFonts w:cs="Arial"/>
          <w:spacing w:val="-3"/>
          <w:sz w:val="20"/>
        </w:rPr>
        <w:t>, common adverse events, and tolerability</w:t>
      </w:r>
      <w:r w:rsidRPr="009F67C9">
        <w:rPr>
          <w:rFonts w:cs="Arial"/>
          <w:spacing w:val="-3"/>
          <w:sz w:val="20"/>
        </w:rPr>
        <w:t xml:space="preserve"> should be considered when deciding which agent to initiate.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1E2120B1" w14:textId="77777777" w:rsidR="00D94394" w:rsidRPr="00B2780E" w:rsidRDefault="00D94394" w:rsidP="00D94394">
      <w:pPr>
        <w:pStyle w:val="ListParagraph"/>
      </w:pPr>
      <w:r w:rsidRPr="00B2780E">
        <w:t>Dimethyl Fumarate</w:t>
      </w:r>
    </w:p>
    <w:p w14:paraId="1B21829C" w14:textId="1922CE4B" w:rsidR="00846FA4" w:rsidRDefault="00D94394" w:rsidP="00D94394">
      <w:pPr>
        <w:pStyle w:val="ListParagraph"/>
      </w:pPr>
      <w:r w:rsidRPr="00B2780E">
        <w:t>Fingolimod</w:t>
      </w:r>
      <w:r w:rsidRPr="00846FA4">
        <w:rPr>
          <w:vertAlign w:val="superscript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4A0AB2AC" w14:textId="77777777" w:rsidR="00FA019D" w:rsidRPr="00422B99" w:rsidRDefault="00FA019D" w:rsidP="00FA019D">
      <w:pPr>
        <w:pStyle w:val="ListParagraph"/>
      </w:pPr>
      <w:r w:rsidRPr="00422B99">
        <w:t>Aubagio</w:t>
      </w:r>
      <w:r w:rsidRPr="00422B99">
        <w:rPr>
          <w:vertAlign w:val="superscript"/>
        </w:rPr>
        <w:t>®</w:t>
      </w:r>
    </w:p>
    <w:p w14:paraId="17754AC7" w14:textId="77777777" w:rsidR="00FA019D" w:rsidRPr="00422B99" w:rsidRDefault="00FA019D" w:rsidP="00FA019D">
      <w:pPr>
        <w:pStyle w:val="ListParagraph"/>
      </w:pPr>
      <w:r w:rsidRPr="00422B99">
        <w:t>Bafiertam</w:t>
      </w:r>
      <w:r w:rsidRPr="00422B99">
        <w:rPr>
          <w:vertAlign w:val="superscript"/>
        </w:rPr>
        <w:t>®</w:t>
      </w:r>
    </w:p>
    <w:p w14:paraId="5BA567B6" w14:textId="1A0D0CFA" w:rsidR="009A5A4B" w:rsidRPr="009A5A4B" w:rsidRDefault="009A5A4B" w:rsidP="00FA019D">
      <w:pPr>
        <w:pStyle w:val="ListParagraph"/>
        <w:rPr>
          <w:b/>
          <w:bCs/>
          <w:color w:val="1F497D" w:themeColor="text2"/>
        </w:rPr>
      </w:pPr>
      <w:r w:rsidRPr="009A5A4B">
        <w:rPr>
          <w:b/>
          <w:bCs/>
          <w:color w:val="1F497D" w:themeColor="text2"/>
        </w:rPr>
        <w:t>Cladribine</w:t>
      </w:r>
    </w:p>
    <w:p w14:paraId="09C2630D" w14:textId="2F1F379E" w:rsidR="00FA019D" w:rsidRPr="00422B99" w:rsidRDefault="00FA019D" w:rsidP="00FA019D">
      <w:pPr>
        <w:pStyle w:val="ListParagraph"/>
      </w:pPr>
      <w:r w:rsidRPr="00422B99">
        <w:t>Gilenya</w:t>
      </w:r>
      <w:r w:rsidRPr="00422B99">
        <w:rPr>
          <w:vertAlign w:val="superscript"/>
        </w:rPr>
        <w:t xml:space="preserve">® </w:t>
      </w:r>
      <w:r w:rsidRPr="00422B99">
        <w:t>0.25 mg*</w:t>
      </w:r>
    </w:p>
    <w:p w14:paraId="015EAA64" w14:textId="77777777" w:rsidR="00FA019D" w:rsidRPr="00422B99" w:rsidRDefault="00FA019D" w:rsidP="00FA019D">
      <w:pPr>
        <w:pStyle w:val="ListParagraph"/>
      </w:pPr>
      <w:r w:rsidRPr="00422B99">
        <w:t>Gilenya</w:t>
      </w:r>
      <w:r w:rsidRPr="00422B99">
        <w:rPr>
          <w:vertAlign w:val="superscript"/>
        </w:rPr>
        <w:t>®</w:t>
      </w:r>
      <w:r w:rsidRPr="00422B99">
        <w:t xml:space="preserve"> 0.5 mg</w:t>
      </w:r>
    </w:p>
    <w:p w14:paraId="27BB6871" w14:textId="77777777" w:rsidR="00FA019D" w:rsidRPr="00422B99" w:rsidRDefault="00FA019D" w:rsidP="00FA019D">
      <w:pPr>
        <w:pStyle w:val="ListParagraph"/>
      </w:pPr>
      <w:r w:rsidRPr="00422B99">
        <w:t>Mavenclad</w:t>
      </w:r>
      <w:r w:rsidRPr="00422B99">
        <w:rPr>
          <w:vertAlign w:val="superscript"/>
        </w:rPr>
        <w:t>®</w:t>
      </w:r>
    </w:p>
    <w:p w14:paraId="5BA26DAC" w14:textId="77777777" w:rsidR="00FA019D" w:rsidRPr="00422B99" w:rsidRDefault="00FA019D" w:rsidP="00FA019D">
      <w:pPr>
        <w:pStyle w:val="ListParagraph"/>
      </w:pPr>
      <w:r w:rsidRPr="00422B99">
        <w:t>Mayzent</w:t>
      </w:r>
      <w:r w:rsidRPr="00422B99">
        <w:rPr>
          <w:vertAlign w:val="superscript"/>
        </w:rPr>
        <w:t>®</w:t>
      </w:r>
    </w:p>
    <w:p w14:paraId="015654CA" w14:textId="77777777" w:rsidR="00FA019D" w:rsidRPr="00422B99" w:rsidRDefault="00FA019D" w:rsidP="00FA019D">
      <w:pPr>
        <w:pStyle w:val="ListParagraph"/>
      </w:pPr>
      <w:r w:rsidRPr="00422B99">
        <w:t>Ponvory</w:t>
      </w:r>
      <w:r w:rsidRPr="00422B99">
        <w:rPr>
          <w:vertAlign w:val="superscript"/>
        </w:rPr>
        <w:t>®</w:t>
      </w:r>
    </w:p>
    <w:p w14:paraId="67FF7763" w14:textId="77777777" w:rsidR="00FA019D" w:rsidRPr="00422B99" w:rsidRDefault="00FA019D" w:rsidP="00FA019D">
      <w:pPr>
        <w:pStyle w:val="ListParagraph"/>
      </w:pPr>
      <w:r w:rsidRPr="00422B99">
        <w:t>Tascenso ODT</w:t>
      </w:r>
      <w:r w:rsidRPr="00422B99">
        <w:rPr>
          <w:vertAlign w:val="superscript"/>
        </w:rPr>
        <w:t>™</w:t>
      </w:r>
    </w:p>
    <w:p w14:paraId="4E93FF09" w14:textId="77777777" w:rsidR="00FA019D" w:rsidRPr="00422B99" w:rsidRDefault="00FA019D" w:rsidP="00FA019D">
      <w:pPr>
        <w:pStyle w:val="ListParagraph"/>
      </w:pPr>
      <w:r w:rsidRPr="00422B99">
        <w:t>Tecfidera</w:t>
      </w:r>
      <w:r w:rsidRPr="00422B99">
        <w:rPr>
          <w:vertAlign w:val="superscript"/>
        </w:rPr>
        <w:t>®</w:t>
      </w:r>
    </w:p>
    <w:p w14:paraId="1EABDB0E" w14:textId="77777777" w:rsidR="00FA019D" w:rsidRPr="00422B99" w:rsidRDefault="00FA019D" w:rsidP="00FA019D">
      <w:pPr>
        <w:pStyle w:val="ListParagraph"/>
      </w:pPr>
      <w:r w:rsidRPr="00422B99">
        <w:t>Teriflunomide (gen Aubagio</w:t>
      </w:r>
      <w:r w:rsidRPr="00422B99">
        <w:rPr>
          <w:vertAlign w:val="superscript"/>
        </w:rPr>
        <w:t>®</w:t>
      </w:r>
      <w:r w:rsidRPr="00422B99">
        <w:t>)</w:t>
      </w:r>
    </w:p>
    <w:p w14:paraId="41FF794F" w14:textId="77777777" w:rsidR="00FA019D" w:rsidRPr="00422B99" w:rsidRDefault="00FA019D" w:rsidP="00FA019D">
      <w:pPr>
        <w:pStyle w:val="ListParagraph"/>
      </w:pPr>
      <w:r w:rsidRPr="00422B99">
        <w:t>Vumerity</w:t>
      </w:r>
      <w:r w:rsidRPr="00422B99">
        <w:rPr>
          <w:vertAlign w:val="superscript"/>
        </w:rPr>
        <w:t>®</w:t>
      </w:r>
    </w:p>
    <w:p w14:paraId="079F807A" w14:textId="5B1324F6" w:rsidR="00846FA4" w:rsidRPr="00FA019D" w:rsidRDefault="00FA019D" w:rsidP="00FA019D">
      <w:pPr>
        <w:pStyle w:val="ListParagraph"/>
      </w:pPr>
      <w:r w:rsidRPr="00422B99">
        <w:t>Zeposia</w:t>
      </w:r>
      <w:r w:rsidRPr="00422B99">
        <w:rPr>
          <w:vertAlign w:val="superscript"/>
        </w:rPr>
        <w:t>®</w:t>
      </w:r>
    </w:p>
    <w:p w14:paraId="60C095B2" w14:textId="3FA9427C" w:rsidR="00FA019D" w:rsidRPr="007B5D59" w:rsidRDefault="00FA019D" w:rsidP="00FA019D">
      <w:pPr>
        <w:rPr>
          <w:rFonts w:cs="Arial"/>
          <w:i/>
          <w:iCs/>
          <w:sz w:val="16"/>
          <w:szCs w:val="16"/>
        </w:rPr>
      </w:pPr>
      <w:r w:rsidRPr="007B5D59">
        <w:rPr>
          <w:rFonts w:cs="Arial"/>
          <w:i/>
          <w:iCs/>
          <w:sz w:val="16"/>
          <w:szCs w:val="16"/>
        </w:rPr>
        <w:t>*</w:t>
      </w:r>
      <w:r w:rsidR="007B5D59" w:rsidRPr="007B5D59">
        <w:rPr>
          <w:rFonts w:cs="Arial"/>
          <w:i/>
          <w:iCs/>
          <w:sz w:val="16"/>
          <w:szCs w:val="16"/>
        </w:rPr>
        <w:t xml:space="preserve"> </w:t>
      </w:r>
      <w:r w:rsidR="007B5D59" w:rsidRPr="00422B99">
        <w:rPr>
          <w:rFonts w:cs="Arial"/>
          <w:i/>
          <w:iCs/>
          <w:sz w:val="16"/>
          <w:szCs w:val="16"/>
        </w:rPr>
        <w:t>Available to participants &lt; 18 years of age without any pre-requisite therapy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 xml:space="preserve">Setting &amp; Population </w:t>
      </w:r>
    </w:p>
    <w:p w14:paraId="04B7FBFB" w14:textId="2FF70784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EE715E" w:rsidRPr="00EE715E">
        <w:t>Multiple Sclerosis Agents, Oral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21B0FAD6" w14:textId="77777777" w:rsidR="00F634A6" w:rsidRDefault="00F634A6" w:rsidP="00F634A6">
      <w:pPr>
        <w:pStyle w:val="ListParagraph"/>
        <w:numPr>
          <w:ilvl w:val="0"/>
          <w:numId w:val="18"/>
        </w:numPr>
        <w:ind w:left="360"/>
        <w:rPr>
          <w:rFonts w:cs="Arial"/>
        </w:rPr>
      </w:pPr>
      <w:r>
        <w:rPr>
          <w:rFonts w:cs="Arial"/>
        </w:rPr>
        <w:t>Must meet one of the following:</w:t>
      </w:r>
    </w:p>
    <w:p w14:paraId="1D939DBD" w14:textId="77777777" w:rsidR="00F634A6" w:rsidRDefault="00F634A6" w:rsidP="00F634A6">
      <w:pPr>
        <w:pStyle w:val="ListParagraph"/>
        <w:numPr>
          <w:ilvl w:val="1"/>
          <w:numId w:val="18"/>
        </w:numPr>
        <w:ind w:left="720"/>
        <w:rPr>
          <w:rFonts w:cs="Arial"/>
        </w:rPr>
      </w:pPr>
      <w:r>
        <w:rPr>
          <w:rFonts w:cs="Arial"/>
        </w:rPr>
        <w:t xml:space="preserve">Claim is for a preferred </w:t>
      </w:r>
      <w:proofErr w:type="gramStart"/>
      <w:r>
        <w:rPr>
          <w:rFonts w:cs="Arial"/>
        </w:rPr>
        <w:t>agent;</w:t>
      </w:r>
      <w:proofErr w:type="gramEnd"/>
      <w:r>
        <w:rPr>
          <w:rFonts w:cs="Arial"/>
        </w:rPr>
        <w:t xml:space="preserve"> </w:t>
      </w:r>
    </w:p>
    <w:p w14:paraId="431725C4" w14:textId="77777777" w:rsidR="00F634A6" w:rsidRDefault="00F634A6" w:rsidP="00F634A6">
      <w:pPr>
        <w:pStyle w:val="ListParagraph"/>
        <w:numPr>
          <w:ilvl w:val="1"/>
          <w:numId w:val="18"/>
        </w:numPr>
        <w:ind w:left="720"/>
        <w:rPr>
          <w:rFonts w:cs="Arial"/>
        </w:rPr>
      </w:pPr>
      <w:r>
        <w:rPr>
          <w:rFonts w:cs="Arial"/>
        </w:rPr>
        <w:t xml:space="preserve">Documented compliance on current therapy regimen; </w:t>
      </w:r>
      <w:r w:rsidRPr="00E507D2">
        <w:rPr>
          <w:rFonts w:cs="Arial"/>
          <w:b/>
          <w:bCs/>
        </w:rPr>
        <w:t>OR</w:t>
      </w:r>
    </w:p>
    <w:p w14:paraId="6A109C54" w14:textId="77777777" w:rsidR="00F634A6" w:rsidRDefault="00F634A6" w:rsidP="00F634A6">
      <w:pPr>
        <w:pStyle w:val="ListParagraph"/>
        <w:numPr>
          <w:ilvl w:val="1"/>
          <w:numId w:val="18"/>
        </w:numPr>
        <w:ind w:left="720"/>
        <w:rPr>
          <w:rFonts w:cs="Arial"/>
        </w:rPr>
      </w:pPr>
      <w:r>
        <w:rPr>
          <w:rFonts w:cs="Arial"/>
        </w:rPr>
        <w:t>Claim for non-preferred agent – must meet one of the following:</w:t>
      </w:r>
    </w:p>
    <w:p w14:paraId="1A4A3156" w14:textId="77777777" w:rsidR="00F634A6" w:rsidRDefault="00F634A6" w:rsidP="00F634A6">
      <w:pPr>
        <w:pStyle w:val="ListParagraph"/>
        <w:numPr>
          <w:ilvl w:val="2"/>
          <w:numId w:val="18"/>
        </w:numPr>
        <w:ind w:left="1080"/>
        <w:rPr>
          <w:rFonts w:cs="Arial"/>
        </w:rPr>
      </w:pPr>
      <w:r>
        <w:rPr>
          <w:rFonts w:cs="Arial"/>
        </w:rPr>
        <w:t>For documented diagnosis of multiple sclerosis (MS):</w:t>
      </w:r>
    </w:p>
    <w:p w14:paraId="2B537C85" w14:textId="77777777" w:rsidR="00F634A6" w:rsidRDefault="00F634A6" w:rsidP="00F634A6">
      <w:pPr>
        <w:pStyle w:val="ListParagraph"/>
        <w:numPr>
          <w:ilvl w:val="3"/>
          <w:numId w:val="18"/>
        </w:numPr>
        <w:ind w:left="1440"/>
        <w:rPr>
          <w:rFonts w:cs="Arial"/>
        </w:rPr>
      </w:pPr>
      <w:r>
        <w:rPr>
          <w:rFonts w:cs="Arial"/>
        </w:rPr>
        <w:t>Must meet one of the following:</w:t>
      </w:r>
    </w:p>
    <w:p w14:paraId="3CDCD0B6" w14:textId="77777777" w:rsidR="00F634A6" w:rsidRDefault="00F634A6" w:rsidP="00F634A6">
      <w:pPr>
        <w:pStyle w:val="ListParagraph"/>
        <w:numPr>
          <w:ilvl w:val="4"/>
          <w:numId w:val="18"/>
        </w:numPr>
        <w:ind w:left="1800"/>
        <w:rPr>
          <w:rFonts w:cs="Arial"/>
        </w:rPr>
      </w:pPr>
      <w:r>
        <w:rPr>
          <w:rFonts w:cs="Arial"/>
        </w:rPr>
        <w:t xml:space="preserve">Claim is for Gilenya 0.25 mg and participant is &lt; 18 years of </w:t>
      </w:r>
      <w:proofErr w:type="gramStart"/>
      <w:r>
        <w:rPr>
          <w:rFonts w:cs="Arial"/>
        </w:rPr>
        <w:t>age;</w:t>
      </w:r>
      <w:proofErr w:type="gramEnd"/>
      <w:r>
        <w:rPr>
          <w:rFonts w:cs="Arial"/>
        </w:rPr>
        <w:t xml:space="preserve"> </w:t>
      </w:r>
      <w:r w:rsidRPr="002A3F89">
        <w:rPr>
          <w:rFonts w:cs="Arial"/>
          <w:b/>
          <w:bCs/>
        </w:rPr>
        <w:t>OR</w:t>
      </w:r>
    </w:p>
    <w:p w14:paraId="7E3F9A26" w14:textId="77777777" w:rsidR="00F634A6" w:rsidRDefault="00F634A6" w:rsidP="00F634A6">
      <w:pPr>
        <w:numPr>
          <w:ilvl w:val="4"/>
          <w:numId w:val="18"/>
        </w:numPr>
        <w:ind w:left="1800"/>
        <w:rPr>
          <w:rFonts w:cs="Arial"/>
          <w:szCs w:val="20"/>
        </w:rPr>
      </w:pPr>
      <w:r w:rsidRPr="00CB4688">
        <w:rPr>
          <w:rFonts w:cs="Arial"/>
          <w:szCs w:val="20"/>
        </w:rPr>
        <w:t xml:space="preserve">Failure to achieve desired therapeutic outcomes with </w:t>
      </w:r>
      <w:proofErr w:type="gramStart"/>
      <w:r>
        <w:rPr>
          <w:rFonts w:cs="Arial"/>
          <w:szCs w:val="20"/>
        </w:rPr>
        <w:t>6 month</w:t>
      </w:r>
      <w:proofErr w:type="gramEnd"/>
      <w:r>
        <w:rPr>
          <w:rFonts w:cs="Arial"/>
          <w:szCs w:val="20"/>
        </w:rPr>
        <w:t xml:space="preserve"> </w:t>
      </w:r>
      <w:r w:rsidRPr="00CB4688">
        <w:rPr>
          <w:rFonts w:cs="Arial"/>
          <w:szCs w:val="20"/>
        </w:rPr>
        <w:t>trial</w:t>
      </w:r>
      <w:r>
        <w:rPr>
          <w:rFonts w:cs="Arial"/>
          <w:szCs w:val="20"/>
        </w:rPr>
        <w:t xml:space="preserve"> each</w:t>
      </w:r>
      <w:r w:rsidRPr="00CB4688">
        <w:rPr>
          <w:rFonts w:cs="Arial"/>
          <w:szCs w:val="20"/>
        </w:rPr>
        <w:t xml:space="preserve"> on </w:t>
      </w:r>
      <w:r>
        <w:rPr>
          <w:rFonts w:cs="Arial"/>
          <w:szCs w:val="20"/>
        </w:rPr>
        <w:t>2</w:t>
      </w:r>
      <w:r w:rsidRPr="00CB4688">
        <w:rPr>
          <w:rFonts w:cs="Arial"/>
          <w:szCs w:val="20"/>
        </w:rPr>
        <w:t xml:space="preserve"> or more preferred agents</w:t>
      </w:r>
      <w:r>
        <w:rPr>
          <w:rFonts w:cs="Arial"/>
          <w:szCs w:val="20"/>
        </w:rPr>
        <w:t xml:space="preserve"> demonstrated by one or more of the following:</w:t>
      </w:r>
    </w:p>
    <w:p w14:paraId="6909A14F" w14:textId="77777777" w:rsidR="00F634A6" w:rsidRPr="002B38B4" w:rsidRDefault="00F634A6" w:rsidP="00F634A6">
      <w:pPr>
        <w:numPr>
          <w:ilvl w:val="5"/>
          <w:numId w:val="18"/>
        </w:numPr>
        <w:ind w:left="2160"/>
        <w:rPr>
          <w:rFonts w:cs="Arial"/>
        </w:rPr>
      </w:pPr>
      <w:r>
        <w:rPr>
          <w:rFonts w:cs="Arial"/>
        </w:rPr>
        <w:t>One</w:t>
      </w:r>
      <w:r w:rsidRPr="002B38B4">
        <w:rPr>
          <w:rFonts w:cs="Arial"/>
        </w:rPr>
        <w:t xml:space="preserve"> or more </w:t>
      </w:r>
      <w:proofErr w:type="gramStart"/>
      <w:r w:rsidRPr="002B38B4">
        <w:rPr>
          <w:rFonts w:cs="Arial"/>
        </w:rPr>
        <w:t>relapses</w:t>
      </w:r>
      <w:r>
        <w:rPr>
          <w:rFonts w:cs="Arial"/>
        </w:rPr>
        <w:t>;</w:t>
      </w:r>
      <w:proofErr w:type="gramEnd"/>
    </w:p>
    <w:p w14:paraId="317E3721" w14:textId="77777777" w:rsidR="00F634A6" w:rsidRPr="002B38B4" w:rsidRDefault="00F634A6" w:rsidP="00F634A6">
      <w:pPr>
        <w:numPr>
          <w:ilvl w:val="5"/>
          <w:numId w:val="18"/>
        </w:numPr>
        <w:ind w:left="2160"/>
        <w:rPr>
          <w:rFonts w:cs="Arial"/>
        </w:rPr>
      </w:pPr>
      <w:r>
        <w:rPr>
          <w:rFonts w:cs="Arial"/>
        </w:rPr>
        <w:t>One</w:t>
      </w:r>
      <w:r w:rsidRPr="002B38B4">
        <w:rPr>
          <w:rFonts w:cs="Arial"/>
        </w:rPr>
        <w:t xml:space="preserve"> or more new MRI </w:t>
      </w:r>
      <w:proofErr w:type="gramStart"/>
      <w:r w:rsidRPr="002B38B4">
        <w:rPr>
          <w:rFonts w:cs="Arial"/>
        </w:rPr>
        <w:t>lesions</w:t>
      </w:r>
      <w:r>
        <w:rPr>
          <w:rFonts w:cs="Arial"/>
        </w:rPr>
        <w:t>;</w:t>
      </w:r>
      <w:proofErr w:type="gramEnd"/>
    </w:p>
    <w:p w14:paraId="5215C840" w14:textId="77777777" w:rsidR="00F634A6" w:rsidRPr="00C9779F" w:rsidRDefault="00F634A6" w:rsidP="00F634A6">
      <w:pPr>
        <w:numPr>
          <w:ilvl w:val="5"/>
          <w:numId w:val="18"/>
        </w:numPr>
        <w:ind w:left="2160"/>
        <w:rPr>
          <w:rFonts w:cs="Arial"/>
        </w:rPr>
      </w:pPr>
      <w:r w:rsidRPr="002B38B4">
        <w:rPr>
          <w:rFonts w:cs="Arial"/>
        </w:rPr>
        <w:t>Participant demonstrates increased disability on a clinical rating scale such as the Expanded Disability Status Scale (EDSS) or the Functional Systems Score (FSS</w:t>
      </w:r>
      <w:proofErr w:type="gramStart"/>
      <w:r w:rsidRPr="002B38B4">
        <w:rPr>
          <w:rFonts w:cs="Arial"/>
        </w:rPr>
        <w:t>)</w:t>
      </w:r>
      <w:r>
        <w:rPr>
          <w:rFonts w:cs="Arial"/>
          <w:szCs w:val="20"/>
        </w:rPr>
        <w:t>;</w:t>
      </w:r>
      <w:proofErr w:type="gramEnd"/>
      <w:r>
        <w:rPr>
          <w:rFonts w:cs="Arial"/>
          <w:szCs w:val="20"/>
        </w:rPr>
        <w:t xml:space="preserve"> </w:t>
      </w:r>
      <w:r w:rsidRPr="00C9779F">
        <w:rPr>
          <w:rFonts w:cs="Arial"/>
          <w:b/>
          <w:bCs/>
          <w:szCs w:val="20"/>
        </w:rPr>
        <w:t>OR</w:t>
      </w:r>
    </w:p>
    <w:p w14:paraId="28B0223B" w14:textId="77777777" w:rsidR="00F634A6" w:rsidRPr="00924126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</w:rPr>
      </w:pPr>
      <w:r w:rsidRPr="002B38B4">
        <w:rPr>
          <w:rFonts w:cs="Arial"/>
          <w:szCs w:val="20"/>
        </w:rPr>
        <w:t>Documented ADE/ADR to preferred agents</w:t>
      </w:r>
      <w:r>
        <w:rPr>
          <w:rFonts w:cs="Arial"/>
          <w:szCs w:val="20"/>
        </w:rPr>
        <w:t>.</w:t>
      </w:r>
    </w:p>
    <w:p w14:paraId="081E0941" w14:textId="77777777" w:rsidR="00F634A6" w:rsidRDefault="00F634A6" w:rsidP="00F634A6">
      <w:pPr>
        <w:pStyle w:val="ListParagraph"/>
        <w:numPr>
          <w:ilvl w:val="3"/>
          <w:numId w:val="18"/>
        </w:numPr>
        <w:ind w:left="1440"/>
        <w:rPr>
          <w:rFonts w:cs="Arial"/>
        </w:rPr>
      </w:pPr>
      <w:r>
        <w:rPr>
          <w:rFonts w:cs="Arial"/>
        </w:rPr>
        <w:t>Additional approval criteria for Vumerity:</w:t>
      </w:r>
    </w:p>
    <w:p w14:paraId="0355B199" w14:textId="77777777" w:rsidR="00F634A6" w:rsidRDefault="00F634A6" w:rsidP="00F634A6">
      <w:pPr>
        <w:pStyle w:val="ListParagraph"/>
        <w:numPr>
          <w:ilvl w:val="4"/>
          <w:numId w:val="18"/>
        </w:numPr>
        <w:ind w:left="1800"/>
        <w:rPr>
          <w:rFonts w:cs="Arial"/>
        </w:rPr>
      </w:pPr>
      <w:r>
        <w:rPr>
          <w:rFonts w:cs="Arial"/>
        </w:rPr>
        <w:t xml:space="preserve">Documented reason </w:t>
      </w:r>
      <w:proofErr w:type="gramStart"/>
      <w:r>
        <w:rPr>
          <w:rFonts w:cs="Arial"/>
        </w:rPr>
        <w:t>of</w:t>
      </w:r>
      <w:proofErr w:type="gramEnd"/>
      <w:r>
        <w:rPr>
          <w:rFonts w:cs="Arial"/>
        </w:rPr>
        <w:t xml:space="preserve"> medical necessity why dimethyl fumarate (generic Tecfidera) cannot be utilized.</w:t>
      </w:r>
    </w:p>
    <w:p w14:paraId="098AE9CA" w14:textId="77777777" w:rsidR="00F634A6" w:rsidRDefault="00F634A6" w:rsidP="00F634A6">
      <w:pPr>
        <w:pStyle w:val="ListParagraph"/>
        <w:numPr>
          <w:ilvl w:val="0"/>
          <w:numId w:val="18"/>
        </w:numPr>
        <w:ind w:left="1440"/>
        <w:rPr>
          <w:rFonts w:cs="Arial"/>
        </w:rPr>
      </w:pPr>
      <w:r>
        <w:rPr>
          <w:rFonts w:cs="Arial"/>
        </w:rPr>
        <w:t xml:space="preserve">Additional approval criteria for Mavenclad: </w:t>
      </w:r>
    </w:p>
    <w:p w14:paraId="3137AE7E" w14:textId="77777777" w:rsidR="00F634A6" w:rsidRDefault="00F634A6" w:rsidP="00F634A6">
      <w:pPr>
        <w:pStyle w:val="ListParagraph"/>
        <w:numPr>
          <w:ilvl w:val="1"/>
          <w:numId w:val="18"/>
        </w:numPr>
        <w:rPr>
          <w:rFonts w:cs="Arial"/>
        </w:rPr>
      </w:pPr>
      <w:r>
        <w:rPr>
          <w:rFonts w:cs="Arial"/>
        </w:rPr>
        <w:t xml:space="preserve">Must meet </w:t>
      </w:r>
      <w:proofErr w:type="gramStart"/>
      <w:r>
        <w:rPr>
          <w:rFonts w:cs="Arial"/>
        </w:rPr>
        <w:t>all of</w:t>
      </w:r>
      <w:proofErr w:type="gramEnd"/>
      <w:r>
        <w:rPr>
          <w:rFonts w:cs="Arial"/>
        </w:rPr>
        <w:t xml:space="preserve"> the following:</w:t>
      </w:r>
    </w:p>
    <w:p w14:paraId="402DF5E2" w14:textId="77777777" w:rsidR="00F634A6" w:rsidRPr="006115D0" w:rsidRDefault="00F634A6" w:rsidP="00F634A6">
      <w:pPr>
        <w:pStyle w:val="ListParagraph"/>
        <w:numPr>
          <w:ilvl w:val="2"/>
          <w:numId w:val="18"/>
        </w:numPr>
        <w:ind w:left="2160"/>
        <w:rPr>
          <w:rFonts w:cs="Arial"/>
        </w:rPr>
      </w:pPr>
      <w:r>
        <w:rPr>
          <w:rFonts w:cs="Arial"/>
        </w:rPr>
        <w:t xml:space="preserve">Participant aged 18 years or </w:t>
      </w:r>
      <w:proofErr w:type="gramStart"/>
      <w:r>
        <w:rPr>
          <w:rFonts w:cs="Arial"/>
        </w:rPr>
        <w:t>older;</w:t>
      </w:r>
      <w:proofErr w:type="gramEnd"/>
    </w:p>
    <w:p w14:paraId="3E3EBE56" w14:textId="77777777" w:rsidR="00F634A6" w:rsidRPr="00033DBB" w:rsidRDefault="00F634A6" w:rsidP="00F634A6">
      <w:pPr>
        <w:pStyle w:val="ListParagraph"/>
        <w:numPr>
          <w:ilvl w:val="2"/>
          <w:numId w:val="18"/>
        </w:numPr>
        <w:ind w:left="2160"/>
        <w:rPr>
          <w:rFonts w:cs="Arial"/>
        </w:rPr>
      </w:pPr>
      <w:r w:rsidRPr="00D25E68">
        <w:rPr>
          <w:rFonts w:cs="Arial"/>
        </w:rPr>
        <w:t>Prescribed by or in consultation with a neurologist or other appropriate specialist for the treated disease state</w:t>
      </w:r>
      <w:r>
        <w:rPr>
          <w:rFonts w:cs="Arial"/>
        </w:rPr>
        <w:t xml:space="preserve">; </w:t>
      </w:r>
      <w:r w:rsidRPr="00033DBB">
        <w:rPr>
          <w:rFonts w:cs="Arial"/>
          <w:b/>
          <w:bCs/>
        </w:rPr>
        <w:t>AND</w:t>
      </w:r>
    </w:p>
    <w:p w14:paraId="0818BDEA" w14:textId="77777777" w:rsidR="00F634A6" w:rsidRDefault="00F634A6" w:rsidP="00F634A6">
      <w:pPr>
        <w:pStyle w:val="ListParagraph"/>
        <w:numPr>
          <w:ilvl w:val="2"/>
          <w:numId w:val="18"/>
        </w:numPr>
        <w:ind w:left="2160"/>
        <w:rPr>
          <w:rFonts w:cs="Arial"/>
        </w:rPr>
      </w:pPr>
      <w:r>
        <w:rPr>
          <w:rFonts w:cs="Arial"/>
        </w:rPr>
        <w:t xml:space="preserve">Documentation of </w:t>
      </w:r>
      <w:proofErr w:type="gramStart"/>
      <w:r>
        <w:rPr>
          <w:rFonts w:cs="Arial"/>
        </w:rPr>
        <w:t>all of</w:t>
      </w:r>
      <w:proofErr w:type="gramEnd"/>
      <w:r>
        <w:rPr>
          <w:rFonts w:cs="Arial"/>
        </w:rPr>
        <w:t xml:space="preserve"> the following prior to therapy:</w:t>
      </w:r>
    </w:p>
    <w:p w14:paraId="383A773A" w14:textId="77777777" w:rsidR="00F634A6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>
        <w:rPr>
          <w:rFonts w:cs="Arial"/>
        </w:rPr>
        <w:t xml:space="preserve">Cancer </w:t>
      </w:r>
      <w:proofErr w:type="gramStart"/>
      <w:r>
        <w:rPr>
          <w:rFonts w:cs="Arial"/>
        </w:rPr>
        <w:t>screening;</w:t>
      </w:r>
      <w:proofErr w:type="gramEnd"/>
    </w:p>
    <w:p w14:paraId="35FCAEE8" w14:textId="77777777" w:rsidR="00F634A6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AA36A1">
        <w:rPr>
          <w:rFonts w:cs="Arial"/>
        </w:rPr>
        <w:t>CBC with lymphocytes</w:t>
      </w:r>
      <w:r>
        <w:rPr>
          <w:rFonts w:cs="Arial"/>
        </w:rPr>
        <w:t xml:space="preserve"> (l</w:t>
      </w:r>
      <w:r w:rsidRPr="00AA36A1">
        <w:rPr>
          <w:rFonts w:cs="Arial"/>
        </w:rPr>
        <w:t>ymphocytes must be normal prior to first treatment course and at least 800 cells per microliter before the second treatment course</w:t>
      </w:r>
      <w:proofErr w:type="gramStart"/>
      <w:r>
        <w:rPr>
          <w:rFonts w:cs="Arial"/>
        </w:rPr>
        <w:t>);</w:t>
      </w:r>
      <w:proofErr w:type="gramEnd"/>
    </w:p>
    <w:p w14:paraId="39CED505" w14:textId="77777777" w:rsidR="00F634A6" w:rsidRPr="00AA36A1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AA36A1">
        <w:rPr>
          <w:rFonts w:cs="Arial"/>
        </w:rPr>
        <w:t xml:space="preserve">Tuberculosis </w:t>
      </w:r>
      <w:proofErr w:type="gramStart"/>
      <w:r w:rsidRPr="00AA36A1">
        <w:rPr>
          <w:rFonts w:cs="Arial"/>
        </w:rPr>
        <w:t>screening</w:t>
      </w:r>
      <w:r>
        <w:rPr>
          <w:rFonts w:cs="Arial"/>
        </w:rPr>
        <w:t>;</w:t>
      </w:r>
      <w:proofErr w:type="gramEnd"/>
    </w:p>
    <w:p w14:paraId="4ECEF962" w14:textId="77777777" w:rsidR="00F634A6" w:rsidRDefault="00F634A6" w:rsidP="00F634A6">
      <w:pPr>
        <w:numPr>
          <w:ilvl w:val="3"/>
          <w:numId w:val="18"/>
        </w:numPr>
        <w:tabs>
          <w:tab w:val="num" w:pos="2880"/>
        </w:tabs>
        <w:ind w:left="2520"/>
        <w:rPr>
          <w:rFonts w:cs="Arial"/>
        </w:rPr>
      </w:pPr>
      <w:r w:rsidRPr="00AA36A1">
        <w:rPr>
          <w:rFonts w:cs="Arial"/>
        </w:rPr>
        <w:t xml:space="preserve">Hepatitis B and C </w:t>
      </w:r>
      <w:proofErr w:type="gramStart"/>
      <w:r w:rsidRPr="00AA36A1">
        <w:rPr>
          <w:rFonts w:cs="Arial"/>
        </w:rPr>
        <w:t>screening</w:t>
      </w:r>
      <w:r>
        <w:rPr>
          <w:rFonts w:cs="Arial"/>
        </w:rPr>
        <w:t>;</w:t>
      </w:r>
      <w:proofErr w:type="gramEnd"/>
    </w:p>
    <w:p w14:paraId="7541F2E6" w14:textId="77777777" w:rsidR="00F634A6" w:rsidRPr="00AA36A1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AA36A1">
        <w:rPr>
          <w:rFonts w:cs="Arial"/>
        </w:rPr>
        <w:t xml:space="preserve">Lack of acute </w:t>
      </w:r>
      <w:proofErr w:type="gramStart"/>
      <w:r w:rsidRPr="00AA36A1">
        <w:rPr>
          <w:rFonts w:cs="Arial"/>
        </w:rPr>
        <w:t>infections</w:t>
      </w:r>
      <w:r>
        <w:rPr>
          <w:rFonts w:cs="Arial"/>
        </w:rPr>
        <w:t>;</w:t>
      </w:r>
      <w:proofErr w:type="gramEnd"/>
    </w:p>
    <w:p w14:paraId="7E105AA3" w14:textId="77777777" w:rsidR="00F634A6" w:rsidRPr="00AA36A1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AA36A1">
        <w:rPr>
          <w:rFonts w:cs="Arial"/>
        </w:rPr>
        <w:t xml:space="preserve">Vaccination with varicella zoster </w:t>
      </w:r>
      <w:proofErr w:type="gramStart"/>
      <w:r w:rsidRPr="00AA36A1">
        <w:rPr>
          <w:rFonts w:cs="Arial"/>
        </w:rPr>
        <w:t>vaccine</w:t>
      </w:r>
      <w:r>
        <w:rPr>
          <w:rFonts w:cs="Arial"/>
        </w:rPr>
        <w:t>;</w:t>
      </w:r>
      <w:proofErr w:type="gramEnd"/>
    </w:p>
    <w:p w14:paraId="54720D6F" w14:textId="77777777" w:rsidR="00F634A6" w:rsidRPr="00AA36A1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AA36A1">
        <w:rPr>
          <w:rFonts w:cs="Arial"/>
        </w:rPr>
        <w:t>LFTs (within last 6 months)</w:t>
      </w:r>
      <w:r>
        <w:rPr>
          <w:rFonts w:cs="Arial"/>
        </w:rPr>
        <w:t xml:space="preserve">; </w:t>
      </w:r>
      <w:r w:rsidRPr="00FD1D22">
        <w:rPr>
          <w:rFonts w:cs="Arial"/>
          <w:b/>
          <w:bCs/>
        </w:rPr>
        <w:t>AND</w:t>
      </w:r>
    </w:p>
    <w:p w14:paraId="367A3CA8" w14:textId="77777777" w:rsidR="00F634A6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AA36A1">
        <w:rPr>
          <w:rFonts w:cs="Arial"/>
        </w:rPr>
        <w:t>Baseline MRI</w:t>
      </w:r>
      <w:r>
        <w:rPr>
          <w:rFonts w:cs="Arial"/>
        </w:rPr>
        <w:t>.</w:t>
      </w:r>
    </w:p>
    <w:p w14:paraId="0A75D100" w14:textId="77777777" w:rsidR="00F634A6" w:rsidRDefault="00F634A6" w:rsidP="00F634A6">
      <w:pPr>
        <w:numPr>
          <w:ilvl w:val="0"/>
          <w:numId w:val="18"/>
        </w:numPr>
        <w:ind w:left="1440"/>
        <w:rPr>
          <w:rFonts w:cs="Arial"/>
        </w:rPr>
      </w:pPr>
      <w:r>
        <w:rPr>
          <w:rFonts w:cs="Arial"/>
        </w:rPr>
        <w:t>Additional approval criteria for Mayzent, Ponvory, and Zeposia:</w:t>
      </w:r>
    </w:p>
    <w:p w14:paraId="64DFA9EA" w14:textId="77777777" w:rsidR="00F634A6" w:rsidRDefault="00F634A6" w:rsidP="00F634A6">
      <w:pPr>
        <w:numPr>
          <w:ilvl w:val="1"/>
          <w:numId w:val="18"/>
        </w:numPr>
        <w:rPr>
          <w:rFonts w:cs="Arial"/>
        </w:rPr>
      </w:pPr>
      <w:r>
        <w:rPr>
          <w:rFonts w:cs="Arial"/>
        </w:rPr>
        <w:t xml:space="preserve">Must meet </w:t>
      </w:r>
      <w:proofErr w:type="gramStart"/>
      <w:r>
        <w:rPr>
          <w:rFonts w:cs="Arial"/>
        </w:rPr>
        <w:t>all of</w:t>
      </w:r>
      <w:proofErr w:type="gramEnd"/>
      <w:r>
        <w:rPr>
          <w:rFonts w:cs="Arial"/>
        </w:rPr>
        <w:t xml:space="preserve"> the following:</w:t>
      </w:r>
    </w:p>
    <w:p w14:paraId="738669B2" w14:textId="77777777" w:rsidR="00F634A6" w:rsidRPr="006115D0" w:rsidRDefault="00F634A6" w:rsidP="00F634A6">
      <w:pPr>
        <w:pStyle w:val="ListParagraph"/>
        <w:numPr>
          <w:ilvl w:val="2"/>
          <w:numId w:val="18"/>
        </w:numPr>
        <w:ind w:left="2160"/>
        <w:rPr>
          <w:rFonts w:cs="Arial"/>
        </w:rPr>
      </w:pPr>
      <w:r>
        <w:rPr>
          <w:rFonts w:cs="Arial"/>
        </w:rPr>
        <w:t xml:space="preserve">Participant aged 18 years or </w:t>
      </w:r>
      <w:proofErr w:type="gramStart"/>
      <w:r>
        <w:rPr>
          <w:rFonts w:cs="Arial"/>
        </w:rPr>
        <w:t>older;</w:t>
      </w:r>
      <w:proofErr w:type="gramEnd"/>
    </w:p>
    <w:p w14:paraId="0691BCE4" w14:textId="77777777" w:rsidR="00F634A6" w:rsidRPr="00105F5A" w:rsidRDefault="00F634A6" w:rsidP="00F634A6">
      <w:pPr>
        <w:pStyle w:val="ListParagraph"/>
        <w:numPr>
          <w:ilvl w:val="2"/>
          <w:numId w:val="18"/>
        </w:numPr>
        <w:ind w:left="2160"/>
        <w:rPr>
          <w:rFonts w:cs="Arial"/>
        </w:rPr>
      </w:pPr>
      <w:r w:rsidRPr="00D25E68">
        <w:rPr>
          <w:rFonts w:cs="Arial"/>
        </w:rPr>
        <w:t>Prescribed by or in consultation with a neurologist or other appropriate specialist for the treated disease state</w:t>
      </w:r>
      <w:r>
        <w:rPr>
          <w:rFonts w:cs="Arial"/>
        </w:rPr>
        <w:t xml:space="preserve">; </w:t>
      </w:r>
      <w:r w:rsidRPr="00033DBB">
        <w:rPr>
          <w:rFonts w:cs="Arial"/>
          <w:b/>
          <w:bCs/>
        </w:rPr>
        <w:t>AND</w:t>
      </w:r>
    </w:p>
    <w:p w14:paraId="2008279C" w14:textId="77777777" w:rsidR="00F634A6" w:rsidRDefault="00F634A6" w:rsidP="00F634A6">
      <w:pPr>
        <w:pStyle w:val="ListParagraph"/>
        <w:numPr>
          <w:ilvl w:val="2"/>
          <w:numId w:val="18"/>
        </w:numPr>
        <w:ind w:left="2160"/>
        <w:rPr>
          <w:rFonts w:cs="Arial"/>
        </w:rPr>
      </w:pPr>
      <w:r>
        <w:rPr>
          <w:rFonts w:cs="Arial"/>
        </w:rPr>
        <w:t xml:space="preserve">Documentation of </w:t>
      </w:r>
      <w:proofErr w:type="gramStart"/>
      <w:r>
        <w:rPr>
          <w:rFonts w:cs="Arial"/>
        </w:rPr>
        <w:t>all of</w:t>
      </w:r>
      <w:proofErr w:type="gramEnd"/>
      <w:r>
        <w:rPr>
          <w:rFonts w:cs="Arial"/>
        </w:rPr>
        <w:t xml:space="preserve"> the following prior to therapy:</w:t>
      </w:r>
    </w:p>
    <w:p w14:paraId="73E448A9" w14:textId="77777777" w:rsidR="00F634A6" w:rsidRPr="00531B4D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531B4D">
        <w:rPr>
          <w:rFonts w:cs="Arial"/>
        </w:rPr>
        <w:t>CYP2C9 Genotype determination</w:t>
      </w:r>
      <w:r>
        <w:rPr>
          <w:rFonts w:cs="Arial"/>
        </w:rPr>
        <w:t xml:space="preserve"> (Mayzent only</w:t>
      </w:r>
      <w:proofErr w:type="gramStart"/>
      <w:r>
        <w:rPr>
          <w:rFonts w:cs="Arial"/>
        </w:rPr>
        <w:t>);</w:t>
      </w:r>
      <w:proofErr w:type="gramEnd"/>
      <w:r>
        <w:rPr>
          <w:rFonts w:cs="Arial"/>
        </w:rPr>
        <w:t xml:space="preserve"> </w:t>
      </w:r>
    </w:p>
    <w:p w14:paraId="17C4760E" w14:textId="77777777" w:rsidR="00F634A6" w:rsidRPr="00531B4D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531B4D">
        <w:rPr>
          <w:rFonts w:cs="Arial"/>
        </w:rPr>
        <w:t>CBC with lymphocytes (within 6 months or after discontinuation of prior therapy</w:t>
      </w:r>
      <w:proofErr w:type="gramStart"/>
      <w:r w:rsidRPr="00531B4D">
        <w:rPr>
          <w:rFonts w:cs="Arial"/>
        </w:rPr>
        <w:t>)</w:t>
      </w:r>
      <w:r>
        <w:rPr>
          <w:rFonts w:cs="Arial"/>
        </w:rPr>
        <w:t>;</w:t>
      </w:r>
      <w:proofErr w:type="gramEnd"/>
      <w:r w:rsidRPr="00531B4D">
        <w:rPr>
          <w:rFonts w:cs="Arial"/>
        </w:rPr>
        <w:t xml:space="preserve">  </w:t>
      </w:r>
    </w:p>
    <w:p w14:paraId="66F1B7E6" w14:textId="77777777" w:rsidR="00F634A6" w:rsidRPr="00531B4D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531B4D">
        <w:rPr>
          <w:rFonts w:cs="Arial"/>
        </w:rPr>
        <w:t xml:space="preserve">Ophthalmic </w:t>
      </w:r>
      <w:proofErr w:type="gramStart"/>
      <w:r w:rsidRPr="00531B4D">
        <w:rPr>
          <w:rFonts w:cs="Arial"/>
        </w:rPr>
        <w:t>evaluation</w:t>
      </w:r>
      <w:r>
        <w:rPr>
          <w:rFonts w:cs="Arial"/>
        </w:rPr>
        <w:t>;</w:t>
      </w:r>
      <w:proofErr w:type="gramEnd"/>
    </w:p>
    <w:p w14:paraId="6228D0F6" w14:textId="77777777" w:rsidR="00F634A6" w:rsidRPr="00531B4D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proofErr w:type="gramStart"/>
      <w:r w:rsidRPr="00531B4D">
        <w:rPr>
          <w:rFonts w:cs="Arial"/>
        </w:rPr>
        <w:t>Electrocardiogram</w:t>
      </w:r>
      <w:r>
        <w:rPr>
          <w:rFonts w:cs="Arial"/>
        </w:rPr>
        <w:t>;</w:t>
      </w:r>
      <w:proofErr w:type="gramEnd"/>
    </w:p>
    <w:p w14:paraId="52E56879" w14:textId="77777777" w:rsidR="00F634A6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531B4D">
        <w:rPr>
          <w:rFonts w:cs="Arial"/>
        </w:rPr>
        <w:t>LFTs (within last 6 months</w:t>
      </w:r>
      <w:proofErr w:type="gramStart"/>
      <w:r w:rsidRPr="00531B4D">
        <w:rPr>
          <w:rFonts w:cs="Arial"/>
        </w:rPr>
        <w:t>)</w:t>
      </w:r>
      <w:r>
        <w:rPr>
          <w:rFonts w:cs="Arial"/>
        </w:rPr>
        <w:t>;</w:t>
      </w:r>
      <w:proofErr w:type="gramEnd"/>
    </w:p>
    <w:p w14:paraId="45E5D481" w14:textId="77777777" w:rsidR="00F634A6" w:rsidRPr="002B38B4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 w:rsidRPr="002B38B4">
        <w:rPr>
          <w:rFonts w:cs="Arial"/>
        </w:rPr>
        <w:t xml:space="preserve">Lack of acute </w:t>
      </w:r>
      <w:proofErr w:type="gramStart"/>
      <w:r w:rsidRPr="002B38B4">
        <w:rPr>
          <w:rFonts w:cs="Arial"/>
        </w:rPr>
        <w:t>infections</w:t>
      </w:r>
      <w:r>
        <w:rPr>
          <w:rFonts w:cs="Arial"/>
        </w:rPr>
        <w:t>;</w:t>
      </w:r>
      <w:proofErr w:type="gramEnd"/>
    </w:p>
    <w:p w14:paraId="1D163DF2" w14:textId="77777777" w:rsidR="00F634A6" w:rsidRPr="00531B4D" w:rsidRDefault="00F634A6" w:rsidP="00F634A6">
      <w:pPr>
        <w:numPr>
          <w:ilvl w:val="3"/>
          <w:numId w:val="18"/>
        </w:numPr>
        <w:ind w:left="2520"/>
        <w:rPr>
          <w:rFonts w:cs="Arial"/>
        </w:rPr>
      </w:pPr>
      <w:r>
        <w:rPr>
          <w:rFonts w:cs="Arial"/>
        </w:rPr>
        <w:lastRenderedPageBreak/>
        <w:t>V</w:t>
      </w:r>
      <w:r w:rsidRPr="00531B4D">
        <w:rPr>
          <w:rFonts w:cs="Arial"/>
        </w:rPr>
        <w:t>accination with varicella zoster vaccine in those who are antibody negative</w:t>
      </w:r>
      <w:r>
        <w:rPr>
          <w:rFonts w:cs="Arial"/>
        </w:rPr>
        <w:t xml:space="preserve">; </w:t>
      </w:r>
      <w:r w:rsidRPr="000005A9">
        <w:rPr>
          <w:rFonts w:cs="Arial"/>
          <w:b/>
          <w:bCs/>
        </w:rPr>
        <w:t>AND</w:t>
      </w:r>
    </w:p>
    <w:p w14:paraId="795321A9" w14:textId="77777777" w:rsidR="00F634A6" w:rsidRPr="00EB43E9" w:rsidRDefault="00F634A6" w:rsidP="00F634A6">
      <w:pPr>
        <w:numPr>
          <w:ilvl w:val="3"/>
          <w:numId w:val="18"/>
        </w:numPr>
        <w:ind w:left="2520"/>
        <w:rPr>
          <w:rFonts w:cs="Arial"/>
          <w:szCs w:val="20"/>
        </w:rPr>
      </w:pPr>
      <w:r w:rsidRPr="00EB43E9">
        <w:rPr>
          <w:rFonts w:cs="Arial"/>
          <w:szCs w:val="20"/>
        </w:rPr>
        <w:t>Skin examination for cutaneous malignancies.</w:t>
      </w:r>
    </w:p>
    <w:p w14:paraId="053F4BCE" w14:textId="77777777" w:rsidR="00F634A6" w:rsidRPr="00840518" w:rsidRDefault="00F634A6" w:rsidP="00F634A6">
      <w:pPr>
        <w:pStyle w:val="ListParagraph"/>
        <w:numPr>
          <w:ilvl w:val="2"/>
          <w:numId w:val="18"/>
        </w:numPr>
        <w:ind w:left="108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Pr="00840518">
        <w:rPr>
          <w:rFonts w:cs="Arial"/>
          <w:szCs w:val="20"/>
        </w:rPr>
        <w:t>or a documented diagnosis of ulcerative colitis</w:t>
      </w:r>
      <w:r>
        <w:rPr>
          <w:rFonts w:cs="Arial"/>
          <w:szCs w:val="20"/>
        </w:rPr>
        <w:t>:</w:t>
      </w:r>
    </w:p>
    <w:p w14:paraId="684BD79B" w14:textId="77777777" w:rsidR="00F634A6" w:rsidRPr="00840518" w:rsidRDefault="00F634A6" w:rsidP="00F634A6">
      <w:pPr>
        <w:pStyle w:val="ListParagraph"/>
        <w:numPr>
          <w:ilvl w:val="3"/>
          <w:numId w:val="18"/>
        </w:numPr>
        <w:ind w:left="1440"/>
        <w:rPr>
          <w:rFonts w:cs="Arial"/>
          <w:szCs w:val="20"/>
        </w:rPr>
      </w:pPr>
      <w:r w:rsidRPr="00840518">
        <w:rPr>
          <w:rFonts w:cs="Arial"/>
          <w:szCs w:val="20"/>
        </w:rPr>
        <w:t xml:space="preserve">Must meet </w:t>
      </w:r>
      <w:proofErr w:type="gramStart"/>
      <w:r w:rsidRPr="00840518">
        <w:rPr>
          <w:rFonts w:cs="Arial"/>
          <w:szCs w:val="20"/>
        </w:rPr>
        <w:t>all of</w:t>
      </w:r>
      <w:proofErr w:type="gramEnd"/>
      <w:r w:rsidRPr="00840518">
        <w:rPr>
          <w:rFonts w:cs="Arial"/>
          <w:szCs w:val="20"/>
        </w:rPr>
        <w:t xml:space="preserve"> the following:</w:t>
      </w:r>
    </w:p>
    <w:p w14:paraId="409B30DF" w14:textId="77777777" w:rsidR="00F634A6" w:rsidRPr="00E8057A" w:rsidRDefault="00F634A6" w:rsidP="00F634A6">
      <w:pPr>
        <w:pStyle w:val="ListParagraph"/>
        <w:numPr>
          <w:ilvl w:val="4"/>
          <w:numId w:val="18"/>
        </w:numPr>
        <w:ind w:left="1800"/>
        <w:rPr>
          <w:rFonts w:cs="Arial"/>
          <w:szCs w:val="20"/>
        </w:rPr>
      </w:pPr>
      <w:r w:rsidRPr="00E8057A">
        <w:rPr>
          <w:rFonts w:cs="Arial"/>
          <w:szCs w:val="20"/>
        </w:rPr>
        <w:t xml:space="preserve">Claim is for </w:t>
      </w:r>
      <w:proofErr w:type="gramStart"/>
      <w:r w:rsidRPr="00E8057A">
        <w:rPr>
          <w:rFonts w:cs="Arial"/>
          <w:szCs w:val="20"/>
        </w:rPr>
        <w:t>Zeposia;</w:t>
      </w:r>
      <w:proofErr w:type="gramEnd"/>
    </w:p>
    <w:p w14:paraId="1CAEB381" w14:textId="3435EE17" w:rsidR="00F634A6" w:rsidRPr="00FF31AB" w:rsidRDefault="00F634A6" w:rsidP="0065370C">
      <w:pPr>
        <w:pStyle w:val="ListParagraph"/>
        <w:numPr>
          <w:ilvl w:val="4"/>
          <w:numId w:val="18"/>
        </w:numPr>
        <w:ind w:left="1800"/>
        <w:rPr>
          <w:rFonts w:cs="Arial"/>
          <w:szCs w:val="20"/>
        </w:rPr>
      </w:pPr>
      <w:r w:rsidRPr="00FF31AB">
        <w:rPr>
          <w:rFonts w:cs="Arial"/>
          <w:szCs w:val="20"/>
        </w:rPr>
        <w:t xml:space="preserve">Adequate therapeutic trial of 1 preferred 5-Aminosalicylic Acid (5-ASA) agent listed in Inflammatory Bowel Disease Agents, Oral PDL Edit </w:t>
      </w:r>
      <w:r w:rsidR="00431F89" w:rsidRPr="00FF31AB">
        <w:rPr>
          <w:rFonts w:cs="Arial"/>
          <w:bCs/>
          <w:szCs w:val="20"/>
        </w:rPr>
        <w:t xml:space="preserve">located here </w:t>
      </w:r>
      <w:hyperlink r:id="rId11" w:tooltip="link to reference Edit" w:history="1">
        <w:r w:rsidR="00061990" w:rsidRPr="00061990">
          <w:rPr>
            <w:rStyle w:val="Hyperlink"/>
          </w:rPr>
          <w:t>Pharmacy Clinical Edits and Preferred Drug Lists | mydss.mo.gov</w:t>
        </w:r>
      </w:hyperlink>
      <w:r w:rsidR="00FF31AB">
        <w:t>;</w:t>
      </w:r>
    </w:p>
    <w:p w14:paraId="75292331" w14:textId="3684F123" w:rsidR="00F634A6" w:rsidRPr="00FF31AB" w:rsidRDefault="00F634A6" w:rsidP="00C95008">
      <w:pPr>
        <w:pStyle w:val="ListParagraph"/>
        <w:numPr>
          <w:ilvl w:val="4"/>
          <w:numId w:val="18"/>
        </w:numPr>
        <w:ind w:left="1800"/>
        <w:rPr>
          <w:rFonts w:cs="Arial"/>
          <w:szCs w:val="20"/>
        </w:rPr>
      </w:pPr>
      <w:r w:rsidRPr="00FF31AB">
        <w:rPr>
          <w:rFonts w:cs="Arial"/>
          <w:szCs w:val="20"/>
        </w:rPr>
        <w:t>Adequate therapeutic 6 month trial of ustekinumab</w:t>
      </w:r>
      <w:r w:rsidR="00375220" w:rsidRPr="00FF31AB">
        <w:rPr>
          <w:rFonts w:cs="Arial"/>
          <w:szCs w:val="20"/>
        </w:rPr>
        <w:t>,</w:t>
      </w:r>
      <w:r w:rsidRPr="00FF31AB">
        <w:rPr>
          <w:rFonts w:cs="Arial"/>
          <w:szCs w:val="20"/>
        </w:rPr>
        <w:t xml:space="preserve"> reference Targeted Immune Modulators, IL-23 Inhibitors and IL-23/IL-12 Inhibitors PDL Edit </w:t>
      </w:r>
      <w:r w:rsidR="00A77BA9" w:rsidRPr="00FF31AB">
        <w:rPr>
          <w:rFonts w:cs="Arial"/>
          <w:bCs/>
          <w:szCs w:val="20"/>
        </w:rPr>
        <w:t xml:space="preserve">located here </w:t>
      </w:r>
      <w:hyperlink r:id="rId12" w:tooltip="link to reference edit" w:history="1">
        <w:r w:rsidR="00A77BA9" w:rsidRPr="00061990">
          <w:rPr>
            <w:rStyle w:val="Hyperlink"/>
          </w:rPr>
          <w:t>Pharmacy Clinical Edits and Preferred Drug Lists | mydss.mo.gov</w:t>
        </w:r>
      </w:hyperlink>
      <w:r w:rsidRPr="00FF31AB">
        <w:rPr>
          <w:rFonts w:cs="Arial"/>
          <w:szCs w:val="20"/>
        </w:rPr>
        <w:t xml:space="preserve">; </w:t>
      </w:r>
      <w:r w:rsidRPr="00FF31AB">
        <w:rPr>
          <w:rFonts w:cs="Arial"/>
          <w:b/>
          <w:bCs/>
          <w:szCs w:val="20"/>
        </w:rPr>
        <w:t>AND</w:t>
      </w:r>
    </w:p>
    <w:p w14:paraId="46380C02" w14:textId="77777777" w:rsidR="00F634A6" w:rsidRPr="00840518" w:rsidRDefault="00F634A6" w:rsidP="00F634A6">
      <w:pPr>
        <w:pStyle w:val="ListParagraph"/>
        <w:numPr>
          <w:ilvl w:val="4"/>
          <w:numId w:val="18"/>
        </w:numPr>
        <w:ind w:left="1800"/>
        <w:rPr>
          <w:rFonts w:cs="Arial"/>
          <w:szCs w:val="20"/>
        </w:rPr>
      </w:pPr>
      <w:r w:rsidRPr="00840518">
        <w:rPr>
          <w:rFonts w:cs="Arial"/>
          <w:szCs w:val="20"/>
        </w:rPr>
        <w:t xml:space="preserve">Documentation of </w:t>
      </w:r>
      <w:proofErr w:type="gramStart"/>
      <w:r w:rsidRPr="00840518">
        <w:rPr>
          <w:rFonts w:cs="Arial"/>
          <w:szCs w:val="20"/>
        </w:rPr>
        <w:t>all of</w:t>
      </w:r>
      <w:proofErr w:type="gramEnd"/>
      <w:r w:rsidRPr="00840518">
        <w:rPr>
          <w:rFonts w:cs="Arial"/>
          <w:szCs w:val="20"/>
        </w:rPr>
        <w:t xml:space="preserve"> the following prior to therapy:</w:t>
      </w:r>
    </w:p>
    <w:p w14:paraId="6F317048" w14:textId="77777777" w:rsidR="00F634A6" w:rsidRPr="00840518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  <w:szCs w:val="20"/>
        </w:rPr>
      </w:pPr>
      <w:r w:rsidRPr="00840518">
        <w:rPr>
          <w:rFonts w:cs="Arial"/>
          <w:szCs w:val="20"/>
        </w:rPr>
        <w:t>CBC with lymphocytes (within 6 months or after discontinuation of prior therapy</w:t>
      </w:r>
      <w:proofErr w:type="gramStart"/>
      <w:r w:rsidRPr="00840518">
        <w:rPr>
          <w:rFonts w:cs="Arial"/>
          <w:szCs w:val="20"/>
        </w:rPr>
        <w:t>);</w:t>
      </w:r>
      <w:proofErr w:type="gramEnd"/>
      <w:r w:rsidRPr="00840518">
        <w:rPr>
          <w:rFonts w:cs="Arial"/>
          <w:szCs w:val="20"/>
        </w:rPr>
        <w:t xml:space="preserve">  </w:t>
      </w:r>
    </w:p>
    <w:p w14:paraId="56AD65E7" w14:textId="77777777" w:rsidR="00F634A6" w:rsidRPr="00840518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  <w:szCs w:val="20"/>
        </w:rPr>
      </w:pPr>
      <w:r w:rsidRPr="00840518">
        <w:rPr>
          <w:rFonts w:cs="Arial"/>
          <w:szCs w:val="20"/>
        </w:rPr>
        <w:t xml:space="preserve">Ophthalmic </w:t>
      </w:r>
      <w:proofErr w:type="gramStart"/>
      <w:r w:rsidRPr="00840518">
        <w:rPr>
          <w:rFonts w:cs="Arial"/>
          <w:szCs w:val="20"/>
        </w:rPr>
        <w:t>evaluation;</w:t>
      </w:r>
      <w:proofErr w:type="gramEnd"/>
    </w:p>
    <w:p w14:paraId="552B308C" w14:textId="77777777" w:rsidR="00F634A6" w:rsidRPr="00840518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  <w:szCs w:val="20"/>
        </w:rPr>
      </w:pPr>
      <w:proofErr w:type="gramStart"/>
      <w:r w:rsidRPr="00840518">
        <w:rPr>
          <w:rFonts w:cs="Arial"/>
          <w:szCs w:val="20"/>
        </w:rPr>
        <w:t>Electrocardiogram;</w:t>
      </w:r>
      <w:proofErr w:type="gramEnd"/>
    </w:p>
    <w:p w14:paraId="74F25EB2" w14:textId="77777777" w:rsidR="00F634A6" w:rsidRPr="00840518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  <w:szCs w:val="20"/>
        </w:rPr>
      </w:pPr>
      <w:r w:rsidRPr="00840518">
        <w:rPr>
          <w:rFonts w:cs="Arial"/>
          <w:szCs w:val="20"/>
        </w:rPr>
        <w:t>LFTs (within last 6 months</w:t>
      </w:r>
      <w:proofErr w:type="gramStart"/>
      <w:r w:rsidRPr="00840518">
        <w:rPr>
          <w:rFonts w:cs="Arial"/>
          <w:szCs w:val="20"/>
        </w:rPr>
        <w:t>);</w:t>
      </w:r>
      <w:proofErr w:type="gramEnd"/>
    </w:p>
    <w:p w14:paraId="1127CBD4" w14:textId="77777777" w:rsidR="00F634A6" w:rsidRPr="00840518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  <w:szCs w:val="20"/>
        </w:rPr>
      </w:pPr>
      <w:r w:rsidRPr="00840518">
        <w:rPr>
          <w:rFonts w:cs="Arial"/>
          <w:szCs w:val="20"/>
        </w:rPr>
        <w:t xml:space="preserve">Lack of acute </w:t>
      </w:r>
      <w:proofErr w:type="gramStart"/>
      <w:r w:rsidRPr="00840518">
        <w:rPr>
          <w:rFonts w:cs="Arial"/>
          <w:szCs w:val="20"/>
        </w:rPr>
        <w:t>infections;</w:t>
      </w:r>
      <w:proofErr w:type="gramEnd"/>
    </w:p>
    <w:p w14:paraId="3EC32C8D" w14:textId="77777777" w:rsidR="00F634A6" w:rsidRPr="00840518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  <w:szCs w:val="20"/>
        </w:rPr>
      </w:pPr>
      <w:r w:rsidRPr="00840518">
        <w:rPr>
          <w:rFonts w:cs="Arial"/>
          <w:szCs w:val="20"/>
        </w:rPr>
        <w:t xml:space="preserve">Vaccination with varicella zoster vaccine in those who are antibody negative; </w:t>
      </w:r>
      <w:r w:rsidRPr="00ED5DE3">
        <w:rPr>
          <w:rFonts w:cs="Arial"/>
          <w:b/>
          <w:bCs/>
          <w:szCs w:val="20"/>
        </w:rPr>
        <w:t>AND</w:t>
      </w:r>
    </w:p>
    <w:p w14:paraId="60910153" w14:textId="77777777" w:rsidR="00F634A6" w:rsidRPr="00840518" w:rsidRDefault="00F634A6" w:rsidP="00F634A6">
      <w:pPr>
        <w:pStyle w:val="ListParagraph"/>
        <w:numPr>
          <w:ilvl w:val="5"/>
          <w:numId w:val="18"/>
        </w:numPr>
        <w:ind w:left="2160"/>
        <w:rPr>
          <w:rFonts w:cs="Arial"/>
          <w:szCs w:val="20"/>
        </w:rPr>
      </w:pPr>
      <w:r w:rsidRPr="00840518">
        <w:rPr>
          <w:rFonts w:cs="Arial"/>
          <w:szCs w:val="20"/>
        </w:rPr>
        <w:t>Skin examination for cutaneous malignancies.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14:paraId="78416C4A" w14:textId="77777777" w:rsidR="00A10B47" w:rsidRDefault="00A10B47" w:rsidP="00A10B47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Any approval criteria are not met;</w:t>
      </w:r>
    </w:p>
    <w:p w14:paraId="00E452A4" w14:textId="77777777" w:rsidR="00A10B47" w:rsidRDefault="00A10B47" w:rsidP="00A10B47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Claim is for Mavenlad and any of the following are present:</w:t>
      </w:r>
    </w:p>
    <w:p w14:paraId="52430584" w14:textId="77777777" w:rsidR="00A10B47" w:rsidRPr="00A00AEC" w:rsidRDefault="00A10B47" w:rsidP="00A10B47">
      <w:pPr>
        <w:pStyle w:val="ListParagraph"/>
        <w:numPr>
          <w:ilvl w:val="2"/>
          <w:numId w:val="6"/>
        </w:numPr>
        <w:rPr>
          <w:rFonts w:cs="Arial"/>
          <w:noProof/>
          <w:szCs w:val="20"/>
        </w:rPr>
      </w:pPr>
      <w:r>
        <w:rPr>
          <w:rFonts w:cs="Arial"/>
        </w:rPr>
        <w:t>H</w:t>
      </w:r>
      <w:r w:rsidRPr="00C7476A">
        <w:rPr>
          <w:rFonts w:cs="Arial"/>
        </w:rPr>
        <w:t>istory of malignancy</w:t>
      </w:r>
      <w:r>
        <w:rPr>
          <w:rFonts w:cs="Arial"/>
        </w:rPr>
        <w:t xml:space="preserve"> or </w:t>
      </w:r>
      <w:proofErr w:type="gramStart"/>
      <w:r>
        <w:rPr>
          <w:rFonts w:cs="Arial"/>
        </w:rPr>
        <w:t>HIV;</w:t>
      </w:r>
      <w:proofErr w:type="gramEnd"/>
    </w:p>
    <w:p w14:paraId="70376BAC" w14:textId="77777777" w:rsidR="00A10B47" w:rsidRPr="005E6666" w:rsidRDefault="00A10B47" w:rsidP="00A10B47">
      <w:pPr>
        <w:pStyle w:val="ListParagraph"/>
        <w:numPr>
          <w:ilvl w:val="2"/>
          <w:numId w:val="6"/>
        </w:numPr>
        <w:rPr>
          <w:rFonts w:cs="Arial"/>
          <w:noProof/>
          <w:szCs w:val="20"/>
        </w:rPr>
      </w:pPr>
      <w:r>
        <w:rPr>
          <w:rFonts w:cs="Arial"/>
        </w:rPr>
        <w:t xml:space="preserve">Participant is currently </w:t>
      </w:r>
      <w:proofErr w:type="gramStart"/>
      <w:r>
        <w:rPr>
          <w:rFonts w:cs="Arial"/>
        </w:rPr>
        <w:t>pregnant;</w:t>
      </w:r>
      <w:proofErr w:type="gramEnd"/>
      <w:r>
        <w:rPr>
          <w:rFonts w:cs="Arial"/>
        </w:rPr>
        <w:t xml:space="preserve"> </w:t>
      </w:r>
      <w:r w:rsidRPr="002B2E1C">
        <w:rPr>
          <w:rFonts w:cs="Arial"/>
          <w:b/>
          <w:bCs/>
        </w:rPr>
        <w:t>OR</w:t>
      </w:r>
    </w:p>
    <w:p w14:paraId="192A9F2C" w14:textId="77777777" w:rsidR="00A10B47" w:rsidRPr="00C7476A" w:rsidRDefault="00A10B47" w:rsidP="00A10B47">
      <w:pPr>
        <w:pStyle w:val="ListParagraph"/>
        <w:numPr>
          <w:ilvl w:val="2"/>
          <w:numId w:val="6"/>
        </w:numPr>
        <w:rPr>
          <w:rFonts w:cs="Arial"/>
          <w:noProof/>
          <w:szCs w:val="20"/>
        </w:rPr>
      </w:pPr>
      <w:r>
        <w:rPr>
          <w:rFonts w:cs="Arial"/>
        </w:rPr>
        <w:t>C</w:t>
      </w:r>
      <w:r w:rsidRPr="00C7476A">
        <w:rPr>
          <w:rFonts w:cs="Arial"/>
        </w:rPr>
        <w:t xml:space="preserve">oncurrent use of other disease modifying </w:t>
      </w:r>
      <w:proofErr w:type="gramStart"/>
      <w:r w:rsidRPr="00C7476A">
        <w:rPr>
          <w:rFonts w:cs="Arial"/>
        </w:rPr>
        <w:t>therapies</w:t>
      </w:r>
      <w:r>
        <w:rPr>
          <w:rFonts w:cs="Arial"/>
        </w:rPr>
        <w:t>;</w:t>
      </w:r>
      <w:proofErr w:type="gramEnd"/>
    </w:p>
    <w:p w14:paraId="13290DDD" w14:textId="77777777" w:rsidR="00A10B47" w:rsidRDefault="00A10B47" w:rsidP="00A10B47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 xml:space="preserve">Claim is for </w:t>
      </w:r>
      <w:r w:rsidRPr="00A00AEC">
        <w:rPr>
          <w:rFonts w:cs="Arial"/>
          <w:noProof/>
          <w:szCs w:val="20"/>
        </w:rPr>
        <w:t xml:space="preserve">Mayzent, Ponvory, </w:t>
      </w:r>
      <w:r>
        <w:rPr>
          <w:rFonts w:cs="Arial"/>
          <w:noProof/>
          <w:szCs w:val="20"/>
        </w:rPr>
        <w:t>or</w:t>
      </w:r>
      <w:r w:rsidRPr="00A00AEC">
        <w:rPr>
          <w:rFonts w:cs="Arial"/>
          <w:noProof/>
          <w:szCs w:val="20"/>
        </w:rPr>
        <w:t xml:space="preserve"> Zeposia</w:t>
      </w:r>
      <w:r>
        <w:rPr>
          <w:rFonts w:cs="Arial"/>
          <w:noProof/>
          <w:szCs w:val="20"/>
        </w:rPr>
        <w:t xml:space="preserve"> and any of the following are present:</w:t>
      </w:r>
    </w:p>
    <w:p w14:paraId="29059793" w14:textId="77777777" w:rsidR="00A10B47" w:rsidRPr="00A00AEC" w:rsidRDefault="00A10B47" w:rsidP="00A10B47">
      <w:pPr>
        <w:pStyle w:val="ListParagraph"/>
        <w:numPr>
          <w:ilvl w:val="2"/>
          <w:numId w:val="6"/>
        </w:numPr>
        <w:rPr>
          <w:rFonts w:cs="Arial"/>
          <w:noProof/>
          <w:szCs w:val="20"/>
        </w:rPr>
      </w:pPr>
      <w:r>
        <w:rPr>
          <w:rFonts w:cs="Arial"/>
        </w:rPr>
        <w:t xml:space="preserve">Participant is currently </w:t>
      </w:r>
      <w:proofErr w:type="gramStart"/>
      <w:r>
        <w:rPr>
          <w:rFonts w:cs="Arial"/>
        </w:rPr>
        <w:t>pregnant;</w:t>
      </w:r>
      <w:proofErr w:type="gramEnd"/>
    </w:p>
    <w:p w14:paraId="5694B665" w14:textId="77777777" w:rsidR="00A10B47" w:rsidRPr="00A00AEC" w:rsidRDefault="00A10B47" w:rsidP="00A10B47">
      <w:pPr>
        <w:pStyle w:val="ListParagraph"/>
        <w:numPr>
          <w:ilvl w:val="2"/>
          <w:numId w:val="6"/>
        </w:numPr>
        <w:rPr>
          <w:rFonts w:cs="Arial"/>
          <w:b/>
          <w:bCs/>
          <w:noProof/>
          <w:szCs w:val="20"/>
        </w:rPr>
      </w:pPr>
      <w:r>
        <w:rPr>
          <w:rFonts w:cs="Arial"/>
          <w:noProof/>
          <w:szCs w:val="20"/>
        </w:rPr>
        <w:t>P</w:t>
      </w:r>
      <w:r w:rsidRPr="00A00AEC">
        <w:rPr>
          <w:rFonts w:cs="Arial"/>
          <w:noProof/>
          <w:szCs w:val="20"/>
        </w:rPr>
        <w:t xml:space="preserve">resence of </w:t>
      </w:r>
      <w:r w:rsidRPr="00A00AEC">
        <w:rPr>
          <w:rFonts w:cs="Arial"/>
        </w:rPr>
        <w:t>MI, unstable angina, stroke, TIA, decompensated heart failure (HF) requiring hospitalization, or Class III or IV HF in the past 6 months</w:t>
      </w:r>
      <w:r>
        <w:rPr>
          <w:rFonts w:cs="Arial"/>
        </w:rPr>
        <w:t xml:space="preserve">; </w:t>
      </w:r>
      <w:r w:rsidRPr="00693FCF">
        <w:rPr>
          <w:rFonts w:cs="Arial"/>
          <w:b/>
          <w:bCs/>
        </w:rPr>
        <w:t>OR</w:t>
      </w:r>
    </w:p>
    <w:p w14:paraId="22263249" w14:textId="77777777" w:rsidR="00A10B47" w:rsidRPr="00693FCF" w:rsidRDefault="00A10B47" w:rsidP="00A10B47">
      <w:pPr>
        <w:pStyle w:val="ListParagraph"/>
        <w:numPr>
          <w:ilvl w:val="2"/>
          <w:numId w:val="6"/>
        </w:numPr>
        <w:rPr>
          <w:rFonts w:cs="Arial"/>
          <w:b/>
          <w:bCs/>
          <w:noProof/>
          <w:szCs w:val="20"/>
        </w:rPr>
      </w:pPr>
      <w:r>
        <w:rPr>
          <w:rFonts w:cs="Arial"/>
        </w:rPr>
        <w:t xml:space="preserve">Presence of </w:t>
      </w:r>
      <w:r w:rsidRPr="00A00AEC">
        <w:rPr>
          <w:rFonts w:cs="Arial"/>
        </w:rPr>
        <w:t>Mobitz type II second-degree, third-degree AV block, or sick sinus syndrome</w:t>
      </w:r>
      <w:r>
        <w:rPr>
          <w:rFonts w:cs="Arial"/>
        </w:rPr>
        <w:t xml:space="preserve"> </w:t>
      </w:r>
      <w:r w:rsidRPr="00A00AEC">
        <w:rPr>
          <w:rFonts w:cs="Arial"/>
        </w:rPr>
        <w:t>or sino-atrial block</w:t>
      </w:r>
      <w:r w:rsidRPr="00A00AEC">
        <w:rPr>
          <w:rFonts w:cs="Arial"/>
          <w:b/>
          <w:bCs/>
        </w:rPr>
        <w:t xml:space="preserve"> </w:t>
      </w:r>
      <w:r w:rsidRPr="00A00AEC">
        <w:rPr>
          <w:rFonts w:cs="Arial"/>
        </w:rPr>
        <w:t xml:space="preserve">without a functioning </w:t>
      </w:r>
      <w:proofErr w:type="gramStart"/>
      <w:r w:rsidRPr="00A00AEC">
        <w:rPr>
          <w:rFonts w:cs="Arial"/>
        </w:rPr>
        <w:t>pacemaker</w:t>
      </w:r>
      <w:r>
        <w:rPr>
          <w:rFonts w:cs="Arial"/>
        </w:rPr>
        <w:t>;</w:t>
      </w:r>
      <w:proofErr w:type="gramEnd"/>
      <w:r>
        <w:rPr>
          <w:rFonts w:cs="Arial"/>
        </w:rPr>
        <w:t xml:space="preserve"> </w:t>
      </w:r>
      <w:r w:rsidRPr="00693FCF">
        <w:rPr>
          <w:rFonts w:cs="Arial"/>
          <w:b/>
          <w:bCs/>
        </w:rPr>
        <w:t>OR</w:t>
      </w:r>
    </w:p>
    <w:p w14:paraId="2E63DC15" w14:textId="77777777" w:rsidR="00A10B47" w:rsidRPr="00D87518" w:rsidRDefault="00A10B47" w:rsidP="00A10B47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bookmarkStart w:id="1" w:name="_Hlk34745611"/>
      <w:r>
        <w:rPr>
          <w:rFonts w:cs="Arial"/>
          <w:noProof/>
          <w:szCs w:val="20"/>
        </w:rPr>
        <w:t>Claim exceeds maximum dosing limitations for the following:</w:t>
      </w:r>
    </w:p>
    <w:tbl>
      <w:tblPr>
        <w:tblW w:w="954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420"/>
        <w:gridCol w:w="2520"/>
      </w:tblGrid>
      <w:tr w:rsidR="00A10B47" w:rsidRPr="00E52AB2" w14:paraId="2D2F3E41" w14:textId="77777777" w:rsidTr="00C3458F">
        <w:tc>
          <w:tcPr>
            <w:tcW w:w="3600" w:type="dxa"/>
            <w:shd w:val="clear" w:color="auto" w:fill="FABF8F" w:themeFill="accent6" w:themeFillTint="99"/>
            <w:vAlign w:val="center"/>
          </w:tcPr>
          <w:p w14:paraId="47FEE8FF" w14:textId="77777777" w:rsidR="00A10B47" w:rsidRPr="0029159A" w:rsidRDefault="00A10B47" w:rsidP="00C3458F">
            <w:pPr>
              <w:jc w:val="center"/>
              <w:rPr>
                <w:rFonts w:cs="Arial"/>
                <w:szCs w:val="20"/>
              </w:rPr>
            </w:pPr>
            <w:bookmarkStart w:id="2" w:name="_Hlk78543192"/>
            <w:r w:rsidRPr="0029159A">
              <w:rPr>
                <w:rFonts w:cs="Arial"/>
                <w:b/>
                <w:szCs w:val="20"/>
              </w:rPr>
              <w:t>Drug Description</w:t>
            </w:r>
          </w:p>
        </w:tc>
        <w:tc>
          <w:tcPr>
            <w:tcW w:w="3420" w:type="dxa"/>
            <w:shd w:val="clear" w:color="auto" w:fill="FABF8F" w:themeFill="accent6" w:themeFillTint="99"/>
            <w:vAlign w:val="center"/>
          </w:tcPr>
          <w:p w14:paraId="193D5089" w14:textId="77777777" w:rsidR="00A10B47" w:rsidRPr="00E52AB2" w:rsidRDefault="00A10B47" w:rsidP="00C3458F">
            <w:pPr>
              <w:jc w:val="center"/>
              <w:rPr>
                <w:rFonts w:cs="Arial"/>
                <w:szCs w:val="20"/>
              </w:rPr>
            </w:pPr>
            <w:r w:rsidRPr="00E52AB2">
              <w:rPr>
                <w:rFonts w:cs="Arial"/>
                <w:b/>
                <w:szCs w:val="20"/>
              </w:rPr>
              <w:t>Generic Equivalent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14:paraId="60475FB3" w14:textId="77777777" w:rsidR="00A10B47" w:rsidRPr="00E52AB2" w:rsidRDefault="00A10B47" w:rsidP="00C3458F">
            <w:pPr>
              <w:jc w:val="center"/>
              <w:rPr>
                <w:rFonts w:cs="Arial"/>
                <w:b/>
                <w:szCs w:val="20"/>
              </w:rPr>
            </w:pPr>
            <w:r w:rsidRPr="00E52AB2">
              <w:rPr>
                <w:rFonts w:cs="Arial"/>
                <w:b/>
                <w:szCs w:val="20"/>
              </w:rPr>
              <w:t>Max Dosing Limitation</w:t>
            </w:r>
          </w:p>
        </w:tc>
      </w:tr>
      <w:tr w:rsidR="00A10B47" w:rsidRPr="00E52AB2" w14:paraId="337E3BCA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07E" w14:textId="77777777" w:rsidR="00A10B47" w:rsidRPr="00460723" w:rsidRDefault="00A10B47" w:rsidP="00C3458F">
            <w:pPr>
              <w:rPr>
                <w:rFonts w:cs="Arial"/>
                <w:caps/>
                <w:szCs w:val="20"/>
              </w:rPr>
            </w:pPr>
            <w:r w:rsidRPr="00460723">
              <w:rPr>
                <w:rFonts w:cs="Arial"/>
                <w:caps/>
                <w:szCs w:val="20"/>
              </w:rPr>
              <w:t>aubagio 7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32F" w14:textId="77777777" w:rsidR="00A10B47" w:rsidRPr="00460723" w:rsidRDefault="00A10B47" w:rsidP="00C3458F">
            <w:pPr>
              <w:rPr>
                <w:rFonts w:cs="Arial"/>
                <w:caps/>
                <w:szCs w:val="20"/>
              </w:rPr>
            </w:pPr>
            <w:r w:rsidRPr="00460723">
              <w:rPr>
                <w:rFonts w:cs="Arial"/>
                <w:caps/>
                <w:szCs w:val="20"/>
              </w:rPr>
              <w:t xml:space="preserve">teriflunomide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1DD" w14:textId="77777777" w:rsidR="00A10B47" w:rsidRPr="00460723" w:rsidRDefault="00A10B47" w:rsidP="00C3458F">
            <w:pPr>
              <w:rPr>
                <w:rFonts w:cs="Arial"/>
                <w:szCs w:val="20"/>
              </w:rPr>
            </w:pPr>
            <w:r w:rsidRPr="00460723">
              <w:rPr>
                <w:rFonts w:cs="Arial"/>
                <w:szCs w:val="20"/>
              </w:rPr>
              <w:t>1 tablet per day</w:t>
            </w:r>
          </w:p>
        </w:tc>
      </w:tr>
      <w:tr w:rsidR="00A10B47" w:rsidRPr="00E52AB2" w14:paraId="74F58839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B91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AUBAGIO 14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296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TERIFLUNOMIDE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DDA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1 tablet per day</w:t>
            </w:r>
          </w:p>
        </w:tc>
      </w:tr>
      <w:tr w:rsidR="00A10B47" w:rsidRPr="00E52AB2" w14:paraId="6852D55E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65C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bafiertam dr 95 mg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E071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monomethyl fumarate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1A8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4 capsules per day</w:t>
            </w:r>
          </w:p>
        </w:tc>
      </w:tr>
      <w:tr w:rsidR="00A10B47" w:rsidRPr="00E52AB2" w14:paraId="7722D422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6119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gilenya 0.25 mg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FC6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fingolimod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DB02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1 capsule per day</w:t>
            </w:r>
          </w:p>
        </w:tc>
      </w:tr>
      <w:tr w:rsidR="00A10B47" w:rsidRPr="00E52AB2" w14:paraId="6F41D9B8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8A9" w14:textId="77777777" w:rsidR="00A10B47" w:rsidRPr="00B21D6F" w:rsidRDefault="00A10B47" w:rsidP="00C3458F">
            <w:pPr>
              <w:pStyle w:val="CommentText"/>
              <w:rPr>
                <w:rFonts w:cs="Arial"/>
                <w:caps/>
              </w:rPr>
            </w:pPr>
            <w:r w:rsidRPr="00B21D6F">
              <w:rPr>
                <w:rFonts w:cs="Arial"/>
                <w:caps/>
              </w:rPr>
              <w:t>GILENYA 0.5 MG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C10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FINGOLIMOD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BEC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1 capsule per day</w:t>
            </w:r>
          </w:p>
        </w:tc>
      </w:tr>
      <w:tr w:rsidR="00A10B47" w:rsidRPr="00E52AB2" w14:paraId="6CACF734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1A4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Mavenclad 10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CB3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Cladribine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6CFD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4 boxes per year</w:t>
            </w:r>
          </w:p>
        </w:tc>
      </w:tr>
      <w:tr w:rsidR="00A10B47" w:rsidRPr="00E52AB2" w14:paraId="58D77262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92A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MAYZENT 0.25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316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siponimod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33B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5 tablets per day</w:t>
            </w:r>
          </w:p>
        </w:tc>
      </w:tr>
      <w:tr w:rsidR="00A10B47" w:rsidRPr="00E52AB2" w14:paraId="124F976D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E7E" w14:textId="77777777" w:rsidR="00A10B47" w:rsidRPr="009571C8" w:rsidRDefault="00A10B47" w:rsidP="00C3458F">
            <w:pPr>
              <w:rPr>
                <w:rFonts w:cs="Arial"/>
                <w:b/>
                <w:bCs/>
                <w:caps/>
                <w:szCs w:val="20"/>
              </w:rPr>
            </w:pPr>
            <w:r w:rsidRPr="009571C8">
              <w:rPr>
                <w:rFonts w:cs="Arial"/>
                <w:caps/>
                <w:szCs w:val="20"/>
              </w:rPr>
              <w:t>mayzent 1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042" w14:textId="77777777" w:rsidR="00A10B47" w:rsidRPr="002D685F" w:rsidRDefault="00A10B47" w:rsidP="00C3458F">
            <w:pPr>
              <w:rPr>
                <w:rFonts w:cs="Arial"/>
                <w:caps/>
                <w:szCs w:val="20"/>
              </w:rPr>
            </w:pPr>
            <w:r w:rsidRPr="002D685F">
              <w:rPr>
                <w:rFonts w:cs="Arial"/>
                <w:caps/>
                <w:szCs w:val="20"/>
              </w:rPr>
              <w:t>siponimod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0D0" w14:textId="77777777" w:rsidR="00A10B47" w:rsidRPr="002D685F" w:rsidRDefault="00A10B47" w:rsidP="00C3458F">
            <w:pPr>
              <w:rPr>
                <w:rFonts w:cs="Arial"/>
                <w:szCs w:val="20"/>
              </w:rPr>
            </w:pPr>
            <w:r w:rsidRPr="002D685F">
              <w:rPr>
                <w:rFonts w:cs="Arial"/>
                <w:szCs w:val="20"/>
              </w:rPr>
              <w:t>1 tablet per day</w:t>
            </w:r>
          </w:p>
        </w:tc>
      </w:tr>
      <w:tr w:rsidR="00A10B47" w:rsidRPr="00E52AB2" w14:paraId="53C06FC0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E9A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mayzent 2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0CC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siponimod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416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1 tablet per day</w:t>
            </w:r>
          </w:p>
        </w:tc>
      </w:tr>
      <w:tr w:rsidR="00A10B47" w:rsidRPr="00E52AB2" w14:paraId="13C1DEBF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7D6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Ponvory 20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379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ponesimod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4C8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1 tablet per day</w:t>
            </w:r>
          </w:p>
        </w:tc>
      </w:tr>
      <w:tr w:rsidR="00A10B47" w:rsidRPr="00E52AB2" w14:paraId="0E10F56A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0CF" w14:textId="77777777" w:rsidR="00A10B47" w:rsidRPr="002D685F" w:rsidRDefault="00A10B47" w:rsidP="00C3458F">
            <w:pPr>
              <w:rPr>
                <w:rFonts w:cs="Arial"/>
                <w:caps/>
                <w:szCs w:val="20"/>
              </w:rPr>
            </w:pPr>
            <w:r w:rsidRPr="002D685F">
              <w:rPr>
                <w:rFonts w:cs="Arial"/>
                <w:caps/>
                <w:szCs w:val="20"/>
              </w:rPr>
              <w:t>TASCENSO ODT 0.25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A3F" w14:textId="77777777" w:rsidR="00A10B47" w:rsidRPr="002D685F" w:rsidRDefault="00A10B47" w:rsidP="00C3458F">
            <w:pPr>
              <w:rPr>
                <w:rFonts w:cs="Arial"/>
                <w:caps/>
                <w:szCs w:val="20"/>
              </w:rPr>
            </w:pPr>
            <w:r w:rsidRPr="002D685F">
              <w:rPr>
                <w:rFonts w:cs="Arial"/>
                <w:caps/>
                <w:szCs w:val="20"/>
              </w:rPr>
              <w:t>FINGOLIMOD LAURYL SULFATE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3CE" w14:textId="77777777" w:rsidR="00A10B47" w:rsidRPr="002D685F" w:rsidRDefault="00A10B47" w:rsidP="00C3458F">
            <w:pPr>
              <w:rPr>
                <w:rFonts w:cs="Arial"/>
                <w:szCs w:val="20"/>
              </w:rPr>
            </w:pPr>
            <w:r w:rsidRPr="002D685F">
              <w:rPr>
                <w:rFonts w:cs="Arial"/>
                <w:szCs w:val="20"/>
              </w:rPr>
              <w:t>1 tablet per day</w:t>
            </w:r>
          </w:p>
        </w:tc>
      </w:tr>
      <w:tr w:rsidR="00A10B47" w:rsidRPr="00E52AB2" w14:paraId="6B206462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33D" w14:textId="77777777" w:rsidR="00A10B47" w:rsidRPr="007C0F44" w:rsidRDefault="00A10B47" w:rsidP="00C3458F">
            <w:pPr>
              <w:rPr>
                <w:rFonts w:cs="Arial"/>
                <w:caps/>
                <w:szCs w:val="20"/>
              </w:rPr>
            </w:pPr>
            <w:r w:rsidRPr="007C0F44">
              <w:rPr>
                <w:rFonts w:cs="Arial"/>
                <w:caps/>
                <w:szCs w:val="20"/>
              </w:rPr>
              <w:t>TASCENSO ODT 0.5 MG TABLET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9B0" w14:textId="77777777" w:rsidR="00A10B47" w:rsidRPr="007C0F44" w:rsidRDefault="00A10B47" w:rsidP="00C3458F">
            <w:pPr>
              <w:rPr>
                <w:rFonts w:cs="Arial"/>
                <w:caps/>
                <w:szCs w:val="20"/>
              </w:rPr>
            </w:pPr>
            <w:r w:rsidRPr="007C0F44">
              <w:rPr>
                <w:rFonts w:cs="Arial"/>
                <w:caps/>
                <w:szCs w:val="20"/>
              </w:rPr>
              <w:t>FINGOLIMOD LAURYL SULFATE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7632" w14:textId="77777777" w:rsidR="00A10B47" w:rsidRPr="007C0F44" w:rsidRDefault="00A10B47" w:rsidP="00C3458F">
            <w:pPr>
              <w:rPr>
                <w:rFonts w:cs="Arial"/>
                <w:szCs w:val="20"/>
              </w:rPr>
            </w:pPr>
            <w:r w:rsidRPr="007C0F44">
              <w:rPr>
                <w:rFonts w:cs="Arial"/>
                <w:szCs w:val="20"/>
              </w:rPr>
              <w:t>1 tablet per day</w:t>
            </w:r>
          </w:p>
        </w:tc>
      </w:tr>
      <w:tr w:rsidR="00A10B47" w:rsidRPr="00E52AB2" w14:paraId="5FC29838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622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tecfidera dr 120 mg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ACC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dimethyl fumarate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2C8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2 capsules per day</w:t>
            </w:r>
          </w:p>
        </w:tc>
      </w:tr>
      <w:tr w:rsidR="00A10B47" w:rsidRPr="00E52AB2" w14:paraId="5D56A21C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608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tecfidera dr 240 mg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B01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dimethyl fumarate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6FE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2 capsules per day</w:t>
            </w:r>
          </w:p>
        </w:tc>
      </w:tr>
      <w:tr w:rsidR="00A10B47" w:rsidRPr="00E52AB2" w14:paraId="6AE1066A" w14:textId="77777777" w:rsidTr="00C345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554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vumertiy dr 231 mg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CB5" w14:textId="77777777" w:rsidR="00A10B47" w:rsidRPr="00B21D6F" w:rsidRDefault="00A10B47" w:rsidP="00C3458F">
            <w:pPr>
              <w:rPr>
                <w:rFonts w:cs="Arial"/>
                <w:caps/>
                <w:szCs w:val="20"/>
              </w:rPr>
            </w:pPr>
            <w:r w:rsidRPr="00B21D6F">
              <w:rPr>
                <w:rFonts w:cs="Arial"/>
                <w:caps/>
                <w:szCs w:val="20"/>
              </w:rPr>
              <w:t>diproximel fumarate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287" w14:textId="77777777" w:rsidR="00A10B47" w:rsidRPr="00B21D6F" w:rsidRDefault="00A10B47" w:rsidP="00C3458F">
            <w:pPr>
              <w:rPr>
                <w:rFonts w:cs="Arial"/>
                <w:szCs w:val="20"/>
              </w:rPr>
            </w:pPr>
            <w:r w:rsidRPr="00B21D6F">
              <w:rPr>
                <w:rFonts w:cs="Arial"/>
                <w:szCs w:val="20"/>
              </w:rPr>
              <w:t>4 capsules per day</w:t>
            </w:r>
          </w:p>
        </w:tc>
      </w:tr>
      <w:tr w:rsidR="00A10B47" w:rsidRPr="00E52AB2" w14:paraId="6D95BC66" w14:textId="77777777" w:rsidTr="00C3458F">
        <w:trPr>
          <w:trHeight w:val="1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463" w14:textId="77777777" w:rsidR="00A10B47" w:rsidRPr="00460723" w:rsidRDefault="00A10B47" w:rsidP="00C3458F">
            <w:pPr>
              <w:rPr>
                <w:rFonts w:cs="Arial"/>
                <w:bCs/>
                <w:caps/>
                <w:szCs w:val="20"/>
              </w:rPr>
            </w:pPr>
            <w:r w:rsidRPr="00460723">
              <w:rPr>
                <w:rFonts w:cs="Arial"/>
                <w:bCs/>
                <w:caps/>
                <w:szCs w:val="20"/>
              </w:rPr>
              <w:t>Zeposia 0.92 mg capsule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8C0" w14:textId="77777777" w:rsidR="00A10B47" w:rsidRPr="00460723" w:rsidRDefault="00A10B47" w:rsidP="00C3458F">
            <w:pPr>
              <w:rPr>
                <w:rFonts w:cs="Arial"/>
                <w:bCs/>
                <w:caps/>
                <w:szCs w:val="20"/>
              </w:rPr>
            </w:pPr>
            <w:r w:rsidRPr="00460723">
              <w:rPr>
                <w:rFonts w:cs="Arial"/>
                <w:bCs/>
                <w:caps/>
                <w:szCs w:val="20"/>
              </w:rPr>
              <w:t>OZANIMOD HCL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EF9" w14:textId="77777777" w:rsidR="00A10B47" w:rsidRPr="00460723" w:rsidRDefault="00A10B47" w:rsidP="00C3458F">
            <w:pPr>
              <w:rPr>
                <w:rFonts w:cs="Arial"/>
                <w:bCs/>
                <w:szCs w:val="20"/>
              </w:rPr>
            </w:pPr>
            <w:r w:rsidRPr="00460723">
              <w:rPr>
                <w:rFonts w:cs="Arial"/>
                <w:bCs/>
                <w:szCs w:val="20"/>
              </w:rPr>
              <w:t>1 capsule per day</w:t>
            </w:r>
          </w:p>
        </w:tc>
      </w:tr>
      <w:bookmarkEnd w:id="1"/>
      <w:bookmarkEnd w:id="2"/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3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3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5DE077C9" w14:textId="77777777" w:rsidR="007F59F8" w:rsidRPr="008178D8" w:rsidRDefault="007F59F8" w:rsidP="007F59F8">
      <w:pPr>
        <w:pStyle w:val="ListParagraph"/>
      </w:pPr>
      <w:r w:rsidRPr="008178D8">
        <w:t xml:space="preserve">Evidence-Based Medicine and Fiscal Analysis: “Therapeutic Class Review: </w:t>
      </w:r>
      <w:r w:rsidRPr="00C66C00">
        <w:t>Multiple Sclerosis Agents, Oral</w:t>
      </w:r>
      <w:r w:rsidRPr="008178D8">
        <w:t xml:space="preserve">”, Gainwell Technologies; Last updated </w:t>
      </w:r>
      <w:r>
        <w:t>April 22, 2024</w:t>
      </w:r>
      <w:r w:rsidRPr="008178D8">
        <w:t>.</w:t>
      </w:r>
    </w:p>
    <w:p w14:paraId="71481265" w14:textId="658ACF1A" w:rsidR="007F59F8" w:rsidRDefault="007F59F8" w:rsidP="703D8ACD">
      <w:pPr>
        <w:pStyle w:val="ListParagraph"/>
      </w:pPr>
      <w:r>
        <w:t xml:space="preserve">Evidence-Based Medicine Analysis: “Central Nervous System: Multiple Sclerosis (MS), Oral Agents”, UMKC-DIC; </w:t>
      </w:r>
      <w:r w:rsidR="2C85E6D3">
        <w:t>March 2026.</w:t>
      </w:r>
    </w:p>
    <w:p w14:paraId="1358B213" w14:textId="77777777" w:rsidR="007F59F8" w:rsidRPr="00CE11E2" w:rsidRDefault="007F59F8" w:rsidP="007F59F8">
      <w:pPr>
        <w:pStyle w:val="ListParagraph"/>
        <w:rPr>
          <w:szCs w:val="20"/>
        </w:rPr>
      </w:pPr>
      <w:r w:rsidRPr="00CE11E2">
        <w:t xml:space="preserve">American Academy of Neurology: Practice Guideline Recommendations Summary: Disease-Modifying Therapies for Adults with Multiple Sclerosis. Available at URL: https://www.aan.com/Guidelines/home/GuidelineDetail/898. </w:t>
      </w:r>
    </w:p>
    <w:p w14:paraId="4CB44ECE" w14:textId="77777777" w:rsidR="007F59F8" w:rsidRPr="00CE11E2" w:rsidRDefault="007F59F8" w:rsidP="007F59F8">
      <w:pPr>
        <w:pStyle w:val="ListParagraph"/>
      </w:pPr>
      <w:r w:rsidRPr="00CE11E2">
        <w:t xml:space="preserve">Rae-Grant A, Day GS, Marrie RA, et. al. American Academy of Neurology. Practice guideline: Disease-modifying therapies for adults with multiple sclerosis, April 2018. </w:t>
      </w:r>
      <w:hyperlink r:id="rId13" w:history="1">
        <w:r w:rsidRPr="009D2883">
          <w:rPr>
            <w:rStyle w:val="Hyperlink"/>
            <w:rFonts w:cs="Arial"/>
            <w:color w:val="auto"/>
            <w:szCs w:val="20"/>
            <w:u w:val="none"/>
          </w:rPr>
          <w:t>Summary of Evidence-Based Guideline: Complementary and Alternative Medicine in Multiple Sclerosis (aan.com)</w:t>
        </w:r>
      </w:hyperlink>
      <w:r w:rsidRPr="009D2883">
        <w:t>.</w:t>
      </w:r>
    </w:p>
    <w:p w14:paraId="3C400EC0" w14:textId="77777777" w:rsidR="007F59F8" w:rsidRDefault="007F59F8" w:rsidP="007F59F8">
      <w:pPr>
        <w:pStyle w:val="ListParagraph"/>
      </w:pPr>
      <w:bookmarkStart w:id="4" w:name="_Hlk34121003"/>
      <w:r w:rsidRPr="00193BB1">
        <w:t>USPDI, Micromedex; 202</w:t>
      </w:r>
      <w:r>
        <w:t>5</w:t>
      </w:r>
      <w:r w:rsidRPr="00193BB1">
        <w:t xml:space="preserve">. </w:t>
      </w:r>
      <w:bookmarkEnd w:id="4"/>
    </w:p>
    <w:p w14:paraId="3FA1E7DB" w14:textId="0082B465" w:rsidR="00777CA4" w:rsidRDefault="007F59F8" w:rsidP="007F59F8">
      <w:pPr>
        <w:pStyle w:val="ListParagraph"/>
      </w:pPr>
      <w:r w:rsidRPr="00193BB1">
        <w:t>Clinical Pharmacology [online]. Tampa (FL): Elsevier. 202</w:t>
      </w:r>
      <w:r>
        <w:t>5</w:t>
      </w:r>
      <w:r w:rsidR="00777CA4">
        <w:t>.</w:t>
      </w:r>
    </w:p>
    <w:sectPr w:rsidR="00777CA4" w:rsidSect="00AB0B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6664" w14:textId="77777777" w:rsidR="0026394D" w:rsidRPr="00C02553" w:rsidRDefault="0026394D" w:rsidP="00AE77DB">
      <w:r w:rsidRPr="00C02553">
        <w:separator/>
      </w:r>
    </w:p>
  </w:endnote>
  <w:endnote w:type="continuationSeparator" w:id="0">
    <w:p w14:paraId="24ADD4E9" w14:textId="77777777" w:rsidR="0026394D" w:rsidRPr="00C02553" w:rsidRDefault="0026394D" w:rsidP="00AE77DB">
      <w:r w:rsidRPr="00C02553">
        <w:continuationSeparator/>
      </w:r>
    </w:p>
  </w:endnote>
  <w:endnote w:type="continuationNotice" w:id="1">
    <w:p w14:paraId="5E328A01" w14:textId="77777777" w:rsidR="0026394D" w:rsidRPr="00C02553" w:rsidRDefault="00263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A3E3" w14:textId="77777777" w:rsidR="0026394D" w:rsidRPr="00C02553" w:rsidRDefault="0026394D" w:rsidP="00AE77DB">
      <w:r w:rsidRPr="00C02553">
        <w:separator/>
      </w:r>
    </w:p>
  </w:footnote>
  <w:footnote w:type="continuationSeparator" w:id="0">
    <w:p w14:paraId="3C4A40E7" w14:textId="77777777" w:rsidR="0026394D" w:rsidRPr="00C02553" w:rsidRDefault="0026394D" w:rsidP="00AE77DB">
      <w:r w:rsidRPr="00C02553">
        <w:continuationSeparator/>
      </w:r>
    </w:p>
  </w:footnote>
  <w:footnote w:type="continuationNotice" w:id="1">
    <w:p w14:paraId="6C2E9B36" w14:textId="77777777" w:rsidR="0026394D" w:rsidRPr="00C02553" w:rsidRDefault="00263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6D37BA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6D37BA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7BA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CD1C09"/>
    <w:multiLevelType w:val="hybridMultilevel"/>
    <w:tmpl w:val="5B486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A2788"/>
    <w:multiLevelType w:val="hybridMultilevel"/>
    <w:tmpl w:val="E21CC7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43976"/>
    <w:multiLevelType w:val="hybridMultilevel"/>
    <w:tmpl w:val="B8869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AB37B0"/>
    <w:multiLevelType w:val="hybridMultilevel"/>
    <w:tmpl w:val="6D082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350DE"/>
    <w:multiLevelType w:val="hybridMultilevel"/>
    <w:tmpl w:val="2F6E1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134877"/>
    <w:multiLevelType w:val="hybridMultilevel"/>
    <w:tmpl w:val="940ADF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20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8"/>
  </w:num>
  <w:num w:numId="13" w16cid:durableId="604729665">
    <w:abstractNumId w:val="6"/>
  </w:num>
  <w:num w:numId="14" w16cid:durableId="1805081292">
    <w:abstractNumId w:val="13"/>
  </w:num>
  <w:num w:numId="15" w16cid:durableId="1538271233">
    <w:abstractNumId w:val="17"/>
  </w:num>
  <w:num w:numId="16" w16cid:durableId="1276518432">
    <w:abstractNumId w:val="10"/>
  </w:num>
  <w:num w:numId="17" w16cid:durableId="754521697">
    <w:abstractNumId w:val="5"/>
  </w:num>
  <w:num w:numId="18" w16cid:durableId="74783263">
    <w:abstractNumId w:val="15"/>
  </w:num>
  <w:num w:numId="19" w16cid:durableId="1415735822">
    <w:abstractNumId w:val="12"/>
  </w:num>
  <w:num w:numId="20" w16cid:durableId="1868522984">
    <w:abstractNumId w:val="19"/>
  </w:num>
  <w:num w:numId="21" w16cid:durableId="42172830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2SNLzWJiIGIs4hLemdUMNsZ/O4OexPHLvQKQKBcwQlzxekOP+DGpV7foPipdvEpR+vX29DrJymS5EujhxhXj1A==" w:salt="ziOIcIU9iWXJvRfqoXToI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1E46"/>
    <w:rsid w:val="000344C5"/>
    <w:rsid w:val="00040AD3"/>
    <w:rsid w:val="00053807"/>
    <w:rsid w:val="000572E5"/>
    <w:rsid w:val="00057F84"/>
    <w:rsid w:val="00061541"/>
    <w:rsid w:val="00061990"/>
    <w:rsid w:val="00064162"/>
    <w:rsid w:val="00065C22"/>
    <w:rsid w:val="00066885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0E55"/>
    <w:rsid w:val="000E1479"/>
    <w:rsid w:val="000E21CC"/>
    <w:rsid w:val="000E231E"/>
    <w:rsid w:val="000E247D"/>
    <w:rsid w:val="000E6B14"/>
    <w:rsid w:val="000E70D8"/>
    <w:rsid w:val="000F2C14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6394D"/>
    <w:rsid w:val="00270C5E"/>
    <w:rsid w:val="00290A03"/>
    <w:rsid w:val="0029159A"/>
    <w:rsid w:val="00291600"/>
    <w:rsid w:val="002A02F4"/>
    <w:rsid w:val="002B6347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476C"/>
    <w:rsid w:val="00347FB5"/>
    <w:rsid w:val="00355515"/>
    <w:rsid w:val="003608B5"/>
    <w:rsid w:val="003613AF"/>
    <w:rsid w:val="003663B5"/>
    <w:rsid w:val="00375220"/>
    <w:rsid w:val="003878C1"/>
    <w:rsid w:val="00396C0B"/>
    <w:rsid w:val="003A211F"/>
    <w:rsid w:val="003A630F"/>
    <w:rsid w:val="003B3958"/>
    <w:rsid w:val="003B4820"/>
    <w:rsid w:val="003B5F4B"/>
    <w:rsid w:val="003B682F"/>
    <w:rsid w:val="003C53FC"/>
    <w:rsid w:val="003C7013"/>
    <w:rsid w:val="003D3F31"/>
    <w:rsid w:val="003D641B"/>
    <w:rsid w:val="003E44BC"/>
    <w:rsid w:val="003F227C"/>
    <w:rsid w:val="004023CC"/>
    <w:rsid w:val="00407564"/>
    <w:rsid w:val="00411130"/>
    <w:rsid w:val="00411152"/>
    <w:rsid w:val="004156AA"/>
    <w:rsid w:val="004253A1"/>
    <w:rsid w:val="004313B6"/>
    <w:rsid w:val="00431F89"/>
    <w:rsid w:val="00433339"/>
    <w:rsid w:val="00445002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37AC0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B168B"/>
    <w:rsid w:val="005B6DA3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1693"/>
    <w:rsid w:val="006D2330"/>
    <w:rsid w:val="006D37BA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B5D59"/>
    <w:rsid w:val="007C0367"/>
    <w:rsid w:val="007D2920"/>
    <w:rsid w:val="007D42DD"/>
    <w:rsid w:val="007E6A37"/>
    <w:rsid w:val="007F1774"/>
    <w:rsid w:val="007F59F8"/>
    <w:rsid w:val="007F6915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354C"/>
    <w:rsid w:val="00915332"/>
    <w:rsid w:val="009204BB"/>
    <w:rsid w:val="00935918"/>
    <w:rsid w:val="00935ACB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31B"/>
    <w:rsid w:val="009A1FAC"/>
    <w:rsid w:val="009A5A4B"/>
    <w:rsid w:val="009B001A"/>
    <w:rsid w:val="009B1A62"/>
    <w:rsid w:val="009B5424"/>
    <w:rsid w:val="009C3CC7"/>
    <w:rsid w:val="009D2057"/>
    <w:rsid w:val="009D3D6C"/>
    <w:rsid w:val="009D5551"/>
    <w:rsid w:val="009D62DB"/>
    <w:rsid w:val="009E3B42"/>
    <w:rsid w:val="00A05B60"/>
    <w:rsid w:val="00A10B47"/>
    <w:rsid w:val="00A13266"/>
    <w:rsid w:val="00A14FA6"/>
    <w:rsid w:val="00A15D64"/>
    <w:rsid w:val="00A20575"/>
    <w:rsid w:val="00A23172"/>
    <w:rsid w:val="00A32452"/>
    <w:rsid w:val="00A32BBF"/>
    <w:rsid w:val="00A37444"/>
    <w:rsid w:val="00A4281A"/>
    <w:rsid w:val="00A43FBA"/>
    <w:rsid w:val="00A459CF"/>
    <w:rsid w:val="00A5014D"/>
    <w:rsid w:val="00A53E96"/>
    <w:rsid w:val="00A56F18"/>
    <w:rsid w:val="00A628F8"/>
    <w:rsid w:val="00A62BAA"/>
    <w:rsid w:val="00A66172"/>
    <w:rsid w:val="00A744C3"/>
    <w:rsid w:val="00A77BA9"/>
    <w:rsid w:val="00AA70AB"/>
    <w:rsid w:val="00AB0B9F"/>
    <w:rsid w:val="00AB1713"/>
    <w:rsid w:val="00AB63BE"/>
    <w:rsid w:val="00AC1EBC"/>
    <w:rsid w:val="00AC2599"/>
    <w:rsid w:val="00AC2DE9"/>
    <w:rsid w:val="00AD0F62"/>
    <w:rsid w:val="00AD2C5F"/>
    <w:rsid w:val="00AE1481"/>
    <w:rsid w:val="00AE27F9"/>
    <w:rsid w:val="00AE3473"/>
    <w:rsid w:val="00AE77DB"/>
    <w:rsid w:val="00AF7453"/>
    <w:rsid w:val="00B00FFF"/>
    <w:rsid w:val="00B04A72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96276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1ED"/>
    <w:rsid w:val="00C56B1F"/>
    <w:rsid w:val="00C61B52"/>
    <w:rsid w:val="00C62745"/>
    <w:rsid w:val="00C654CA"/>
    <w:rsid w:val="00C722C9"/>
    <w:rsid w:val="00C763BD"/>
    <w:rsid w:val="00C779A8"/>
    <w:rsid w:val="00C82E19"/>
    <w:rsid w:val="00C95CB7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37326"/>
    <w:rsid w:val="00D42DA3"/>
    <w:rsid w:val="00D4546D"/>
    <w:rsid w:val="00D47996"/>
    <w:rsid w:val="00D61118"/>
    <w:rsid w:val="00D614F1"/>
    <w:rsid w:val="00D70D50"/>
    <w:rsid w:val="00D71917"/>
    <w:rsid w:val="00D75965"/>
    <w:rsid w:val="00D83D0F"/>
    <w:rsid w:val="00D94394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179E"/>
    <w:rsid w:val="00E02FE0"/>
    <w:rsid w:val="00E07ABE"/>
    <w:rsid w:val="00E11A3F"/>
    <w:rsid w:val="00E1386E"/>
    <w:rsid w:val="00E2369B"/>
    <w:rsid w:val="00E23EC0"/>
    <w:rsid w:val="00E320DD"/>
    <w:rsid w:val="00E34158"/>
    <w:rsid w:val="00E354AA"/>
    <w:rsid w:val="00E43D54"/>
    <w:rsid w:val="00E442FB"/>
    <w:rsid w:val="00E529DB"/>
    <w:rsid w:val="00E52DF4"/>
    <w:rsid w:val="00E53A5E"/>
    <w:rsid w:val="00E6466A"/>
    <w:rsid w:val="00E72221"/>
    <w:rsid w:val="00E8057A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E715E"/>
    <w:rsid w:val="00EF0262"/>
    <w:rsid w:val="00EF0828"/>
    <w:rsid w:val="00EF6F8B"/>
    <w:rsid w:val="00F03898"/>
    <w:rsid w:val="00F0446C"/>
    <w:rsid w:val="00F1527A"/>
    <w:rsid w:val="00F2125B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4A6"/>
    <w:rsid w:val="00F63A52"/>
    <w:rsid w:val="00F730BA"/>
    <w:rsid w:val="00F80E20"/>
    <w:rsid w:val="00F903BE"/>
    <w:rsid w:val="00F95D04"/>
    <w:rsid w:val="00FA019D"/>
    <w:rsid w:val="00FA16EC"/>
    <w:rsid w:val="00FA2811"/>
    <w:rsid w:val="00FA2CFB"/>
    <w:rsid w:val="00FA4837"/>
    <w:rsid w:val="00FB1D33"/>
    <w:rsid w:val="00FB5E96"/>
    <w:rsid w:val="00FC008C"/>
    <w:rsid w:val="00FC05A0"/>
    <w:rsid w:val="00FC6758"/>
    <w:rsid w:val="00FD3014"/>
    <w:rsid w:val="00FD34EA"/>
    <w:rsid w:val="00FE3F3E"/>
    <w:rsid w:val="00FE4D52"/>
    <w:rsid w:val="00FE5AEE"/>
    <w:rsid w:val="00FF106B"/>
    <w:rsid w:val="00FF31AB"/>
    <w:rsid w:val="2C85E6D3"/>
    <w:rsid w:val="6EB7A09E"/>
    <w:rsid w:val="703D8ACD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A10B4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31F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n.com/Guidelines/home/GuidelineDetail/64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ydss.mo.gov/mhd/pharmacy-clinical-edits-pd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dss.mo.gov/mhd/pharmacy-clinical-edits-pd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413D02-48B1-4D1B-8B47-F97812E7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992BC-7C11-4A83-A97F-D2E41AE80BFC}">
  <ds:schemaRefs>
    <ds:schemaRef ds:uri="http://schemas.openxmlformats.org/package/2006/metadata/core-properties"/>
    <ds:schemaRef ds:uri="http://purl.org/dc/dcmitype/"/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6900</Characters>
  <Application>Microsoft Office Word</Application>
  <DocSecurity>10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 Sclerosis Agents, Oral PDL Edit</vt:lpstr>
    </vt:vector>
  </TitlesOfParts>
  <Company>DSS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 Agents, Oral PDL Edit</dc:title>
  <dc:creator>DMS</dc:creator>
  <cp:lastModifiedBy>Heriford, Katherine</cp:lastModifiedBy>
  <cp:revision>34</cp:revision>
  <cp:lastPrinted>2018-10-31T20:17:00Z</cp:lastPrinted>
  <dcterms:created xsi:type="dcterms:W3CDTF">2026-06-02T01:31:00Z</dcterms:created>
  <dcterms:modified xsi:type="dcterms:W3CDTF">2026-07-06T22:27:00Z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