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E8EBA3C" w:rsidR="004C5767" w:rsidRPr="00051FD0" w:rsidRDefault="004C5767" w:rsidP="00D27533">
      <w:pPr>
        <w:pStyle w:val="tbody"/>
        <w:rPr>
          <w:b w:val="0"/>
          <w:bCs/>
        </w:rPr>
      </w:pPr>
      <w:r w:rsidRPr="00C02553">
        <w:t>Drug/Drug Class:</w:t>
      </w:r>
      <w:r w:rsidR="003B4820">
        <w:t xml:space="preserve"> </w:t>
      </w:r>
      <w:r w:rsidR="00F91F25" w:rsidRPr="00F91F25">
        <w:rPr>
          <w:b w:val="0"/>
          <w:bCs/>
        </w:rPr>
        <w:t xml:space="preserve">Neurofibromatosis Type 1 Clinical Edit </w:t>
      </w:r>
    </w:p>
    <w:p w14:paraId="7AD7FFCE" w14:textId="7749CFA1" w:rsidR="004C5767" w:rsidRPr="00051FD0" w:rsidRDefault="004C5767" w:rsidP="00D27533">
      <w:pPr>
        <w:pStyle w:val="tbody"/>
        <w:rPr>
          <w:b w:val="0"/>
          <w:bCs/>
        </w:rPr>
      </w:pPr>
      <w:r w:rsidRPr="00C02553">
        <w:t xml:space="preserve">First Implementation Date: </w:t>
      </w:r>
      <w:r w:rsidR="00566A7E" w:rsidRPr="00566A7E">
        <w:rPr>
          <w:b w:val="0"/>
          <w:bCs/>
        </w:rPr>
        <w:t>November 19, 2020</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93B6EE6" w:rsidR="004C5767" w:rsidRPr="00D27533" w:rsidRDefault="004C5767" w:rsidP="00D27533">
      <w:pPr>
        <w:pStyle w:val="tbody"/>
        <w:rPr>
          <w:b w:val="0"/>
          <w:bCs/>
          <w:spacing w:val="-3"/>
        </w:rPr>
      </w:pPr>
      <w:r w:rsidRPr="00C02553">
        <w:t xml:space="preserve">Criteria Status: </w:t>
      </w:r>
      <w:r w:rsidR="00566BE4" w:rsidRPr="0046534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38452EB0" w:rsidR="00D47996" w:rsidRDefault="79EEA449" w:rsidP="00696E3A">
      <w:r>
        <w:t>Ensure appropriate utilization and control of</w:t>
      </w:r>
      <w:r w:rsidR="00D47996">
        <w:t xml:space="preserve"> </w:t>
      </w:r>
      <w:r w:rsidR="00BE252F">
        <w:rPr>
          <w:rFonts w:cs="Arial"/>
        </w:rPr>
        <w:t xml:space="preserve">agents for </w:t>
      </w:r>
      <w:r w:rsidR="00BE252F" w:rsidRPr="001F04FC">
        <w:rPr>
          <w:rFonts w:cs="Arial"/>
        </w:rPr>
        <w:t>Neurofibromatosis Type 1</w:t>
      </w:r>
      <w:r w:rsidR="00BE252F">
        <w:rPr>
          <w:rFonts w:cs="Arial"/>
        </w:rPr>
        <w:t xml:space="preserve"> (NF1).</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AD86A7F" w14:textId="77777777" w:rsidR="00B01F72" w:rsidRPr="00F22CE8" w:rsidRDefault="00B01F72" w:rsidP="00B01F72">
      <w:pPr>
        <w:pStyle w:val="Header"/>
        <w:rPr>
          <w:rFonts w:cs="Arial"/>
          <w:sz w:val="20"/>
        </w:rPr>
      </w:pPr>
      <w:r w:rsidRPr="00F22CE8">
        <w:rPr>
          <w:rFonts w:cs="Arial"/>
          <w:sz w:val="20"/>
        </w:rPr>
        <w:t xml:space="preserve">NF1 is a rare, multisystem disorder, primarily involving the skin and peripheral nervous system, caused by a pathogenic variant in the </w:t>
      </w:r>
      <w:r w:rsidRPr="00CD5AD9">
        <w:rPr>
          <w:rFonts w:cs="Arial"/>
          <w:i/>
          <w:iCs/>
          <w:sz w:val="20"/>
        </w:rPr>
        <w:t>NF1</w:t>
      </w:r>
      <w:r w:rsidRPr="00F22CE8">
        <w:rPr>
          <w:rFonts w:cs="Arial"/>
          <w:sz w:val="20"/>
        </w:rPr>
        <w:t xml:space="preserve"> gene.  Approximately 10,000 to 20,000 children in the United States are estimated to have NF1, or 1 in 2,500 births.  </w:t>
      </w:r>
      <w:r>
        <w:rPr>
          <w:rFonts w:cs="Arial"/>
          <w:sz w:val="20"/>
        </w:rPr>
        <w:t>P</w:t>
      </w:r>
      <w:r w:rsidRPr="005275BC">
        <w:rPr>
          <w:rFonts w:cs="Arial"/>
          <w:sz w:val="20"/>
        </w:rPr>
        <w:t>lexiform neurofibromas (PN)</w:t>
      </w:r>
      <w:r w:rsidRPr="00F22CE8">
        <w:rPr>
          <w:rFonts w:cs="Arial"/>
          <w:sz w:val="20"/>
        </w:rPr>
        <w:t xml:space="preserve"> are benign tumors that grow along the length of a nerve and typically change the color and/or texture of overlying skin.  The tumors can be found in any part of the body and are often difficult to remove due to their intertwining with normal tissues and peripheral nerves. PN are present in approximately 25% to 40% of patients with NF1; however, less than 20% will require any intervention for PN during childhood. </w:t>
      </w:r>
    </w:p>
    <w:p w14:paraId="0B7A80D4" w14:textId="77777777" w:rsidR="00B01F72" w:rsidRPr="00F22CE8" w:rsidRDefault="00B01F72" w:rsidP="00B01F72">
      <w:pPr>
        <w:pStyle w:val="Header"/>
        <w:rPr>
          <w:rFonts w:cs="Arial"/>
          <w:sz w:val="20"/>
        </w:rPr>
      </w:pPr>
    </w:p>
    <w:p w14:paraId="7ACECC9F" w14:textId="2FB70385" w:rsidR="00B56DCC" w:rsidRDefault="00B01F72" w:rsidP="00B01F72">
      <w:pPr>
        <w:rPr>
          <w:rFonts w:cs="Arial"/>
        </w:rPr>
      </w:pPr>
      <w:r w:rsidRPr="00F22CE8">
        <w:rPr>
          <w:rFonts w:cs="Arial"/>
        </w:rPr>
        <w:t>Koselugo</w:t>
      </w:r>
      <w:r w:rsidRPr="00AC0BAF">
        <w:rPr>
          <w:rFonts w:cs="Arial"/>
          <w:vertAlign w:val="superscript"/>
        </w:rPr>
        <w:t>®</w:t>
      </w:r>
      <w:r w:rsidRPr="00F22CE8">
        <w:rPr>
          <w:rFonts w:cs="Arial"/>
        </w:rPr>
        <w:t xml:space="preserve"> </w:t>
      </w:r>
      <w:r>
        <w:rPr>
          <w:rFonts w:cs="Arial"/>
        </w:rPr>
        <w:t>(</w:t>
      </w:r>
      <w:r w:rsidRPr="00F22CE8">
        <w:rPr>
          <w:rFonts w:cs="Arial"/>
        </w:rPr>
        <w:t>FDA approved on April 10, 2020</w:t>
      </w:r>
      <w:r>
        <w:rPr>
          <w:rFonts w:cs="Arial"/>
        </w:rPr>
        <w:t xml:space="preserve">) and </w:t>
      </w:r>
      <w:proofErr w:type="spellStart"/>
      <w:r>
        <w:rPr>
          <w:rFonts w:cs="Arial"/>
        </w:rPr>
        <w:t>Gomekli</w:t>
      </w:r>
      <w:proofErr w:type="spellEnd"/>
      <w:r w:rsidRPr="00AC0BAF">
        <w:rPr>
          <w:rFonts w:cs="Arial"/>
          <w:vertAlign w:val="superscript"/>
        </w:rPr>
        <w:t>™</w:t>
      </w:r>
      <w:r>
        <w:rPr>
          <w:rFonts w:cs="Arial"/>
        </w:rPr>
        <w:t xml:space="preserve"> (FDA approved on </w:t>
      </w:r>
      <w:r w:rsidRPr="00225DAC">
        <w:rPr>
          <w:rFonts w:cs="Arial"/>
        </w:rPr>
        <w:t>February 11, 2025</w:t>
      </w:r>
      <w:r>
        <w:rPr>
          <w:rFonts w:cs="Arial"/>
        </w:rPr>
        <w:t>)</w:t>
      </w:r>
      <w:r w:rsidRPr="00F22CE8">
        <w:rPr>
          <w:rFonts w:cs="Arial"/>
        </w:rPr>
        <w:t xml:space="preserve">, </w:t>
      </w:r>
      <w:r>
        <w:rPr>
          <w:rFonts w:cs="Arial"/>
        </w:rPr>
        <w:t xml:space="preserve">are both indicated to treat individuals with </w:t>
      </w:r>
      <w:r w:rsidRPr="005275BC">
        <w:rPr>
          <w:rFonts w:cs="Arial"/>
        </w:rPr>
        <w:t>NF1 who have symptomatic PN not amenable to complete resection</w:t>
      </w:r>
      <w:r>
        <w:rPr>
          <w:rFonts w:cs="Arial"/>
        </w:rPr>
        <w:t>. Both agents are i</w:t>
      </w:r>
      <w:r w:rsidRPr="00F22CE8">
        <w:rPr>
          <w:rFonts w:cs="Arial"/>
        </w:rPr>
        <w:t>nhibitor</w:t>
      </w:r>
      <w:r>
        <w:rPr>
          <w:rFonts w:cs="Arial"/>
        </w:rPr>
        <w:t>s</w:t>
      </w:r>
      <w:r w:rsidRPr="00F22CE8">
        <w:rPr>
          <w:rFonts w:cs="Arial"/>
        </w:rPr>
        <w:t xml:space="preserve"> of mitogen-activated protein kinase 1 and 2 (MEK1/2)</w:t>
      </w:r>
      <w:r>
        <w:rPr>
          <w:rFonts w:cs="Arial"/>
        </w:rPr>
        <w:t xml:space="preserve"> and share other similarities, including </w:t>
      </w:r>
      <w:r w:rsidRPr="001241AD">
        <w:rPr>
          <w:rFonts w:cs="Arial"/>
        </w:rPr>
        <w:t>route</w:t>
      </w:r>
      <w:r>
        <w:rPr>
          <w:rFonts w:cs="Arial"/>
        </w:rPr>
        <w:t xml:space="preserve"> of administration, </w:t>
      </w:r>
      <w:r w:rsidRPr="001241AD">
        <w:rPr>
          <w:rFonts w:cs="Arial"/>
        </w:rPr>
        <w:t xml:space="preserve">frequency of administration, </w:t>
      </w:r>
      <w:r>
        <w:rPr>
          <w:rFonts w:cs="Arial"/>
        </w:rPr>
        <w:t xml:space="preserve">dosage based on body surface area, </w:t>
      </w:r>
      <w:r w:rsidRPr="001241AD">
        <w:rPr>
          <w:rFonts w:cs="Arial"/>
        </w:rPr>
        <w:t xml:space="preserve">capsule formulation, and </w:t>
      </w:r>
      <w:r>
        <w:rPr>
          <w:rFonts w:cs="Arial"/>
        </w:rPr>
        <w:t xml:space="preserve">adverse effect profile. </w:t>
      </w:r>
      <w:r w:rsidRPr="00F22CE8">
        <w:rPr>
          <w:rFonts w:cs="Arial"/>
        </w:rPr>
        <w:t xml:space="preserve">Due to the </w:t>
      </w:r>
      <w:r w:rsidRPr="00AC0BAF">
        <w:rPr>
          <w:rFonts w:cs="Arial"/>
        </w:rPr>
        <w:t>high cost, possible adverse events, and specific approved indication</w:t>
      </w:r>
      <w:r w:rsidRPr="00F22CE8">
        <w:rPr>
          <w:rFonts w:cs="Arial"/>
        </w:rPr>
        <w:t xml:space="preserve">, MO HealthNet will impose clinical criteria to ensure appropriate utilization of </w:t>
      </w:r>
      <w:r w:rsidRPr="00AC0BAF">
        <w:rPr>
          <w:rFonts w:cs="Arial"/>
        </w:rPr>
        <w:t xml:space="preserve">agents </w:t>
      </w:r>
      <w:r>
        <w:rPr>
          <w:rFonts w:cs="Arial"/>
        </w:rPr>
        <w:t>for</w:t>
      </w:r>
      <w:r w:rsidRPr="00AC0BAF">
        <w:rPr>
          <w:rFonts w:cs="Arial"/>
        </w:rPr>
        <w:t xml:space="preserve"> Neurofibromatosis Type 1 (NF1).</w:t>
      </w:r>
    </w:p>
    <w:p w14:paraId="020CCCF8" w14:textId="77777777" w:rsidR="00B01F72" w:rsidRDefault="00B01F72" w:rsidP="00B01F72"/>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900" w:type="dxa"/>
        <w:tblInd w:w="-365" w:type="dxa"/>
        <w:tblLayout w:type="fixed"/>
        <w:tblLook w:val="04A0" w:firstRow="1" w:lastRow="0" w:firstColumn="1" w:lastColumn="0" w:noHBand="0" w:noVBand="1"/>
      </w:tblPr>
      <w:tblGrid>
        <w:gridCol w:w="3780"/>
        <w:gridCol w:w="1568"/>
        <w:gridCol w:w="1112"/>
        <w:gridCol w:w="1556"/>
        <w:gridCol w:w="1884"/>
      </w:tblGrid>
      <w:tr w:rsidR="00C842A7" w:rsidRPr="00BC1619" w14:paraId="77F746A4" w14:textId="77777777" w:rsidTr="000F6911">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14C7B6E" w14:textId="77777777" w:rsidR="00C842A7" w:rsidRPr="00BC1619" w:rsidRDefault="00C842A7" w:rsidP="00353759">
            <w:pPr>
              <w:rPr>
                <w:rFonts w:cs="Arial"/>
                <w:caps/>
                <w:spacing w:val="-3"/>
                <w:szCs w:val="20"/>
              </w:rPr>
            </w:pPr>
            <w:r w:rsidRPr="00BC1619">
              <w:rPr>
                <w:rFonts w:cs="Arial"/>
                <w:b/>
                <w:spacing w:val="-3"/>
                <w:szCs w:val="20"/>
              </w:rPr>
              <w:t>Drug</w:t>
            </w:r>
          </w:p>
        </w:tc>
        <w:tc>
          <w:tcPr>
            <w:tcW w:w="15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E27F750" w14:textId="77777777" w:rsidR="00C842A7" w:rsidRPr="00BC1619" w:rsidRDefault="00C842A7" w:rsidP="00353759">
            <w:pPr>
              <w:jc w:val="center"/>
              <w:rPr>
                <w:rFonts w:cs="Arial"/>
                <w:caps/>
                <w:spacing w:val="-3"/>
                <w:szCs w:val="20"/>
              </w:rPr>
            </w:pPr>
            <w:r w:rsidRPr="00BC1619">
              <w:rPr>
                <w:rFonts w:cs="Arial"/>
                <w:b/>
                <w:spacing w:val="-3"/>
                <w:szCs w:val="20"/>
              </w:rPr>
              <w:t>Participants</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E47956C" w14:textId="77777777" w:rsidR="00C842A7" w:rsidRPr="00BC1619" w:rsidRDefault="00C842A7" w:rsidP="00353759">
            <w:pPr>
              <w:jc w:val="center"/>
              <w:rPr>
                <w:rFonts w:cs="Arial"/>
                <w:bCs/>
                <w:spacing w:val="-3"/>
                <w:szCs w:val="20"/>
              </w:rPr>
            </w:pPr>
            <w:r w:rsidRPr="00BC1619">
              <w:rPr>
                <w:rFonts w:cs="Arial"/>
                <w:b/>
                <w:spacing w:val="-3"/>
                <w:szCs w:val="20"/>
              </w:rPr>
              <w:t>Claims</w:t>
            </w:r>
          </w:p>
        </w:tc>
        <w:tc>
          <w:tcPr>
            <w:tcW w:w="155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B3C3683" w14:textId="7BDD7F88" w:rsidR="00C842A7" w:rsidRPr="00A50536" w:rsidRDefault="00A52B5E" w:rsidP="00353759">
            <w:pPr>
              <w:pStyle w:val="Default"/>
              <w:jc w:val="center"/>
              <w:rPr>
                <w:rFonts w:ascii="Arial" w:hAnsi="Arial" w:cs="Arial"/>
                <w:b/>
                <w:spacing w:val="-3"/>
                <w:sz w:val="20"/>
                <w:szCs w:val="20"/>
              </w:rPr>
            </w:pPr>
            <w:r>
              <w:rPr>
                <w:rFonts w:ascii="Arial" w:hAnsi="Arial" w:cs="Arial"/>
                <w:b/>
                <w:spacing w:val="-3"/>
                <w:sz w:val="20"/>
                <w:szCs w:val="20"/>
              </w:rPr>
              <w:t>Spend</w:t>
            </w:r>
          </w:p>
        </w:tc>
        <w:tc>
          <w:tcPr>
            <w:tcW w:w="188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004171B" w14:textId="7BA23CD0" w:rsidR="00C842A7" w:rsidRPr="00BC1619" w:rsidRDefault="00A52B5E" w:rsidP="00353759">
            <w:pPr>
              <w:pStyle w:val="Default"/>
              <w:jc w:val="center"/>
              <w:rPr>
                <w:rFonts w:ascii="Arial" w:hAnsi="Arial" w:cs="Arial"/>
                <w:sz w:val="20"/>
                <w:szCs w:val="20"/>
              </w:rPr>
            </w:pPr>
            <w:r>
              <w:rPr>
                <w:rFonts w:ascii="Arial" w:hAnsi="Arial" w:cs="Arial"/>
                <w:b/>
                <w:bCs/>
                <w:sz w:val="20"/>
                <w:szCs w:val="20"/>
              </w:rPr>
              <w:t>Avg Spend Per Claim</w:t>
            </w:r>
          </w:p>
        </w:tc>
      </w:tr>
      <w:tr w:rsidR="00707F8E" w:rsidRPr="00BC1619" w14:paraId="18BDBFCF" w14:textId="77777777" w:rsidTr="00A52B5E">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5B9E9CA2" w14:textId="309027D8" w:rsidR="00707F8E" w:rsidRPr="00BC1619" w:rsidRDefault="00707F8E" w:rsidP="00707F8E">
            <w:pPr>
              <w:rPr>
                <w:rFonts w:cs="Arial"/>
                <w:b/>
                <w:spacing w:val="-3"/>
                <w:szCs w:val="20"/>
              </w:rPr>
            </w:pPr>
            <w:r>
              <w:rPr>
                <w:rFonts w:cs="Arial"/>
                <w:szCs w:val="20"/>
              </w:rPr>
              <w:t>GOMEKLI 1 MG CAPSULE</w:t>
            </w:r>
          </w:p>
        </w:tc>
        <w:tc>
          <w:tcPr>
            <w:tcW w:w="1568" w:type="dxa"/>
            <w:tcBorders>
              <w:top w:val="single" w:sz="4" w:space="0" w:color="auto"/>
              <w:left w:val="single" w:sz="4" w:space="0" w:color="auto"/>
              <w:bottom w:val="single" w:sz="4" w:space="0" w:color="auto"/>
              <w:right w:val="single" w:sz="4" w:space="0" w:color="auto"/>
            </w:tcBorders>
            <w:vAlign w:val="center"/>
          </w:tcPr>
          <w:p w14:paraId="6EEBDE4C" w14:textId="24F94DF4" w:rsidR="00707F8E" w:rsidRPr="005A7B27" w:rsidRDefault="00062C9F" w:rsidP="00707F8E">
            <w:pPr>
              <w:jc w:val="center"/>
              <w:rPr>
                <w:rFonts w:cs="Arial"/>
                <w:bCs/>
                <w:spacing w:val="-3"/>
                <w:szCs w:val="20"/>
              </w:rPr>
            </w:pPr>
            <w:r>
              <w:rPr>
                <w:rFonts w:cs="Arial"/>
                <w:bCs/>
                <w:spacing w:val="-3"/>
                <w:szCs w:val="20"/>
              </w:rPr>
              <w:t>-</w:t>
            </w:r>
          </w:p>
        </w:tc>
        <w:tc>
          <w:tcPr>
            <w:tcW w:w="1112" w:type="dxa"/>
            <w:tcBorders>
              <w:top w:val="single" w:sz="4" w:space="0" w:color="auto"/>
              <w:left w:val="single" w:sz="4" w:space="0" w:color="auto"/>
              <w:bottom w:val="single" w:sz="4" w:space="0" w:color="auto"/>
              <w:right w:val="single" w:sz="4" w:space="0" w:color="auto"/>
            </w:tcBorders>
            <w:vAlign w:val="center"/>
          </w:tcPr>
          <w:p w14:paraId="69BBF594" w14:textId="6DB82987" w:rsidR="00707F8E" w:rsidRPr="00923527" w:rsidRDefault="00A52B5E" w:rsidP="00707F8E">
            <w:pPr>
              <w:jc w:val="center"/>
              <w:rPr>
                <w:rFonts w:cs="Arial"/>
                <w:b/>
                <w:spacing w:val="-3"/>
                <w:szCs w:val="20"/>
              </w:rPr>
            </w:pPr>
            <w:r>
              <w:rPr>
                <w:rFonts w:cs="Arial"/>
                <w:szCs w:val="20"/>
              </w:rPr>
              <w:t>0</w:t>
            </w:r>
          </w:p>
        </w:tc>
        <w:tc>
          <w:tcPr>
            <w:tcW w:w="1556" w:type="dxa"/>
            <w:tcBorders>
              <w:top w:val="single" w:sz="4" w:space="0" w:color="auto"/>
              <w:left w:val="single" w:sz="4" w:space="0" w:color="auto"/>
              <w:bottom w:val="single" w:sz="4" w:space="0" w:color="auto"/>
              <w:right w:val="single" w:sz="4" w:space="0" w:color="auto"/>
            </w:tcBorders>
            <w:vAlign w:val="center"/>
          </w:tcPr>
          <w:p w14:paraId="6AC9253A" w14:textId="4BD1943F" w:rsidR="00707F8E" w:rsidRPr="00923527" w:rsidRDefault="00A52B5E" w:rsidP="00707F8E">
            <w:pPr>
              <w:pStyle w:val="Default"/>
              <w:jc w:val="center"/>
              <w:rPr>
                <w:rFonts w:ascii="Arial" w:hAnsi="Arial" w:cs="Arial"/>
                <w:b/>
                <w:spacing w:val="-3"/>
                <w:sz w:val="20"/>
                <w:szCs w:val="20"/>
              </w:rPr>
            </w:pPr>
            <w:r>
              <w:rPr>
                <w:rFonts w:ascii="Arial" w:hAnsi="Arial" w:cs="Arial"/>
                <w:sz w:val="20"/>
                <w:szCs w:val="20"/>
              </w:rPr>
              <w:t>-</w:t>
            </w:r>
          </w:p>
        </w:tc>
        <w:tc>
          <w:tcPr>
            <w:tcW w:w="1884" w:type="dxa"/>
            <w:tcBorders>
              <w:top w:val="single" w:sz="4" w:space="0" w:color="auto"/>
              <w:left w:val="single" w:sz="4" w:space="0" w:color="auto"/>
              <w:bottom w:val="single" w:sz="4" w:space="0" w:color="auto"/>
              <w:right w:val="single" w:sz="4" w:space="0" w:color="auto"/>
            </w:tcBorders>
            <w:vAlign w:val="center"/>
          </w:tcPr>
          <w:p w14:paraId="41A60294" w14:textId="6DF7F3C9" w:rsidR="00707F8E" w:rsidRPr="00923527" w:rsidRDefault="00A52B5E" w:rsidP="00707F8E">
            <w:pPr>
              <w:pStyle w:val="Default"/>
              <w:jc w:val="center"/>
              <w:rPr>
                <w:rFonts w:ascii="Arial" w:hAnsi="Arial" w:cs="Arial"/>
                <w:b/>
                <w:bCs/>
                <w:sz w:val="20"/>
                <w:szCs w:val="20"/>
              </w:rPr>
            </w:pPr>
            <w:r>
              <w:rPr>
                <w:rFonts w:ascii="Arial" w:hAnsi="Arial" w:cs="Arial"/>
                <w:sz w:val="20"/>
                <w:szCs w:val="20"/>
              </w:rPr>
              <w:t>-</w:t>
            </w:r>
          </w:p>
        </w:tc>
      </w:tr>
      <w:tr w:rsidR="00707F8E" w:rsidRPr="00BC1619" w14:paraId="64744893" w14:textId="77777777" w:rsidTr="00A52B5E">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265F5D95" w14:textId="255549AF" w:rsidR="00707F8E" w:rsidRPr="00BC1619" w:rsidRDefault="00707F8E" w:rsidP="00707F8E">
            <w:pPr>
              <w:rPr>
                <w:rFonts w:cs="Arial"/>
                <w:b/>
                <w:spacing w:val="-3"/>
                <w:szCs w:val="20"/>
              </w:rPr>
            </w:pPr>
            <w:r>
              <w:rPr>
                <w:rFonts w:cs="Arial"/>
                <w:szCs w:val="20"/>
              </w:rPr>
              <w:t>GOMEKLI 1 MG TAB SUSP</w:t>
            </w:r>
          </w:p>
        </w:tc>
        <w:tc>
          <w:tcPr>
            <w:tcW w:w="1568" w:type="dxa"/>
            <w:tcBorders>
              <w:top w:val="single" w:sz="4" w:space="0" w:color="auto"/>
              <w:left w:val="single" w:sz="4" w:space="0" w:color="auto"/>
              <w:bottom w:val="single" w:sz="4" w:space="0" w:color="auto"/>
              <w:right w:val="single" w:sz="4" w:space="0" w:color="auto"/>
            </w:tcBorders>
            <w:vAlign w:val="center"/>
          </w:tcPr>
          <w:p w14:paraId="3395E4C3" w14:textId="54CAEEE4" w:rsidR="00707F8E" w:rsidRPr="005A7B27" w:rsidRDefault="00062C9F" w:rsidP="00707F8E">
            <w:pPr>
              <w:jc w:val="center"/>
              <w:rPr>
                <w:rFonts w:cs="Arial"/>
                <w:bCs/>
                <w:spacing w:val="-3"/>
                <w:szCs w:val="20"/>
              </w:rPr>
            </w:pPr>
            <w:r>
              <w:rPr>
                <w:rFonts w:cs="Arial"/>
                <w:bCs/>
                <w:spacing w:val="-3"/>
                <w:szCs w:val="20"/>
              </w:rPr>
              <w:t>-</w:t>
            </w:r>
          </w:p>
        </w:tc>
        <w:tc>
          <w:tcPr>
            <w:tcW w:w="1112" w:type="dxa"/>
            <w:tcBorders>
              <w:top w:val="single" w:sz="4" w:space="0" w:color="auto"/>
              <w:left w:val="single" w:sz="4" w:space="0" w:color="auto"/>
              <w:bottom w:val="single" w:sz="4" w:space="0" w:color="auto"/>
              <w:right w:val="single" w:sz="4" w:space="0" w:color="auto"/>
            </w:tcBorders>
            <w:vAlign w:val="center"/>
          </w:tcPr>
          <w:p w14:paraId="1875D932" w14:textId="15B6FA6F" w:rsidR="00707F8E" w:rsidRPr="00923527" w:rsidRDefault="00A52B5E" w:rsidP="00707F8E">
            <w:pPr>
              <w:jc w:val="center"/>
              <w:rPr>
                <w:rFonts w:cs="Arial"/>
                <w:b/>
                <w:spacing w:val="-3"/>
                <w:szCs w:val="20"/>
              </w:rPr>
            </w:pPr>
            <w:r>
              <w:rPr>
                <w:rFonts w:cs="Arial"/>
                <w:szCs w:val="20"/>
              </w:rPr>
              <w:t>0</w:t>
            </w:r>
          </w:p>
        </w:tc>
        <w:tc>
          <w:tcPr>
            <w:tcW w:w="1556" w:type="dxa"/>
            <w:tcBorders>
              <w:top w:val="single" w:sz="4" w:space="0" w:color="auto"/>
              <w:left w:val="single" w:sz="4" w:space="0" w:color="auto"/>
              <w:bottom w:val="single" w:sz="4" w:space="0" w:color="auto"/>
              <w:right w:val="single" w:sz="4" w:space="0" w:color="auto"/>
            </w:tcBorders>
            <w:vAlign w:val="center"/>
          </w:tcPr>
          <w:p w14:paraId="7C1A0A28" w14:textId="089C8FC3" w:rsidR="00707F8E" w:rsidRPr="00923527" w:rsidRDefault="00A52B5E" w:rsidP="00707F8E">
            <w:pPr>
              <w:pStyle w:val="Default"/>
              <w:jc w:val="center"/>
              <w:rPr>
                <w:rFonts w:ascii="Arial" w:hAnsi="Arial" w:cs="Arial"/>
                <w:b/>
                <w:spacing w:val="-3"/>
                <w:sz w:val="20"/>
                <w:szCs w:val="20"/>
              </w:rPr>
            </w:pPr>
            <w:r>
              <w:rPr>
                <w:rFonts w:ascii="Arial" w:hAnsi="Arial" w:cs="Arial"/>
                <w:sz w:val="20"/>
                <w:szCs w:val="20"/>
              </w:rPr>
              <w:t>-</w:t>
            </w:r>
          </w:p>
        </w:tc>
        <w:tc>
          <w:tcPr>
            <w:tcW w:w="1884" w:type="dxa"/>
            <w:tcBorders>
              <w:top w:val="single" w:sz="4" w:space="0" w:color="auto"/>
              <w:left w:val="single" w:sz="4" w:space="0" w:color="auto"/>
              <w:bottom w:val="single" w:sz="4" w:space="0" w:color="auto"/>
              <w:right w:val="single" w:sz="4" w:space="0" w:color="auto"/>
            </w:tcBorders>
            <w:vAlign w:val="center"/>
          </w:tcPr>
          <w:p w14:paraId="0E04AD2D" w14:textId="5C504F84" w:rsidR="00707F8E" w:rsidRPr="00A52B5E" w:rsidRDefault="00A52B5E" w:rsidP="00707F8E">
            <w:pPr>
              <w:pStyle w:val="Default"/>
              <w:jc w:val="center"/>
              <w:rPr>
                <w:rFonts w:ascii="Arial" w:hAnsi="Arial" w:cs="Arial"/>
                <w:sz w:val="20"/>
                <w:szCs w:val="20"/>
              </w:rPr>
            </w:pPr>
            <w:r w:rsidRPr="00A52B5E">
              <w:rPr>
                <w:rFonts w:ascii="Arial" w:hAnsi="Arial" w:cs="Arial"/>
                <w:sz w:val="20"/>
                <w:szCs w:val="20"/>
              </w:rPr>
              <w:t>-</w:t>
            </w:r>
          </w:p>
        </w:tc>
      </w:tr>
      <w:tr w:rsidR="008D2A05" w:rsidRPr="00BC1619" w14:paraId="17E91555" w14:textId="77777777" w:rsidTr="00113AA0">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0F2A4238" w14:textId="53F88B9A" w:rsidR="008D2A05" w:rsidRPr="00BC1619" w:rsidRDefault="008D2A05" w:rsidP="008D2A05">
            <w:pPr>
              <w:rPr>
                <w:rFonts w:cs="Arial"/>
                <w:b/>
                <w:spacing w:val="-3"/>
                <w:szCs w:val="20"/>
              </w:rPr>
            </w:pPr>
            <w:r>
              <w:rPr>
                <w:rFonts w:cs="Arial"/>
                <w:szCs w:val="20"/>
              </w:rPr>
              <w:t>GOMEKLI 2 MG CAPSULE</w:t>
            </w:r>
          </w:p>
        </w:tc>
        <w:tc>
          <w:tcPr>
            <w:tcW w:w="1568" w:type="dxa"/>
            <w:tcBorders>
              <w:top w:val="single" w:sz="4" w:space="0" w:color="auto"/>
              <w:left w:val="single" w:sz="4" w:space="0" w:color="auto"/>
              <w:bottom w:val="single" w:sz="4" w:space="0" w:color="auto"/>
              <w:right w:val="single" w:sz="4" w:space="0" w:color="auto"/>
            </w:tcBorders>
            <w:vAlign w:val="center"/>
          </w:tcPr>
          <w:p w14:paraId="633B2A05" w14:textId="5F141344" w:rsidR="008D2A05" w:rsidRPr="005A7B27" w:rsidRDefault="00113AA0" w:rsidP="008D2A05">
            <w:pPr>
              <w:jc w:val="center"/>
              <w:rPr>
                <w:rFonts w:cs="Arial"/>
                <w:bCs/>
                <w:spacing w:val="-3"/>
                <w:szCs w:val="20"/>
              </w:rPr>
            </w:pPr>
            <w:r w:rsidRPr="005A7B27">
              <w:rPr>
                <w:rFonts w:cs="Arial"/>
                <w:bCs/>
                <w:spacing w:val="-3"/>
                <w:szCs w:val="20"/>
              </w:rPr>
              <w:t>3</w:t>
            </w:r>
          </w:p>
        </w:tc>
        <w:tc>
          <w:tcPr>
            <w:tcW w:w="1112" w:type="dxa"/>
            <w:tcBorders>
              <w:top w:val="single" w:sz="4" w:space="0" w:color="auto"/>
              <w:left w:val="single" w:sz="4" w:space="0" w:color="auto"/>
              <w:bottom w:val="single" w:sz="4" w:space="0" w:color="auto"/>
              <w:right w:val="single" w:sz="4" w:space="0" w:color="auto"/>
            </w:tcBorders>
            <w:vAlign w:val="bottom"/>
          </w:tcPr>
          <w:p w14:paraId="6FC7ED30" w14:textId="142BCEA9" w:rsidR="008D2A05" w:rsidRPr="00923527" w:rsidRDefault="008D2A05" w:rsidP="008D2A05">
            <w:pPr>
              <w:jc w:val="center"/>
              <w:rPr>
                <w:rFonts w:cs="Arial"/>
                <w:b/>
                <w:spacing w:val="-3"/>
                <w:szCs w:val="20"/>
              </w:rPr>
            </w:pPr>
            <w:r>
              <w:rPr>
                <w:rFonts w:cs="Arial"/>
                <w:szCs w:val="20"/>
              </w:rPr>
              <w:t>9</w:t>
            </w:r>
          </w:p>
        </w:tc>
        <w:tc>
          <w:tcPr>
            <w:tcW w:w="1556" w:type="dxa"/>
            <w:tcBorders>
              <w:top w:val="single" w:sz="4" w:space="0" w:color="auto"/>
              <w:left w:val="single" w:sz="4" w:space="0" w:color="auto"/>
              <w:bottom w:val="single" w:sz="4" w:space="0" w:color="auto"/>
              <w:right w:val="single" w:sz="4" w:space="0" w:color="auto"/>
            </w:tcBorders>
            <w:vAlign w:val="bottom"/>
          </w:tcPr>
          <w:p w14:paraId="63E32F70" w14:textId="7E964F13" w:rsidR="008D2A05" w:rsidRPr="00923527" w:rsidRDefault="008D2A05" w:rsidP="008D2A05">
            <w:pPr>
              <w:pStyle w:val="Default"/>
              <w:jc w:val="center"/>
              <w:rPr>
                <w:rFonts w:ascii="Arial" w:hAnsi="Arial" w:cs="Arial"/>
                <w:b/>
                <w:spacing w:val="-3"/>
                <w:sz w:val="20"/>
                <w:szCs w:val="20"/>
              </w:rPr>
            </w:pPr>
            <w:r>
              <w:rPr>
                <w:rFonts w:ascii="Arial" w:hAnsi="Arial" w:cs="Arial"/>
                <w:sz w:val="20"/>
                <w:szCs w:val="20"/>
              </w:rPr>
              <w:t>$284,243.21</w:t>
            </w:r>
          </w:p>
        </w:tc>
        <w:tc>
          <w:tcPr>
            <w:tcW w:w="1884" w:type="dxa"/>
            <w:tcBorders>
              <w:top w:val="single" w:sz="4" w:space="0" w:color="auto"/>
              <w:left w:val="single" w:sz="4" w:space="0" w:color="auto"/>
              <w:bottom w:val="single" w:sz="4" w:space="0" w:color="auto"/>
              <w:right w:val="single" w:sz="4" w:space="0" w:color="auto"/>
            </w:tcBorders>
            <w:vAlign w:val="bottom"/>
          </w:tcPr>
          <w:p w14:paraId="1D9FD633" w14:textId="67648150" w:rsidR="008D2A05" w:rsidRPr="00923527" w:rsidRDefault="008D2A05" w:rsidP="008D2A05">
            <w:pPr>
              <w:pStyle w:val="Default"/>
              <w:jc w:val="center"/>
              <w:rPr>
                <w:rFonts w:ascii="Arial" w:hAnsi="Arial" w:cs="Arial"/>
                <w:b/>
                <w:bCs/>
                <w:sz w:val="20"/>
                <w:szCs w:val="20"/>
              </w:rPr>
            </w:pPr>
            <w:r>
              <w:rPr>
                <w:rFonts w:ascii="Arial" w:hAnsi="Arial" w:cs="Arial"/>
                <w:sz w:val="20"/>
                <w:szCs w:val="20"/>
              </w:rPr>
              <w:t>$31,582.58</w:t>
            </w:r>
          </w:p>
        </w:tc>
      </w:tr>
      <w:tr w:rsidR="006E7742" w:rsidRPr="00BC1619" w14:paraId="4A46FCB2" w14:textId="77777777" w:rsidTr="005A7B27">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63E41732" w14:textId="0110624C" w:rsidR="006E7742" w:rsidRPr="00BC1619" w:rsidRDefault="006E7742" w:rsidP="006E7742">
            <w:pPr>
              <w:rPr>
                <w:rFonts w:cs="Arial"/>
                <w:b/>
                <w:spacing w:val="-3"/>
                <w:szCs w:val="20"/>
              </w:rPr>
            </w:pPr>
            <w:r w:rsidRPr="00C76B17">
              <w:rPr>
                <w:rFonts w:cs="Arial"/>
                <w:caps/>
                <w:spacing w:val="-3"/>
                <w:szCs w:val="20"/>
              </w:rPr>
              <w:t>Koselugo 10 mg capsule</w:t>
            </w:r>
          </w:p>
        </w:tc>
        <w:tc>
          <w:tcPr>
            <w:tcW w:w="1568" w:type="dxa"/>
            <w:tcBorders>
              <w:top w:val="single" w:sz="4" w:space="0" w:color="auto"/>
              <w:left w:val="single" w:sz="4" w:space="0" w:color="auto"/>
              <w:bottom w:val="single" w:sz="4" w:space="0" w:color="auto"/>
              <w:right w:val="single" w:sz="4" w:space="0" w:color="auto"/>
            </w:tcBorders>
            <w:vAlign w:val="center"/>
          </w:tcPr>
          <w:p w14:paraId="405AD7A5" w14:textId="4BDE01C9" w:rsidR="006E7742" w:rsidRPr="005A7B27" w:rsidRDefault="005A7B27" w:rsidP="006E7742">
            <w:pPr>
              <w:jc w:val="center"/>
              <w:rPr>
                <w:rFonts w:cs="Arial"/>
                <w:bCs/>
                <w:spacing w:val="-3"/>
                <w:szCs w:val="20"/>
              </w:rPr>
            </w:pPr>
            <w:r w:rsidRPr="005A7B27">
              <w:rPr>
                <w:rFonts w:cs="Arial"/>
                <w:bCs/>
                <w:spacing w:val="-3"/>
                <w:szCs w:val="20"/>
              </w:rPr>
              <w:t>8</w:t>
            </w:r>
          </w:p>
        </w:tc>
        <w:tc>
          <w:tcPr>
            <w:tcW w:w="1112" w:type="dxa"/>
            <w:tcBorders>
              <w:top w:val="single" w:sz="4" w:space="0" w:color="auto"/>
              <w:left w:val="single" w:sz="4" w:space="0" w:color="auto"/>
              <w:bottom w:val="single" w:sz="4" w:space="0" w:color="auto"/>
              <w:right w:val="single" w:sz="4" w:space="0" w:color="auto"/>
            </w:tcBorders>
            <w:vAlign w:val="bottom"/>
          </w:tcPr>
          <w:p w14:paraId="780F9FCB" w14:textId="130BE7FC" w:rsidR="006E7742" w:rsidRPr="00923527" w:rsidRDefault="006E7742" w:rsidP="006E7742">
            <w:pPr>
              <w:jc w:val="center"/>
              <w:rPr>
                <w:rFonts w:cs="Arial"/>
                <w:b/>
                <w:spacing w:val="-3"/>
                <w:szCs w:val="20"/>
              </w:rPr>
            </w:pPr>
            <w:r>
              <w:rPr>
                <w:rFonts w:cs="Arial"/>
                <w:szCs w:val="20"/>
              </w:rPr>
              <w:t>38</w:t>
            </w:r>
          </w:p>
        </w:tc>
        <w:tc>
          <w:tcPr>
            <w:tcW w:w="1556" w:type="dxa"/>
            <w:tcBorders>
              <w:top w:val="single" w:sz="4" w:space="0" w:color="auto"/>
              <w:left w:val="single" w:sz="4" w:space="0" w:color="auto"/>
              <w:bottom w:val="single" w:sz="4" w:space="0" w:color="auto"/>
              <w:right w:val="single" w:sz="4" w:space="0" w:color="auto"/>
            </w:tcBorders>
            <w:vAlign w:val="bottom"/>
          </w:tcPr>
          <w:p w14:paraId="0A721A32" w14:textId="14BBE624" w:rsidR="006E7742" w:rsidRPr="00923527" w:rsidRDefault="006E7742" w:rsidP="006E7742">
            <w:pPr>
              <w:pStyle w:val="Default"/>
              <w:jc w:val="center"/>
              <w:rPr>
                <w:rFonts w:ascii="Arial" w:hAnsi="Arial" w:cs="Arial"/>
                <w:b/>
                <w:spacing w:val="-3"/>
                <w:sz w:val="20"/>
                <w:szCs w:val="20"/>
              </w:rPr>
            </w:pPr>
            <w:r>
              <w:rPr>
                <w:rFonts w:ascii="Arial" w:hAnsi="Arial" w:cs="Arial"/>
                <w:sz w:val="20"/>
                <w:szCs w:val="20"/>
              </w:rPr>
              <w:t>$398,346.63</w:t>
            </w:r>
          </w:p>
        </w:tc>
        <w:tc>
          <w:tcPr>
            <w:tcW w:w="1884" w:type="dxa"/>
            <w:tcBorders>
              <w:top w:val="single" w:sz="4" w:space="0" w:color="auto"/>
              <w:left w:val="single" w:sz="4" w:space="0" w:color="auto"/>
              <w:bottom w:val="single" w:sz="4" w:space="0" w:color="auto"/>
              <w:right w:val="single" w:sz="4" w:space="0" w:color="auto"/>
            </w:tcBorders>
            <w:vAlign w:val="bottom"/>
          </w:tcPr>
          <w:p w14:paraId="5663B5EC" w14:textId="3E82BA41" w:rsidR="006E7742" w:rsidRPr="00923527" w:rsidRDefault="006E7742" w:rsidP="006E7742">
            <w:pPr>
              <w:pStyle w:val="Default"/>
              <w:jc w:val="center"/>
              <w:rPr>
                <w:rFonts w:ascii="Arial" w:hAnsi="Arial" w:cs="Arial"/>
                <w:b/>
                <w:bCs/>
                <w:sz w:val="20"/>
                <w:szCs w:val="20"/>
              </w:rPr>
            </w:pPr>
            <w:r>
              <w:rPr>
                <w:rFonts w:ascii="Arial" w:hAnsi="Arial" w:cs="Arial"/>
                <w:sz w:val="20"/>
                <w:szCs w:val="20"/>
              </w:rPr>
              <w:t>$10,482.81</w:t>
            </w:r>
          </w:p>
        </w:tc>
      </w:tr>
      <w:tr w:rsidR="006E7742" w:rsidRPr="00BC1619" w14:paraId="6C7991EA" w14:textId="77777777" w:rsidTr="00162E0B">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508D0718" w14:textId="6C97BECB" w:rsidR="006E7742" w:rsidRPr="00BC1619" w:rsidRDefault="006E7742" w:rsidP="006E7742">
            <w:pPr>
              <w:rPr>
                <w:rFonts w:cs="Arial"/>
                <w:b/>
                <w:spacing w:val="-3"/>
                <w:szCs w:val="20"/>
              </w:rPr>
            </w:pPr>
            <w:r w:rsidRPr="00C76B17">
              <w:rPr>
                <w:rFonts w:cs="Arial"/>
                <w:caps/>
                <w:spacing w:val="-3"/>
                <w:szCs w:val="20"/>
              </w:rPr>
              <w:t>Koselugo 25 mg capsule</w:t>
            </w:r>
          </w:p>
        </w:tc>
        <w:tc>
          <w:tcPr>
            <w:tcW w:w="1568" w:type="dxa"/>
            <w:tcBorders>
              <w:top w:val="single" w:sz="4" w:space="0" w:color="auto"/>
              <w:left w:val="single" w:sz="4" w:space="0" w:color="auto"/>
              <w:bottom w:val="single" w:sz="4" w:space="0" w:color="auto"/>
              <w:right w:val="single" w:sz="4" w:space="0" w:color="auto"/>
            </w:tcBorders>
            <w:vAlign w:val="center"/>
          </w:tcPr>
          <w:p w14:paraId="4D56153C" w14:textId="1DA04463" w:rsidR="006E7742" w:rsidRPr="005A7B27" w:rsidRDefault="00162E0B" w:rsidP="006E7742">
            <w:pPr>
              <w:jc w:val="center"/>
              <w:rPr>
                <w:rFonts w:cs="Arial"/>
                <w:bCs/>
                <w:spacing w:val="-3"/>
                <w:szCs w:val="20"/>
              </w:rPr>
            </w:pPr>
            <w:r w:rsidRPr="005A7B27">
              <w:rPr>
                <w:rFonts w:cs="Arial"/>
                <w:bCs/>
                <w:spacing w:val="-3"/>
                <w:szCs w:val="20"/>
              </w:rPr>
              <w:t>8</w:t>
            </w:r>
          </w:p>
        </w:tc>
        <w:tc>
          <w:tcPr>
            <w:tcW w:w="1112" w:type="dxa"/>
            <w:tcBorders>
              <w:top w:val="single" w:sz="4" w:space="0" w:color="auto"/>
              <w:left w:val="single" w:sz="4" w:space="0" w:color="auto"/>
              <w:bottom w:val="single" w:sz="4" w:space="0" w:color="auto"/>
              <w:right w:val="single" w:sz="4" w:space="0" w:color="auto"/>
            </w:tcBorders>
            <w:vAlign w:val="bottom"/>
          </w:tcPr>
          <w:p w14:paraId="7A797FC0" w14:textId="1ADDA521" w:rsidR="006E7742" w:rsidRPr="00923527" w:rsidRDefault="006E7742" w:rsidP="006E7742">
            <w:pPr>
              <w:jc w:val="center"/>
              <w:rPr>
                <w:rFonts w:cs="Arial"/>
                <w:b/>
                <w:spacing w:val="-3"/>
                <w:szCs w:val="20"/>
              </w:rPr>
            </w:pPr>
            <w:r>
              <w:rPr>
                <w:rFonts w:cs="Arial"/>
                <w:szCs w:val="20"/>
              </w:rPr>
              <w:t>46</w:t>
            </w:r>
          </w:p>
        </w:tc>
        <w:tc>
          <w:tcPr>
            <w:tcW w:w="1556" w:type="dxa"/>
            <w:tcBorders>
              <w:top w:val="single" w:sz="4" w:space="0" w:color="auto"/>
              <w:left w:val="single" w:sz="4" w:space="0" w:color="auto"/>
              <w:bottom w:val="single" w:sz="4" w:space="0" w:color="auto"/>
              <w:right w:val="single" w:sz="4" w:space="0" w:color="auto"/>
            </w:tcBorders>
            <w:vAlign w:val="bottom"/>
          </w:tcPr>
          <w:p w14:paraId="2226EA9A" w14:textId="6789461F" w:rsidR="006E7742" w:rsidRPr="00923527" w:rsidRDefault="006E7742" w:rsidP="006E7742">
            <w:pPr>
              <w:pStyle w:val="Default"/>
              <w:jc w:val="center"/>
              <w:rPr>
                <w:rFonts w:ascii="Arial" w:hAnsi="Arial" w:cs="Arial"/>
                <w:b/>
                <w:spacing w:val="-3"/>
                <w:sz w:val="20"/>
                <w:szCs w:val="20"/>
              </w:rPr>
            </w:pPr>
            <w:r>
              <w:rPr>
                <w:rFonts w:ascii="Arial" w:hAnsi="Arial" w:cs="Arial"/>
                <w:sz w:val="20"/>
                <w:szCs w:val="20"/>
              </w:rPr>
              <w:t>$832,890.19</w:t>
            </w:r>
          </w:p>
        </w:tc>
        <w:tc>
          <w:tcPr>
            <w:tcW w:w="1884" w:type="dxa"/>
            <w:tcBorders>
              <w:top w:val="single" w:sz="4" w:space="0" w:color="auto"/>
              <w:left w:val="single" w:sz="4" w:space="0" w:color="auto"/>
              <w:bottom w:val="single" w:sz="4" w:space="0" w:color="auto"/>
              <w:right w:val="single" w:sz="4" w:space="0" w:color="auto"/>
            </w:tcBorders>
            <w:vAlign w:val="bottom"/>
          </w:tcPr>
          <w:p w14:paraId="4A02E78B" w14:textId="1853FD4A" w:rsidR="006E7742" w:rsidRPr="00923527" w:rsidRDefault="006E7742" w:rsidP="006E7742">
            <w:pPr>
              <w:pStyle w:val="Default"/>
              <w:jc w:val="center"/>
              <w:rPr>
                <w:rFonts w:ascii="Arial" w:hAnsi="Arial" w:cs="Arial"/>
                <w:b/>
                <w:bCs/>
                <w:sz w:val="20"/>
                <w:szCs w:val="20"/>
              </w:rPr>
            </w:pPr>
            <w:r>
              <w:rPr>
                <w:rFonts w:ascii="Arial" w:hAnsi="Arial" w:cs="Arial"/>
                <w:sz w:val="20"/>
                <w:szCs w:val="20"/>
              </w:rPr>
              <w:t>$18,106.31</w:t>
            </w:r>
          </w:p>
        </w:tc>
      </w:tr>
      <w:tr w:rsidR="00B90E92" w:rsidRPr="00BC1619" w14:paraId="2F9169B9" w14:textId="77777777" w:rsidTr="00FF3531">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0EDFB6B8" w14:textId="3A90F0AE" w:rsidR="00B90E92" w:rsidRPr="00923527" w:rsidRDefault="00B90E92" w:rsidP="00B90E92">
            <w:pPr>
              <w:rPr>
                <w:rFonts w:cs="Arial"/>
                <w:b/>
                <w:color w:val="1F497D" w:themeColor="text2"/>
                <w:spacing w:val="-3"/>
                <w:szCs w:val="20"/>
              </w:rPr>
            </w:pPr>
            <w:r w:rsidRPr="00923527">
              <w:rPr>
                <w:rFonts w:cs="Arial"/>
                <w:b/>
                <w:color w:val="1F497D" w:themeColor="text2"/>
                <w:spacing w:val="-3"/>
                <w:szCs w:val="20"/>
              </w:rPr>
              <w:t>KOSELUGO 7.5 MG SPRINKLE CAP</w:t>
            </w:r>
          </w:p>
        </w:tc>
        <w:tc>
          <w:tcPr>
            <w:tcW w:w="1568" w:type="dxa"/>
            <w:tcBorders>
              <w:top w:val="single" w:sz="4" w:space="0" w:color="auto"/>
              <w:left w:val="single" w:sz="4" w:space="0" w:color="auto"/>
              <w:bottom w:val="single" w:sz="4" w:space="0" w:color="auto"/>
              <w:right w:val="single" w:sz="4" w:space="0" w:color="auto"/>
            </w:tcBorders>
            <w:vAlign w:val="center"/>
          </w:tcPr>
          <w:p w14:paraId="37717C4C" w14:textId="62AB17CB" w:rsidR="00B90E92" w:rsidRPr="005A7B27" w:rsidRDefault="00FF3531" w:rsidP="00B90E92">
            <w:pPr>
              <w:jc w:val="center"/>
              <w:rPr>
                <w:rFonts w:cs="Arial"/>
                <w:bCs/>
                <w:spacing w:val="-3"/>
                <w:szCs w:val="20"/>
              </w:rPr>
            </w:pPr>
            <w:r>
              <w:rPr>
                <w:rFonts w:cs="Arial"/>
                <w:bCs/>
                <w:spacing w:val="-3"/>
                <w:szCs w:val="20"/>
              </w:rPr>
              <w:t>2</w:t>
            </w:r>
          </w:p>
        </w:tc>
        <w:tc>
          <w:tcPr>
            <w:tcW w:w="1112" w:type="dxa"/>
            <w:tcBorders>
              <w:top w:val="single" w:sz="4" w:space="0" w:color="auto"/>
              <w:left w:val="single" w:sz="4" w:space="0" w:color="auto"/>
              <w:bottom w:val="single" w:sz="4" w:space="0" w:color="auto"/>
              <w:right w:val="single" w:sz="4" w:space="0" w:color="auto"/>
            </w:tcBorders>
            <w:vAlign w:val="bottom"/>
          </w:tcPr>
          <w:p w14:paraId="17BA4614" w14:textId="3582C87A" w:rsidR="00B90E92" w:rsidRPr="00923527" w:rsidRDefault="00B90E92" w:rsidP="00B90E92">
            <w:pPr>
              <w:jc w:val="center"/>
              <w:rPr>
                <w:rFonts w:cs="Arial"/>
                <w:b/>
                <w:spacing w:val="-3"/>
                <w:szCs w:val="20"/>
              </w:rPr>
            </w:pPr>
            <w:r>
              <w:rPr>
                <w:rFonts w:cs="Arial"/>
                <w:szCs w:val="20"/>
              </w:rPr>
              <w:t>5</w:t>
            </w:r>
          </w:p>
        </w:tc>
        <w:tc>
          <w:tcPr>
            <w:tcW w:w="1556" w:type="dxa"/>
            <w:tcBorders>
              <w:top w:val="single" w:sz="4" w:space="0" w:color="auto"/>
              <w:left w:val="single" w:sz="4" w:space="0" w:color="auto"/>
              <w:bottom w:val="single" w:sz="4" w:space="0" w:color="auto"/>
              <w:right w:val="single" w:sz="4" w:space="0" w:color="auto"/>
            </w:tcBorders>
            <w:vAlign w:val="bottom"/>
          </w:tcPr>
          <w:p w14:paraId="601F3844" w14:textId="7551C270" w:rsidR="00B90E92" w:rsidRPr="00923527" w:rsidRDefault="00B90E92" w:rsidP="00B90E92">
            <w:pPr>
              <w:pStyle w:val="Default"/>
              <w:jc w:val="center"/>
              <w:rPr>
                <w:rFonts w:ascii="Arial" w:hAnsi="Arial" w:cs="Arial"/>
                <w:b/>
                <w:spacing w:val="-3"/>
                <w:sz w:val="20"/>
                <w:szCs w:val="20"/>
              </w:rPr>
            </w:pPr>
            <w:r>
              <w:rPr>
                <w:rFonts w:ascii="Arial" w:hAnsi="Arial" w:cs="Arial"/>
                <w:sz w:val="20"/>
                <w:szCs w:val="20"/>
              </w:rPr>
              <w:t>$24,757.15</w:t>
            </w:r>
          </w:p>
        </w:tc>
        <w:tc>
          <w:tcPr>
            <w:tcW w:w="1884" w:type="dxa"/>
            <w:tcBorders>
              <w:top w:val="single" w:sz="4" w:space="0" w:color="auto"/>
              <w:left w:val="single" w:sz="4" w:space="0" w:color="auto"/>
              <w:bottom w:val="single" w:sz="4" w:space="0" w:color="auto"/>
              <w:right w:val="single" w:sz="4" w:space="0" w:color="auto"/>
            </w:tcBorders>
            <w:vAlign w:val="bottom"/>
          </w:tcPr>
          <w:p w14:paraId="28BE8217" w14:textId="5C9D45E3" w:rsidR="00B90E92" w:rsidRPr="00923527" w:rsidRDefault="00B90E92" w:rsidP="00B90E92">
            <w:pPr>
              <w:pStyle w:val="Default"/>
              <w:jc w:val="center"/>
              <w:rPr>
                <w:rFonts w:ascii="Arial" w:hAnsi="Arial" w:cs="Arial"/>
                <w:b/>
                <w:bCs/>
                <w:sz w:val="20"/>
                <w:szCs w:val="20"/>
              </w:rPr>
            </w:pPr>
            <w:r>
              <w:rPr>
                <w:rFonts w:ascii="Arial" w:hAnsi="Arial" w:cs="Arial"/>
                <w:sz w:val="20"/>
                <w:szCs w:val="20"/>
              </w:rPr>
              <w:t>$4,951.43</w:t>
            </w:r>
          </w:p>
        </w:tc>
      </w:tr>
      <w:tr w:rsidR="00B90E92" w:rsidRPr="00BC1619" w14:paraId="6E8AEFA3" w14:textId="77777777" w:rsidTr="00FF3531">
        <w:trPr>
          <w:trHeight w:val="20"/>
        </w:trPr>
        <w:tc>
          <w:tcPr>
            <w:tcW w:w="3780" w:type="dxa"/>
            <w:tcBorders>
              <w:top w:val="single" w:sz="4" w:space="0" w:color="auto"/>
              <w:left w:val="single" w:sz="4" w:space="0" w:color="auto"/>
              <w:bottom w:val="single" w:sz="4" w:space="0" w:color="auto"/>
              <w:right w:val="single" w:sz="4" w:space="0" w:color="auto"/>
            </w:tcBorders>
            <w:vAlign w:val="center"/>
          </w:tcPr>
          <w:p w14:paraId="7891AEFA" w14:textId="63168528" w:rsidR="00B90E92" w:rsidRPr="00923527" w:rsidRDefault="00B90E92" w:rsidP="00B90E92">
            <w:pPr>
              <w:rPr>
                <w:rFonts w:cs="Arial"/>
                <w:b/>
                <w:color w:val="1F497D" w:themeColor="text2"/>
                <w:spacing w:val="-3"/>
                <w:szCs w:val="20"/>
              </w:rPr>
            </w:pPr>
            <w:r w:rsidRPr="00923527">
              <w:rPr>
                <w:rFonts w:cs="Arial"/>
                <w:b/>
                <w:color w:val="1F497D" w:themeColor="text2"/>
                <w:spacing w:val="-3"/>
                <w:szCs w:val="20"/>
              </w:rPr>
              <w:t>KOSELUGO 5 MG SPRINKLE CAP</w:t>
            </w:r>
          </w:p>
        </w:tc>
        <w:tc>
          <w:tcPr>
            <w:tcW w:w="1568" w:type="dxa"/>
            <w:tcBorders>
              <w:top w:val="single" w:sz="4" w:space="0" w:color="auto"/>
              <w:left w:val="single" w:sz="4" w:space="0" w:color="auto"/>
              <w:bottom w:val="single" w:sz="4" w:space="0" w:color="auto"/>
              <w:right w:val="single" w:sz="4" w:space="0" w:color="auto"/>
            </w:tcBorders>
            <w:vAlign w:val="center"/>
          </w:tcPr>
          <w:p w14:paraId="07F2A5AF" w14:textId="58BCA60E" w:rsidR="00B90E92" w:rsidRPr="005A7B27" w:rsidRDefault="00FF3531" w:rsidP="00B90E92">
            <w:pPr>
              <w:jc w:val="center"/>
              <w:rPr>
                <w:rFonts w:cs="Arial"/>
                <w:bCs/>
                <w:spacing w:val="-3"/>
                <w:szCs w:val="20"/>
              </w:rPr>
            </w:pPr>
            <w:r>
              <w:rPr>
                <w:rFonts w:cs="Arial"/>
                <w:bCs/>
                <w:spacing w:val="-3"/>
                <w:szCs w:val="20"/>
              </w:rPr>
              <w:t>1</w:t>
            </w:r>
          </w:p>
        </w:tc>
        <w:tc>
          <w:tcPr>
            <w:tcW w:w="1112" w:type="dxa"/>
            <w:tcBorders>
              <w:top w:val="single" w:sz="4" w:space="0" w:color="auto"/>
              <w:left w:val="single" w:sz="4" w:space="0" w:color="auto"/>
              <w:bottom w:val="single" w:sz="4" w:space="0" w:color="auto"/>
              <w:right w:val="single" w:sz="4" w:space="0" w:color="auto"/>
            </w:tcBorders>
            <w:vAlign w:val="bottom"/>
          </w:tcPr>
          <w:p w14:paraId="02CADD9B" w14:textId="635B7E3D" w:rsidR="00B90E92" w:rsidRPr="00923527" w:rsidRDefault="00B90E92" w:rsidP="00B90E92">
            <w:pPr>
              <w:jc w:val="center"/>
              <w:rPr>
                <w:rFonts w:cs="Arial"/>
                <w:b/>
                <w:spacing w:val="-3"/>
                <w:szCs w:val="20"/>
              </w:rPr>
            </w:pPr>
            <w:r>
              <w:rPr>
                <w:rFonts w:cs="Arial"/>
                <w:szCs w:val="20"/>
              </w:rPr>
              <w:t>9</w:t>
            </w:r>
          </w:p>
        </w:tc>
        <w:tc>
          <w:tcPr>
            <w:tcW w:w="1556" w:type="dxa"/>
            <w:tcBorders>
              <w:top w:val="single" w:sz="4" w:space="0" w:color="auto"/>
              <w:left w:val="single" w:sz="4" w:space="0" w:color="auto"/>
              <w:bottom w:val="single" w:sz="4" w:space="0" w:color="auto"/>
              <w:right w:val="single" w:sz="4" w:space="0" w:color="auto"/>
            </w:tcBorders>
            <w:vAlign w:val="bottom"/>
          </w:tcPr>
          <w:p w14:paraId="3BA42B2C" w14:textId="4806E4F8" w:rsidR="00B90E92" w:rsidRPr="00923527" w:rsidRDefault="00B90E92" w:rsidP="00B90E92">
            <w:pPr>
              <w:pStyle w:val="Default"/>
              <w:jc w:val="center"/>
              <w:rPr>
                <w:rFonts w:ascii="Arial" w:hAnsi="Arial" w:cs="Arial"/>
                <w:b/>
                <w:spacing w:val="-3"/>
                <w:sz w:val="20"/>
                <w:szCs w:val="20"/>
              </w:rPr>
            </w:pPr>
            <w:r>
              <w:rPr>
                <w:rFonts w:ascii="Arial" w:hAnsi="Arial" w:cs="Arial"/>
                <w:sz w:val="20"/>
                <w:szCs w:val="20"/>
              </w:rPr>
              <w:t>$99,300.55</w:t>
            </w:r>
          </w:p>
        </w:tc>
        <w:tc>
          <w:tcPr>
            <w:tcW w:w="1884" w:type="dxa"/>
            <w:tcBorders>
              <w:top w:val="single" w:sz="4" w:space="0" w:color="auto"/>
              <w:left w:val="single" w:sz="4" w:space="0" w:color="auto"/>
              <w:bottom w:val="single" w:sz="4" w:space="0" w:color="auto"/>
              <w:right w:val="single" w:sz="4" w:space="0" w:color="auto"/>
            </w:tcBorders>
            <w:vAlign w:val="bottom"/>
          </w:tcPr>
          <w:p w14:paraId="241902BE" w14:textId="4B8ACCC5" w:rsidR="00B90E92" w:rsidRPr="00923527" w:rsidRDefault="00B90E92" w:rsidP="00B90E92">
            <w:pPr>
              <w:pStyle w:val="Default"/>
              <w:jc w:val="center"/>
              <w:rPr>
                <w:rFonts w:ascii="Arial" w:hAnsi="Arial" w:cs="Arial"/>
                <w:b/>
                <w:bCs/>
                <w:sz w:val="20"/>
                <w:szCs w:val="20"/>
              </w:rPr>
            </w:pPr>
            <w:r>
              <w:rPr>
                <w:rFonts w:ascii="Arial" w:hAnsi="Arial" w:cs="Arial"/>
                <w:sz w:val="20"/>
                <w:szCs w:val="20"/>
              </w:rPr>
              <w:t>$11,033.39</w:t>
            </w:r>
          </w:p>
        </w:tc>
      </w:tr>
    </w:tbl>
    <w:p w14:paraId="37ACB9E1" w14:textId="77777777" w:rsidR="00A52B5E" w:rsidRDefault="00A52B5E" w:rsidP="00E354AA">
      <w:pPr>
        <w:pStyle w:val="Heading1"/>
        <w:rPr>
          <w:lang w:val="en-US"/>
        </w:rPr>
      </w:pPr>
    </w:p>
    <w:p w14:paraId="6413C027" w14:textId="742E84E2" w:rsidR="00AE77DB" w:rsidRPr="00C02553" w:rsidRDefault="00AE77DB" w:rsidP="00E354AA">
      <w:pPr>
        <w:pStyle w:val="Heading1"/>
        <w:rPr>
          <w:lang w:val="en-US"/>
        </w:rPr>
      </w:pPr>
      <w:r w:rsidRPr="00C02553">
        <w:rPr>
          <w:lang w:val="en-US"/>
        </w:rPr>
        <w:t xml:space="preserve">Setting &amp; Population </w:t>
      </w:r>
    </w:p>
    <w:p w14:paraId="04B7FBFB" w14:textId="276FCD61" w:rsidR="0097028A" w:rsidRPr="0079438F" w:rsidRDefault="0097028A" w:rsidP="00696E3A">
      <w:pPr>
        <w:rPr>
          <w:b/>
        </w:rPr>
      </w:pPr>
      <w:r w:rsidRPr="00696E3A">
        <w:rPr>
          <w:b/>
          <w:bCs/>
        </w:rPr>
        <w:t>Drug class for review:</w:t>
      </w:r>
      <w:r w:rsidRPr="00C02553">
        <w:t xml:space="preserve"> </w:t>
      </w:r>
      <w:r w:rsidR="002B7250">
        <w:rPr>
          <w:rFonts w:cs="Arial"/>
          <w:szCs w:val="20"/>
        </w:rPr>
        <w:t xml:space="preserve">Agents for </w:t>
      </w:r>
      <w:r w:rsidR="002B7250" w:rsidRPr="00D919EE">
        <w:rPr>
          <w:rFonts w:cs="Arial"/>
          <w:szCs w:val="20"/>
        </w:rPr>
        <w:t>Neurofibromatosis Type 1</w:t>
      </w:r>
    </w:p>
    <w:p w14:paraId="26CFE8A0" w14:textId="7E4FC7F1"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DE5978" w:rsidRPr="00DE5978">
        <w:rPr>
          <w:rFonts w:cs="Arial"/>
          <w:szCs w:val="20"/>
        </w:rPr>
        <w:t xml:space="preserve"> </w:t>
      </w:r>
      <w:r w:rsidR="00DE5978">
        <w:rPr>
          <w:rFonts w:cs="Arial"/>
          <w:szCs w:val="20"/>
        </w:rPr>
        <w:t>aged 2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5BC16A74" w14:textId="77777777" w:rsidR="00572B25" w:rsidRDefault="00572B25" w:rsidP="00572B25">
      <w:pPr>
        <w:pStyle w:val="ListParagraph"/>
        <w:numPr>
          <w:ilvl w:val="0"/>
          <w:numId w:val="16"/>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261DC83F" w14:textId="77777777" w:rsidR="00572B25" w:rsidRPr="00265CC4" w:rsidRDefault="00572B25" w:rsidP="00572B25">
      <w:pPr>
        <w:pStyle w:val="ListParagraph"/>
        <w:numPr>
          <w:ilvl w:val="1"/>
          <w:numId w:val="16"/>
        </w:numPr>
        <w:ind w:left="720"/>
        <w:rPr>
          <w:rFonts w:cs="Arial"/>
          <w:bCs/>
          <w:szCs w:val="20"/>
        </w:rPr>
      </w:pPr>
      <w:r w:rsidRPr="00933065">
        <w:rPr>
          <w:rFonts w:cs="Arial"/>
          <w:bCs/>
          <w:szCs w:val="20"/>
        </w:rPr>
        <w:t>Prescribed by or in consultation with a</w:t>
      </w:r>
      <w:r>
        <w:rPr>
          <w:rFonts w:cs="Arial"/>
          <w:bCs/>
          <w:szCs w:val="20"/>
        </w:rPr>
        <w:t>n</w:t>
      </w:r>
      <w:r w:rsidRPr="00933065">
        <w:rPr>
          <w:rFonts w:cs="Arial"/>
          <w:bCs/>
          <w:szCs w:val="20"/>
        </w:rPr>
        <w:t xml:space="preserve"> oncologist</w:t>
      </w:r>
      <w:r>
        <w:rPr>
          <w:rFonts w:cs="Arial"/>
          <w:bCs/>
          <w:szCs w:val="20"/>
        </w:rPr>
        <w:t>, neurologist,</w:t>
      </w:r>
      <w:r w:rsidRPr="00933065">
        <w:rPr>
          <w:rFonts w:cs="Arial"/>
          <w:bCs/>
          <w:szCs w:val="20"/>
        </w:rPr>
        <w:t xml:space="preserve"> or other specialist </w:t>
      </w:r>
      <w:r>
        <w:rPr>
          <w:rFonts w:cs="Arial"/>
          <w:bCs/>
          <w:szCs w:val="20"/>
        </w:rPr>
        <w:t>familiar with</w:t>
      </w:r>
      <w:r w:rsidRPr="00933065">
        <w:rPr>
          <w:rFonts w:cs="Arial"/>
          <w:bCs/>
          <w:szCs w:val="20"/>
        </w:rPr>
        <w:t xml:space="preserve"> the </w:t>
      </w:r>
      <w:proofErr w:type="gramStart"/>
      <w:r w:rsidRPr="00933065">
        <w:rPr>
          <w:rFonts w:cs="Arial"/>
          <w:bCs/>
          <w:szCs w:val="20"/>
        </w:rPr>
        <w:t>treated</w:t>
      </w:r>
      <w:proofErr w:type="gramEnd"/>
      <w:r w:rsidRPr="00933065">
        <w:rPr>
          <w:rFonts w:cs="Arial"/>
          <w:bCs/>
          <w:szCs w:val="20"/>
        </w:rPr>
        <w:t xml:space="preserve"> disease </w:t>
      </w:r>
      <w:proofErr w:type="gramStart"/>
      <w:r w:rsidRPr="00933065">
        <w:rPr>
          <w:rFonts w:cs="Arial"/>
          <w:bCs/>
          <w:szCs w:val="20"/>
        </w:rPr>
        <w:t>state</w:t>
      </w:r>
      <w:r>
        <w:rPr>
          <w:rFonts w:cs="Arial"/>
          <w:bCs/>
          <w:szCs w:val="20"/>
        </w:rPr>
        <w:t>;</w:t>
      </w:r>
      <w:proofErr w:type="gramEnd"/>
    </w:p>
    <w:p w14:paraId="5F97E623" w14:textId="77777777" w:rsidR="00572B25" w:rsidRPr="00DB4CD6" w:rsidRDefault="00572B25" w:rsidP="00572B25">
      <w:pPr>
        <w:pStyle w:val="ListParagraph"/>
        <w:numPr>
          <w:ilvl w:val="1"/>
          <w:numId w:val="16"/>
        </w:numPr>
        <w:ind w:left="720"/>
        <w:rPr>
          <w:rFonts w:cs="Arial"/>
          <w:b/>
          <w:color w:val="1F497D" w:themeColor="text2"/>
          <w:szCs w:val="20"/>
        </w:rPr>
      </w:pPr>
      <w:r>
        <w:rPr>
          <w:rFonts w:cs="Arial"/>
          <w:bCs/>
          <w:szCs w:val="20"/>
        </w:rPr>
        <w:t xml:space="preserve">Participant </w:t>
      </w:r>
      <w:r>
        <w:rPr>
          <w:rFonts w:cs="Arial"/>
          <w:b/>
          <w:color w:val="1F497D" w:themeColor="text2"/>
          <w:szCs w:val="20"/>
        </w:rPr>
        <w:t>meets</w:t>
      </w:r>
      <w:r w:rsidRPr="00DB4CD6">
        <w:rPr>
          <w:rFonts w:cs="Arial"/>
          <w:b/>
          <w:color w:val="1F497D" w:themeColor="text2"/>
          <w:szCs w:val="20"/>
        </w:rPr>
        <w:t xml:space="preserve"> the approved indicated age;</w:t>
      </w:r>
    </w:p>
    <w:p w14:paraId="6164B0F8" w14:textId="77777777" w:rsidR="00572B25" w:rsidRPr="00DB4CD6" w:rsidRDefault="00572B25" w:rsidP="00572B25">
      <w:pPr>
        <w:pStyle w:val="ListParagraph"/>
        <w:numPr>
          <w:ilvl w:val="2"/>
          <w:numId w:val="16"/>
        </w:numPr>
        <w:ind w:left="1080"/>
        <w:rPr>
          <w:rFonts w:cs="Arial"/>
          <w:b/>
          <w:color w:val="1F497D" w:themeColor="text2"/>
          <w:szCs w:val="20"/>
        </w:rPr>
      </w:pPr>
      <w:r>
        <w:rPr>
          <w:rFonts w:cs="Arial"/>
          <w:b/>
          <w:color w:val="1F497D" w:themeColor="text2"/>
          <w:szCs w:val="20"/>
        </w:rPr>
        <w:t>Claim for</w:t>
      </w:r>
      <w:r w:rsidRPr="00DB4CD6">
        <w:rPr>
          <w:rFonts w:cs="Arial"/>
          <w:b/>
          <w:color w:val="1F497D" w:themeColor="text2"/>
          <w:szCs w:val="20"/>
        </w:rPr>
        <w:t xml:space="preserve"> </w:t>
      </w:r>
      <w:proofErr w:type="spellStart"/>
      <w:r w:rsidRPr="00DB4CD6">
        <w:rPr>
          <w:rFonts w:cs="Arial"/>
          <w:b/>
          <w:color w:val="1F497D" w:themeColor="text2"/>
          <w:szCs w:val="20"/>
        </w:rPr>
        <w:t>Gomekli</w:t>
      </w:r>
      <w:proofErr w:type="spellEnd"/>
      <w:r w:rsidRPr="00DB4CD6">
        <w:rPr>
          <w:rFonts w:cs="Arial"/>
          <w:b/>
          <w:color w:val="1F497D" w:themeColor="text2"/>
          <w:szCs w:val="20"/>
        </w:rPr>
        <w:t xml:space="preserve"> – participant is 2 year</w:t>
      </w:r>
      <w:r>
        <w:rPr>
          <w:rFonts w:cs="Arial"/>
          <w:b/>
          <w:color w:val="1F497D" w:themeColor="text2"/>
          <w:szCs w:val="20"/>
        </w:rPr>
        <w:t>s</w:t>
      </w:r>
      <w:r w:rsidRPr="00DB4CD6">
        <w:rPr>
          <w:rFonts w:cs="Arial"/>
          <w:b/>
          <w:color w:val="1F497D" w:themeColor="text2"/>
          <w:szCs w:val="20"/>
        </w:rPr>
        <w:t xml:space="preserve"> of age or older; </w:t>
      </w:r>
    </w:p>
    <w:p w14:paraId="6EE5F547" w14:textId="77777777" w:rsidR="00572B25" w:rsidRPr="00DB4CD6" w:rsidRDefault="00572B25" w:rsidP="00572B25">
      <w:pPr>
        <w:pStyle w:val="ListParagraph"/>
        <w:numPr>
          <w:ilvl w:val="2"/>
          <w:numId w:val="16"/>
        </w:numPr>
        <w:ind w:left="1080"/>
        <w:rPr>
          <w:rFonts w:cs="Arial"/>
          <w:b/>
          <w:color w:val="1F497D" w:themeColor="text2"/>
          <w:szCs w:val="20"/>
        </w:rPr>
      </w:pPr>
      <w:r>
        <w:rPr>
          <w:rFonts w:cs="Arial"/>
          <w:b/>
          <w:color w:val="1F497D" w:themeColor="text2"/>
          <w:szCs w:val="20"/>
        </w:rPr>
        <w:t>Claim for</w:t>
      </w:r>
      <w:r w:rsidRPr="00DB4CD6">
        <w:rPr>
          <w:rFonts w:cs="Arial"/>
          <w:b/>
          <w:color w:val="1F497D" w:themeColor="text2"/>
          <w:szCs w:val="20"/>
        </w:rPr>
        <w:t xml:space="preserve"> Koselugo – participant is 1 year of age or older.</w:t>
      </w:r>
    </w:p>
    <w:p w14:paraId="06FFA72C" w14:textId="77777777" w:rsidR="00572B25" w:rsidRDefault="00572B25" w:rsidP="00572B25">
      <w:pPr>
        <w:pStyle w:val="ListParagraph"/>
        <w:numPr>
          <w:ilvl w:val="1"/>
          <w:numId w:val="16"/>
        </w:numPr>
        <w:ind w:left="720"/>
        <w:rPr>
          <w:rFonts w:cs="Arial"/>
          <w:bCs/>
          <w:szCs w:val="20"/>
        </w:rPr>
      </w:pPr>
      <w:r>
        <w:rPr>
          <w:rFonts w:cs="Arial"/>
          <w:bCs/>
          <w:szCs w:val="20"/>
        </w:rPr>
        <w:t>Documented d</w:t>
      </w:r>
      <w:r w:rsidRPr="00933065">
        <w:rPr>
          <w:rFonts w:cs="Arial"/>
          <w:bCs/>
          <w:szCs w:val="20"/>
        </w:rPr>
        <w:t xml:space="preserve">iagnosis of neurofibromatosis type </w:t>
      </w:r>
      <w:r>
        <w:rPr>
          <w:rFonts w:cs="Arial"/>
          <w:bCs/>
          <w:szCs w:val="20"/>
        </w:rPr>
        <w:t>1;</w:t>
      </w:r>
    </w:p>
    <w:p w14:paraId="18BCF890" w14:textId="77777777" w:rsidR="00572B25" w:rsidRDefault="00572B25" w:rsidP="00572B25">
      <w:pPr>
        <w:pStyle w:val="ListParagraph"/>
        <w:numPr>
          <w:ilvl w:val="1"/>
          <w:numId w:val="16"/>
        </w:numPr>
        <w:ind w:left="720"/>
        <w:rPr>
          <w:rFonts w:cs="Arial"/>
          <w:bCs/>
          <w:szCs w:val="20"/>
        </w:rPr>
      </w:pPr>
      <w:r>
        <w:rPr>
          <w:rFonts w:cs="Arial"/>
          <w:bCs/>
          <w:szCs w:val="20"/>
        </w:rPr>
        <w:t xml:space="preserve">Documentation of </w:t>
      </w:r>
      <w:r w:rsidRPr="00933065">
        <w:rPr>
          <w:rFonts w:cs="Arial"/>
          <w:bCs/>
          <w:szCs w:val="20"/>
        </w:rPr>
        <w:t>inoperable plexiform neurofibromas</w:t>
      </w:r>
      <w:r>
        <w:rPr>
          <w:rFonts w:cs="Arial"/>
          <w:bCs/>
          <w:szCs w:val="20"/>
        </w:rPr>
        <w:t xml:space="preserve"> (PN) </w:t>
      </w:r>
      <w:r w:rsidRPr="00CF4A6C">
        <w:rPr>
          <w:rFonts w:cs="Arial"/>
          <w:bCs/>
          <w:szCs w:val="20"/>
        </w:rPr>
        <w:t>defined as a PN that c</w:t>
      </w:r>
      <w:r>
        <w:rPr>
          <w:rFonts w:cs="Arial"/>
          <w:bCs/>
          <w:szCs w:val="20"/>
        </w:rPr>
        <w:t>an</w:t>
      </w:r>
      <w:r w:rsidRPr="00CF4A6C">
        <w:rPr>
          <w:rFonts w:cs="Arial"/>
          <w:bCs/>
          <w:szCs w:val="20"/>
        </w:rPr>
        <w:t xml:space="preserve">not be completely removed without risk for substantial morbidity due to encasement of or close proximity to vital structures, invasiveness, or high vascularity of the </w:t>
      </w:r>
      <w:proofErr w:type="gramStart"/>
      <w:r w:rsidRPr="00CF4A6C">
        <w:rPr>
          <w:rFonts w:cs="Arial"/>
          <w:bCs/>
          <w:szCs w:val="20"/>
        </w:rPr>
        <w:t>PN</w:t>
      </w:r>
      <w:r>
        <w:rPr>
          <w:rFonts w:cs="Arial"/>
          <w:bCs/>
          <w:szCs w:val="20"/>
        </w:rPr>
        <w:t>;</w:t>
      </w:r>
      <w:proofErr w:type="gramEnd"/>
    </w:p>
    <w:p w14:paraId="24985AEB" w14:textId="77777777" w:rsidR="00572B25" w:rsidRPr="0095197D" w:rsidRDefault="00572B25" w:rsidP="00572B25">
      <w:pPr>
        <w:pStyle w:val="ListParagraph"/>
        <w:numPr>
          <w:ilvl w:val="1"/>
          <w:numId w:val="16"/>
        </w:numPr>
        <w:ind w:left="720"/>
        <w:rPr>
          <w:rFonts w:cs="Arial"/>
          <w:bCs/>
          <w:szCs w:val="20"/>
        </w:rPr>
      </w:pPr>
      <w:r w:rsidRPr="0095197D">
        <w:rPr>
          <w:rFonts w:cs="Arial"/>
          <w:bCs/>
          <w:szCs w:val="20"/>
        </w:rPr>
        <w:t xml:space="preserve">Documentation of baseline </w:t>
      </w:r>
      <w:r>
        <w:rPr>
          <w:rFonts w:cs="Arial"/>
          <w:bCs/>
          <w:szCs w:val="20"/>
        </w:rPr>
        <w:t>l</w:t>
      </w:r>
      <w:r w:rsidRPr="0095197D">
        <w:rPr>
          <w:rFonts w:cs="Arial"/>
          <w:bCs/>
          <w:szCs w:val="20"/>
        </w:rPr>
        <w:t>eft ventricular ejection fraction (LVEF)</w:t>
      </w:r>
      <w:r>
        <w:rPr>
          <w:rFonts w:cs="Arial"/>
          <w:bCs/>
          <w:szCs w:val="20"/>
        </w:rPr>
        <w:t>;</w:t>
      </w:r>
    </w:p>
    <w:p w14:paraId="03E4C277" w14:textId="77777777" w:rsidR="00572B25" w:rsidRPr="0095197D" w:rsidRDefault="00572B25" w:rsidP="00572B25">
      <w:pPr>
        <w:pStyle w:val="ListParagraph"/>
        <w:numPr>
          <w:ilvl w:val="1"/>
          <w:numId w:val="16"/>
        </w:numPr>
        <w:ind w:left="720"/>
        <w:rPr>
          <w:rFonts w:cs="Arial"/>
          <w:bCs/>
          <w:szCs w:val="20"/>
        </w:rPr>
      </w:pPr>
      <w:r>
        <w:rPr>
          <w:rFonts w:cs="Arial"/>
          <w:bCs/>
          <w:szCs w:val="20"/>
        </w:rPr>
        <w:t xml:space="preserve">Documentation of baseline </w:t>
      </w:r>
      <w:r w:rsidRPr="0095197D">
        <w:rPr>
          <w:rFonts w:cs="Arial"/>
          <w:bCs/>
          <w:szCs w:val="20"/>
        </w:rPr>
        <w:t>ophthalmic assessment</w:t>
      </w:r>
      <w:r>
        <w:rPr>
          <w:rFonts w:cs="Arial"/>
          <w:bCs/>
          <w:szCs w:val="20"/>
        </w:rPr>
        <w:t>;</w:t>
      </w:r>
    </w:p>
    <w:p w14:paraId="7A050194" w14:textId="77777777" w:rsidR="00572B25" w:rsidRPr="0095197D" w:rsidRDefault="00572B25" w:rsidP="00572B25">
      <w:pPr>
        <w:pStyle w:val="ListParagraph"/>
        <w:numPr>
          <w:ilvl w:val="1"/>
          <w:numId w:val="16"/>
        </w:numPr>
        <w:ind w:left="720"/>
        <w:rPr>
          <w:rFonts w:cs="Arial"/>
          <w:bCs/>
          <w:szCs w:val="20"/>
        </w:rPr>
      </w:pPr>
      <w:r>
        <w:rPr>
          <w:rFonts w:cs="Arial"/>
          <w:bCs/>
          <w:szCs w:val="20"/>
        </w:rPr>
        <w:t xml:space="preserve">Documentation of baseline </w:t>
      </w:r>
      <w:r w:rsidRPr="0095197D">
        <w:rPr>
          <w:rFonts w:cs="Arial"/>
          <w:bCs/>
          <w:szCs w:val="20"/>
        </w:rPr>
        <w:t>CPK level</w:t>
      </w:r>
      <w:r>
        <w:rPr>
          <w:rFonts w:cs="Arial"/>
          <w:bCs/>
          <w:szCs w:val="20"/>
        </w:rPr>
        <w:t xml:space="preserve">; </w:t>
      </w:r>
      <w:r w:rsidRPr="00146ECB">
        <w:rPr>
          <w:rFonts w:cs="Arial"/>
          <w:b/>
          <w:szCs w:val="20"/>
        </w:rPr>
        <w:t>AND</w:t>
      </w:r>
    </w:p>
    <w:p w14:paraId="2D1A8D5E" w14:textId="77777777" w:rsidR="00572B25" w:rsidRDefault="00572B25" w:rsidP="00572B25">
      <w:pPr>
        <w:pStyle w:val="ListParagraph"/>
        <w:numPr>
          <w:ilvl w:val="1"/>
          <w:numId w:val="16"/>
        </w:numPr>
        <w:ind w:left="720"/>
        <w:rPr>
          <w:rFonts w:cs="Arial"/>
          <w:bCs/>
          <w:szCs w:val="20"/>
        </w:rPr>
      </w:pPr>
      <w:r>
        <w:rPr>
          <w:rFonts w:cs="Arial"/>
          <w:bCs/>
          <w:szCs w:val="20"/>
        </w:rPr>
        <w:t>Participant (male or female of appropriate age) is utilizing concurrent birth control methods.</w:t>
      </w:r>
    </w:p>
    <w:p w14:paraId="6EAE19B3" w14:textId="77777777" w:rsidR="00572B25" w:rsidRPr="006D15D7" w:rsidRDefault="00572B25" w:rsidP="00572B25">
      <w:pPr>
        <w:pStyle w:val="ListParagraph"/>
        <w:numPr>
          <w:ilvl w:val="0"/>
          <w:numId w:val="16"/>
        </w:numPr>
        <w:rPr>
          <w:rFonts w:cs="Arial"/>
          <w:bCs/>
          <w:szCs w:val="20"/>
        </w:rPr>
      </w:pPr>
      <w:r>
        <w:rPr>
          <w:rFonts w:cs="Arial"/>
          <w:bCs/>
          <w:szCs w:val="20"/>
        </w:rPr>
        <w:t>Initial approval period: 1 year</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4239AEDD" w14:textId="77777777" w:rsidR="00E46292" w:rsidRDefault="00E46292" w:rsidP="00E46292">
      <w:pPr>
        <w:pStyle w:val="ListParagraph"/>
        <w:numPr>
          <w:ilvl w:val="0"/>
          <w:numId w:val="17"/>
        </w:numPr>
        <w:rPr>
          <w:rFonts w:cs="Arial"/>
          <w:bCs/>
          <w:szCs w:val="20"/>
        </w:rPr>
      </w:pPr>
      <w:r>
        <w:rPr>
          <w:rFonts w:cs="Arial"/>
          <w:bCs/>
          <w:szCs w:val="20"/>
        </w:rPr>
        <w:t>R</w:t>
      </w:r>
      <w:r w:rsidRPr="0095197D">
        <w:rPr>
          <w:rFonts w:cs="Arial"/>
          <w:bCs/>
          <w:szCs w:val="20"/>
        </w:rPr>
        <w:t xml:space="preserve">enewal of prior authorization may be </w:t>
      </w:r>
      <w:r>
        <w:rPr>
          <w:rFonts w:cs="Arial"/>
          <w:bCs/>
          <w:szCs w:val="20"/>
        </w:rPr>
        <w:t xml:space="preserve">given </w:t>
      </w:r>
      <w:r w:rsidRPr="0095197D">
        <w:rPr>
          <w:rFonts w:cs="Arial"/>
          <w:bCs/>
          <w:szCs w:val="20"/>
        </w:rPr>
        <w:t xml:space="preserve">following documentation of </w:t>
      </w:r>
      <w:proofErr w:type="gramStart"/>
      <w:r>
        <w:rPr>
          <w:rFonts w:cs="Arial"/>
          <w:bCs/>
          <w:szCs w:val="20"/>
        </w:rPr>
        <w:t>all of</w:t>
      </w:r>
      <w:proofErr w:type="gramEnd"/>
      <w:r>
        <w:rPr>
          <w:rFonts w:cs="Arial"/>
          <w:bCs/>
          <w:szCs w:val="20"/>
        </w:rPr>
        <w:t xml:space="preserve"> </w:t>
      </w:r>
      <w:r w:rsidRPr="0095197D">
        <w:rPr>
          <w:rFonts w:cs="Arial"/>
          <w:bCs/>
          <w:szCs w:val="20"/>
        </w:rPr>
        <w:t>the following:</w:t>
      </w:r>
    </w:p>
    <w:p w14:paraId="39F62941" w14:textId="77777777" w:rsidR="00E46292" w:rsidRPr="00385B64" w:rsidRDefault="00E46292" w:rsidP="00E46292">
      <w:pPr>
        <w:pStyle w:val="ListParagraph"/>
        <w:numPr>
          <w:ilvl w:val="1"/>
          <w:numId w:val="17"/>
        </w:numPr>
        <w:ind w:left="720"/>
        <w:rPr>
          <w:rFonts w:cs="Arial"/>
          <w:bCs/>
          <w:szCs w:val="20"/>
        </w:rPr>
      </w:pPr>
      <w:r w:rsidRPr="00385B64">
        <w:rPr>
          <w:rFonts w:cs="Arial"/>
          <w:bCs/>
          <w:szCs w:val="20"/>
        </w:rPr>
        <w:t>Ophthalmic examinations for ocular toxicities at least once annually</w:t>
      </w:r>
      <w:r>
        <w:rPr>
          <w:rFonts w:cs="Arial"/>
          <w:bCs/>
          <w:szCs w:val="20"/>
        </w:rPr>
        <w:t>;</w:t>
      </w:r>
    </w:p>
    <w:p w14:paraId="33997BB4" w14:textId="77777777" w:rsidR="00E46292" w:rsidRPr="00385B64" w:rsidRDefault="00E46292" w:rsidP="00E46292">
      <w:pPr>
        <w:pStyle w:val="ListParagraph"/>
        <w:numPr>
          <w:ilvl w:val="1"/>
          <w:numId w:val="17"/>
        </w:numPr>
        <w:ind w:left="720"/>
        <w:rPr>
          <w:rFonts w:cs="Arial"/>
          <w:bCs/>
          <w:szCs w:val="20"/>
        </w:rPr>
      </w:pPr>
      <w:r w:rsidRPr="00385B64">
        <w:rPr>
          <w:rFonts w:cs="Arial"/>
          <w:bCs/>
          <w:szCs w:val="20"/>
        </w:rPr>
        <w:t>LVEF assessed every 3 months during the first year of treatment and then every 6 months thereafter</w:t>
      </w:r>
      <w:r>
        <w:rPr>
          <w:rFonts w:cs="Arial"/>
          <w:bCs/>
          <w:szCs w:val="20"/>
        </w:rPr>
        <w:t>;</w:t>
      </w:r>
    </w:p>
    <w:p w14:paraId="222B811C" w14:textId="77777777" w:rsidR="00E46292" w:rsidRPr="00385B64" w:rsidRDefault="00E46292" w:rsidP="00E46292">
      <w:pPr>
        <w:pStyle w:val="ListParagraph"/>
        <w:numPr>
          <w:ilvl w:val="1"/>
          <w:numId w:val="17"/>
        </w:numPr>
        <w:ind w:left="720"/>
        <w:rPr>
          <w:rFonts w:cs="Arial"/>
          <w:bCs/>
          <w:szCs w:val="20"/>
        </w:rPr>
      </w:pPr>
      <w:r w:rsidRPr="00385B64">
        <w:rPr>
          <w:rFonts w:cs="Arial"/>
          <w:bCs/>
          <w:szCs w:val="20"/>
        </w:rPr>
        <w:t>Recent CPK level</w:t>
      </w:r>
      <w:r>
        <w:rPr>
          <w:rFonts w:cs="Arial"/>
          <w:bCs/>
          <w:szCs w:val="20"/>
        </w:rPr>
        <w:t>;</w:t>
      </w:r>
      <w:r w:rsidRPr="00385B64">
        <w:rPr>
          <w:rFonts w:cs="Arial"/>
          <w:bCs/>
          <w:szCs w:val="20"/>
        </w:rPr>
        <w:t xml:space="preserve"> </w:t>
      </w:r>
      <w:r w:rsidRPr="00385B64">
        <w:rPr>
          <w:rFonts w:cs="Arial"/>
          <w:b/>
          <w:szCs w:val="20"/>
        </w:rPr>
        <w:t>AND</w:t>
      </w:r>
    </w:p>
    <w:p w14:paraId="7A04C50B" w14:textId="77777777" w:rsidR="00E46292" w:rsidRDefault="00E46292" w:rsidP="00E46292">
      <w:pPr>
        <w:pStyle w:val="ListParagraph"/>
        <w:numPr>
          <w:ilvl w:val="1"/>
          <w:numId w:val="17"/>
        </w:numPr>
        <w:ind w:left="720"/>
        <w:rPr>
          <w:rFonts w:cs="Arial"/>
          <w:bCs/>
          <w:szCs w:val="20"/>
        </w:rPr>
      </w:pPr>
      <w:r w:rsidRPr="00385B64">
        <w:rPr>
          <w:rFonts w:cs="Arial"/>
          <w:bCs/>
          <w:szCs w:val="20"/>
        </w:rPr>
        <w:t xml:space="preserve">Documentation of </w:t>
      </w:r>
      <w:proofErr w:type="gramStart"/>
      <w:r w:rsidRPr="00385B64">
        <w:rPr>
          <w:rFonts w:cs="Arial"/>
          <w:bCs/>
          <w:szCs w:val="20"/>
        </w:rPr>
        <w:t>benefit</w:t>
      </w:r>
      <w:proofErr w:type="gramEnd"/>
      <w:r w:rsidRPr="00385B64">
        <w:rPr>
          <w:rFonts w:cs="Arial"/>
          <w:bCs/>
          <w:szCs w:val="20"/>
        </w:rPr>
        <w:t xml:space="preserve"> of therapy, examples include:</w:t>
      </w:r>
    </w:p>
    <w:p w14:paraId="240827D7" w14:textId="77777777" w:rsidR="00E46292" w:rsidRDefault="00E46292" w:rsidP="00E46292">
      <w:pPr>
        <w:pStyle w:val="ListParagraph"/>
        <w:numPr>
          <w:ilvl w:val="2"/>
          <w:numId w:val="17"/>
        </w:numPr>
        <w:ind w:left="1080"/>
        <w:rPr>
          <w:rFonts w:cs="Arial"/>
          <w:bCs/>
          <w:szCs w:val="20"/>
        </w:rPr>
      </w:pPr>
      <w:r w:rsidRPr="00385B64">
        <w:rPr>
          <w:rFonts w:cs="Arial"/>
          <w:bCs/>
          <w:szCs w:val="20"/>
        </w:rPr>
        <w:t>Stabilization or reduction in PN size or number of PN</w:t>
      </w:r>
      <w:r>
        <w:rPr>
          <w:rFonts w:cs="Arial"/>
          <w:bCs/>
          <w:szCs w:val="20"/>
        </w:rPr>
        <w:t xml:space="preserve">; </w:t>
      </w:r>
      <w:r w:rsidRPr="00385B64">
        <w:rPr>
          <w:rFonts w:cs="Arial"/>
          <w:b/>
          <w:szCs w:val="20"/>
        </w:rPr>
        <w:t>OR</w:t>
      </w:r>
    </w:p>
    <w:p w14:paraId="67ED2BDC" w14:textId="77777777" w:rsidR="00E46292" w:rsidRDefault="00E46292" w:rsidP="00E46292">
      <w:pPr>
        <w:pStyle w:val="ListParagraph"/>
        <w:numPr>
          <w:ilvl w:val="2"/>
          <w:numId w:val="17"/>
        </w:numPr>
        <w:ind w:left="1080"/>
        <w:rPr>
          <w:rFonts w:cs="Arial"/>
          <w:bCs/>
          <w:szCs w:val="20"/>
        </w:rPr>
      </w:pPr>
      <w:r w:rsidRPr="00385B64">
        <w:rPr>
          <w:rFonts w:cs="Arial"/>
          <w:bCs/>
          <w:szCs w:val="20"/>
        </w:rPr>
        <w:t>Improved quality of life</w:t>
      </w:r>
      <w:r>
        <w:rPr>
          <w:rFonts w:cs="Arial"/>
          <w:bCs/>
          <w:szCs w:val="20"/>
        </w:rPr>
        <w:t>.</w:t>
      </w:r>
    </w:p>
    <w:p w14:paraId="10B87F13" w14:textId="77777777" w:rsidR="00E46292" w:rsidRPr="003511EC" w:rsidRDefault="00E46292" w:rsidP="00E46292">
      <w:pPr>
        <w:pStyle w:val="ListParagraph"/>
        <w:numPr>
          <w:ilvl w:val="0"/>
          <w:numId w:val="17"/>
        </w:numPr>
        <w:rPr>
          <w:rFonts w:cs="Arial"/>
          <w:bCs/>
          <w:szCs w:val="20"/>
        </w:rPr>
      </w:pPr>
      <w:r>
        <w:rPr>
          <w:rFonts w:cs="Arial"/>
          <w:bCs/>
          <w:szCs w:val="20"/>
        </w:rPr>
        <w:t>Continuation</w:t>
      </w:r>
      <w:r w:rsidRPr="003511EC">
        <w:rPr>
          <w:rFonts w:cs="Arial"/>
          <w:bCs/>
          <w:szCs w:val="20"/>
        </w:rPr>
        <w:t xml:space="preserve"> approval period: 1 year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6DE8D76" w14:textId="77777777" w:rsidR="007A6EC3" w:rsidRDefault="007A6EC3" w:rsidP="007A6EC3">
      <w:pPr>
        <w:pStyle w:val="ListParagraph"/>
        <w:rPr>
          <w:noProof/>
        </w:rPr>
      </w:pPr>
      <w:r>
        <w:rPr>
          <w:noProof/>
        </w:rPr>
        <w:t>Therapy will deny with presence of any of the following:</w:t>
      </w:r>
    </w:p>
    <w:p w14:paraId="22E58E3C" w14:textId="77777777" w:rsidR="007A6EC3" w:rsidRDefault="007A6EC3" w:rsidP="007A6EC3">
      <w:pPr>
        <w:pStyle w:val="ListParagraph"/>
        <w:numPr>
          <w:ilvl w:val="1"/>
          <w:numId w:val="6"/>
        </w:numPr>
        <w:rPr>
          <w:rFonts w:cs="Arial"/>
          <w:noProof/>
          <w:szCs w:val="20"/>
        </w:rPr>
      </w:pPr>
      <w:r>
        <w:rPr>
          <w:rFonts w:cs="Arial"/>
          <w:noProof/>
          <w:szCs w:val="20"/>
        </w:rPr>
        <w:t>Any approval criteria are not met;</w:t>
      </w:r>
    </w:p>
    <w:p w14:paraId="5B8E4745" w14:textId="3F6C1DBD" w:rsidR="007A6EC3" w:rsidRPr="005B3F25" w:rsidRDefault="007A6EC3" w:rsidP="007A6EC3">
      <w:pPr>
        <w:pStyle w:val="ListParagraph"/>
        <w:numPr>
          <w:ilvl w:val="1"/>
          <w:numId w:val="6"/>
        </w:numPr>
        <w:rPr>
          <w:rFonts w:cs="Arial"/>
          <w:noProof/>
          <w:szCs w:val="20"/>
        </w:rPr>
      </w:pPr>
      <w:r w:rsidRPr="005B3F25">
        <w:rPr>
          <w:rFonts w:cs="Arial"/>
          <w:noProof/>
          <w:szCs w:val="20"/>
        </w:rPr>
        <w:t>Participant claim history demonstrates concurrent therapy with another MEK1/2 inhibitor indicated for NF1 in the past 25 days;</w:t>
      </w:r>
    </w:p>
    <w:p w14:paraId="7C511A19" w14:textId="0FEA9885" w:rsidR="007A6EC3" w:rsidRDefault="007A6EC3" w:rsidP="007A6EC3">
      <w:pPr>
        <w:pStyle w:val="ListParagraph"/>
        <w:numPr>
          <w:ilvl w:val="1"/>
          <w:numId w:val="6"/>
        </w:numPr>
        <w:rPr>
          <w:rFonts w:cs="Arial"/>
          <w:noProof/>
          <w:szCs w:val="20"/>
        </w:rPr>
      </w:pPr>
      <w:r>
        <w:rPr>
          <w:rFonts w:cs="Arial"/>
          <w:noProof/>
          <w:szCs w:val="20"/>
        </w:rPr>
        <w:t>D</w:t>
      </w:r>
      <w:r w:rsidRPr="00E64AAF">
        <w:rPr>
          <w:rFonts w:cs="Arial"/>
          <w:noProof/>
          <w:szCs w:val="20"/>
        </w:rPr>
        <w:t>ocumented severe hepatic impairment (Child-Pugh Class C)</w:t>
      </w:r>
      <w:r>
        <w:rPr>
          <w:rFonts w:cs="Arial"/>
          <w:noProof/>
          <w:szCs w:val="20"/>
        </w:rPr>
        <w:t xml:space="preserve">; </w:t>
      </w:r>
    </w:p>
    <w:p w14:paraId="4E6330D6" w14:textId="660D6129" w:rsidR="007A6EC3" w:rsidRPr="00623983" w:rsidRDefault="007A6EC3" w:rsidP="007A6EC3">
      <w:pPr>
        <w:pStyle w:val="ListParagraph"/>
        <w:numPr>
          <w:ilvl w:val="1"/>
          <w:numId w:val="6"/>
        </w:numPr>
        <w:rPr>
          <w:rFonts w:cs="Arial"/>
          <w:noProof/>
          <w:szCs w:val="20"/>
        </w:rPr>
      </w:pPr>
      <w:r w:rsidRPr="00623983">
        <w:rPr>
          <w:rFonts w:cs="Arial"/>
          <w:noProof/>
          <w:szCs w:val="20"/>
        </w:rPr>
        <w:t>Participant is currently pregnant</w:t>
      </w:r>
      <w:r>
        <w:rPr>
          <w:rFonts w:cs="Arial"/>
          <w:noProof/>
          <w:szCs w:val="20"/>
        </w:rPr>
        <w:t>.</w:t>
      </w:r>
      <w:r w:rsidRPr="007A6EC3">
        <w:rPr>
          <w:rFonts w:cs="Arial"/>
          <w:b/>
          <w:bCs/>
          <w:noProof/>
          <w:szCs w:val="20"/>
        </w:rPr>
        <w:t xml:space="preserve"> </w:t>
      </w:r>
      <w:r w:rsidRPr="00385B64">
        <w:rPr>
          <w:rFonts w:cs="Arial"/>
          <w:b/>
          <w:bCs/>
          <w:noProof/>
          <w:szCs w:val="20"/>
        </w:rPr>
        <w:t>OR</w:t>
      </w:r>
    </w:p>
    <w:p w14:paraId="1D97C1E5" w14:textId="77777777" w:rsidR="00904D7A" w:rsidRPr="005328B2" w:rsidRDefault="00904D7A" w:rsidP="00516D12">
      <w:pPr>
        <w:pStyle w:val="ListParagraph"/>
        <w:numPr>
          <w:ilvl w:val="1"/>
          <w:numId w:val="6"/>
        </w:numPr>
      </w:pPr>
      <w:r w:rsidRPr="005328B2">
        <w:t>Claim exceeds maximum dosing limitations:</w:t>
      </w:r>
    </w:p>
    <w:tbl>
      <w:tblPr>
        <w:tblStyle w:val="TableGrid"/>
        <w:tblW w:w="10080" w:type="dxa"/>
        <w:jc w:val="center"/>
        <w:tblLook w:val="0620" w:firstRow="1" w:lastRow="0" w:firstColumn="0" w:lastColumn="0" w:noHBand="1" w:noVBand="1"/>
      </w:tblPr>
      <w:tblGrid>
        <w:gridCol w:w="3325"/>
        <w:gridCol w:w="2700"/>
        <w:gridCol w:w="4055"/>
      </w:tblGrid>
      <w:tr w:rsidR="00904D7A" w:rsidRPr="00C02553" w14:paraId="1F6DE132" w14:textId="77777777" w:rsidTr="00476A6C">
        <w:trPr>
          <w:trHeight w:val="276"/>
          <w:jc w:val="center"/>
        </w:trPr>
        <w:tc>
          <w:tcPr>
            <w:tcW w:w="3325" w:type="dxa"/>
            <w:shd w:val="clear" w:color="auto" w:fill="FABF8F"/>
          </w:tcPr>
          <w:p w14:paraId="61F61DB2" w14:textId="77777777" w:rsidR="00904D7A" w:rsidRPr="00C02553" w:rsidRDefault="00904D7A" w:rsidP="001F3A35">
            <w:pPr>
              <w:jc w:val="center"/>
              <w:rPr>
                <w:rFonts w:cs="Arial"/>
                <w:b/>
                <w:bCs/>
                <w:szCs w:val="20"/>
              </w:rPr>
            </w:pPr>
            <w:r w:rsidRPr="00C02553">
              <w:rPr>
                <w:rFonts w:cs="Arial"/>
                <w:b/>
                <w:bCs/>
                <w:szCs w:val="20"/>
              </w:rPr>
              <w:t>Drug Description</w:t>
            </w:r>
          </w:p>
        </w:tc>
        <w:tc>
          <w:tcPr>
            <w:tcW w:w="2700" w:type="dxa"/>
            <w:shd w:val="clear" w:color="auto" w:fill="FABF8F"/>
          </w:tcPr>
          <w:p w14:paraId="39DE15A6" w14:textId="77777777" w:rsidR="00904D7A" w:rsidRPr="00C02553" w:rsidRDefault="00904D7A" w:rsidP="001F3A35">
            <w:pPr>
              <w:jc w:val="center"/>
              <w:rPr>
                <w:rFonts w:cs="Arial"/>
                <w:b/>
                <w:bCs/>
                <w:szCs w:val="20"/>
              </w:rPr>
            </w:pPr>
            <w:r w:rsidRPr="00C02553">
              <w:rPr>
                <w:rFonts w:cs="Arial"/>
                <w:b/>
                <w:bCs/>
                <w:szCs w:val="20"/>
              </w:rPr>
              <w:t>Generic Equivalent</w:t>
            </w:r>
          </w:p>
        </w:tc>
        <w:tc>
          <w:tcPr>
            <w:tcW w:w="4055" w:type="dxa"/>
            <w:shd w:val="clear" w:color="auto" w:fill="FABF8F"/>
          </w:tcPr>
          <w:p w14:paraId="17F14EEF" w14:textId="77777777" w:rsidR="00904D7A" w:rsidRPr="00C02553" w:rsidRDefault="00904D7A" w:rsidP="001F3A35">
            <w:pPr>
              <w:jc w:val="center"/>
              <w:rPr>
                <w:rFonts w:cs="Arial"/>
                <w:b/>
                <w:bCs/>
                <w:szCs w:val="20"/>
              </w:rPr>
            </w:pPr>
            <w:r w:rsidRPr="00C02553">
              <w:rPr>
                <w:rFonts w:cs="Arial"/>
                <w:b/>
                <w:bCs/>
                <w:szCs w:val="20"/>
              </w:rPr>
              <w:t>Max Dosing Limitation</w:t>
            </w:r>
          </w:p>
        </w:tc>
      </w:tr>
      <w:tr w:rsidR="00BA1D52" w:rsidRPr="00C02553" w14:paraId="05C5E883" w14:textId="77777777" w:rsidTr="00476A6C">
        <w:trPr>
          <w:trHeight w:val="276"/>
          <w:jc w:val="center"/>
        </w:trPr>
        <w:tc>
          <w:tcPr>
            <w:tcW w:w="3325" w:type="dxa"/>
            <w:vAlign w:val="center"/>
          </w:tcPr>
          <w:p w14:paraId="556501BF" w14:textId="1244994B" w:rsidR="00BA1D52" w:rsidRPr="00923527" w:rsidRDefault="00BA1D52" w:rsidP="00BA1D52">
            <w:pPr>
              <w:rPr>
                <w:rFonts w:cs="Arial"/>
                <w:b/>
                <w:bCs/>
                <w:color w:val="1F497D" w:themeColor="text2"/>
                <w:szCs w:val="20"/>
              </w:rPr>
            </w:pPr>
            <w:r w:rsidRPr="00923527">
              <w:rPr>
                <w:rFonts w:cs="Arial"/>
                <w:b/>
                <w:bCs/>
                <w:color w:val="1F497D" w:themeColor="text2"/>
                <w:szCs w:val="20"/>
              </w:rPr>
              <w:t>KOSELUGO 7.5 MG SPRINKLE CAP</w:t>
            </w:r>
          </w:p>
        </w:tc>
        <w:tc>
          <w:tcPr>
            <w:tcW w:w="2700" w:type="dxa"/>
            <w:vAlign w:val="center"/>
          </w:tcPr>
          <w:p w14:paraId="1F00DA46" w14:textId="4FDD6BAC" w:rsidR="00BA1D52" w:rsidRPr="00923527" w:rsidRDefault="00BA1D52" w:rsidP="00BA1D52">
            <w:pPr>
              <w:rPr>
                <w:rFonts w:cs="Arial"/>
                <w:b/>
                <w:bCs/>
                <w:caps/>
                <w:color w:val="1F497D" w:themeColor="text2"/>
                <w:szCs w:val="20"/>
              </w:rPr>
            </w:pPr>
            <w:r w:rsidRPr="00923527">
              <w:rPr>
                <w:rFonts w:cs="Arial"/>
                <w:b/>
                <w:bCs/>
                <w:color w:val="1F497D" w:themeColor="text2"/>
                <w:szCs w:val="20"/>
              </w:rPr>
              <w:t>SELUMETINIB SULFATE</w:t>
            </w:r>
          </w:p>
        </w:tc>
        <w:tc>
          <w:tcPr>
            <w:tcW w:w="4055" w:type="dxa"/>
            <w:vAlign w:val="center"/>
          </w:tcPr>
          <w:p w14:paraId="7EC279C1" w14:textId="495C0CF4" w:rsidR="00BA1D52" w:rsidRPr="00923527" w:rsidRDefault="00BA1D52" w:rsidP="00BA1D52">
            <w:pPr>
              <w:rPr>
                <w:rFonts w:cs="Arial"/>
                <w:b/>
                <w:bCs/>
                <w:color w:val="1F497D" w:themeColor="text2"/>
                <w:szCs w:val="20"/>
              </w:rPr>
            </w:pPr>
            <w:r w:rsidRPr="00923527">
              <w:rPr>
                <w:rFonts w:cs="Arial"/>
                <w:b/>
                <w:bCs/>
                <w:color w:val="1F497D" w:themeColor="text2"/>
                <w:szCs w:val="20"/>
              </w:rPr>
              <w:t xml:space="preserve">Deny dosing more frequently than </w:t>
            </w:r>
            <w:r w:rsidR="00016DC7">
              <w:rPr>
                <w:rFonts w:cs="Arial"/>
                <w:b/>
                <w:bCs/>
                <w:color w:val="1F497D" w:themeColor="text2"/>
                <w:szCs w:val="20"/>
              </w:rPr>
              <w:t>4</w:t>
            </w:r>
            <w:r w:rsidRPr="00923527">
              <w:rPr>
                <w:rFonts w:cs="Arial"/>
                <w:b/>
                <w:bCs/>
                <w:color w:val="1F497D" w:themeColor="text2"/>
                <w:szCs w:val="20"/>
              </w:rPr>
              <w:t>/day</w:t>
            </w:r>
          </w:p>
        </w:tc>
      </w:tr>
      <w:tr w:rsidR="00BA1D52" w:rsidRPr="00C02553" w14:paraId="1914B024" w14:textId="77777777" w:rsidTr="00476A6C">
        <w:trPr>
          <w:trHeight w:val="276"/>
          <w:jc w:val="center"/>
        </w:trPr>
        <w:tc>
          <w:tcPr>
            <w:tcW w:w="3325" w:type="dxa"/>
            <w:vAlign w:val="center"/>
          </w:tcPr>
          <w:p w14:paraId="583BDE9A" w14:textId="67002080" w:rsidR="00BA1D52" w:rsidRPr="00923527" w:rsidRDefault="00BA1D52" w:rsidP="00BA1D52">
            <w:pPr>
              <w:rPr>
                <w:rFonts w:cs="Arial"/>
                <w:b/>
                <w:bCs/>
                <w:color w:val="1F497D" w:themeColor="text2"/>
                <w:szCs w:val="20"/>
              </w:rPr>
            </w:pPr>
            <w:r w:rsidRPr="00923527">
              <w:rPr>
                <w:rFonts w:cs="Arial"/>
                <w:b/>
                <w:bCs/>
                <w:color w:val="1F497D" w:themeColor="text2"/>
                <w:szCs w:val="20"/>
              </w:rPr>
              <w:t>KOSELUGO 5 MG SPRINKLE CAP</w:t>
            </w:r>
          </w:p>
        </w:tc>
        <w:tc>
          <w:tcPr>
            <w:tcW w:w="2700" w:type="dxa"/>
            <w:vAlign w:val="center"/>
          </w:tcPr>
          <w:p w14:paraId="0BD7AB77" w14:textId="7C7887A3" w:rsidR="00BA1D52" w:rsidRPr="00923527" w:rsidRDefault="00BA1D52" w:rsidP="00BA1D52">
            <w:pPr>
              <w:rPr>
                <w:rFonts w:cs="Arial"/>
                <w:b/>
                <w:bCs/>
                <w:caps/>
                <w:color w:val="1F497D" w:themeColor="text2"/>
                <w:szCs w:val="20"/>
              </w:rPr>
            </w:pPr>
            <w:r w:rsidRPr="00923527">
              <w:rPr>
                <w:rFonts w:cs="Arial"/>
                <w:b/>
                <w:bCs/>
                <w:color w:val="1F497D" w:themeColor="text2"/>
                <w:szCs w:val="20"/>
              </w:rPr>
              <w:t>SELUMETINIB SULFATE</w:t>
            </w:r>
          </w:p>
        </w:tc>
        <w:tc>
          <w:tcPr>
            <w:tcW w:w="4055" w:type="dxa"/>
            <w:vAlign w:val="center"/>
          </w:tcPr>
          <w:p w14:paraId="6BD9AED2" w14:textId="0AA8FED1" w:rsidR="00BA1D52" w:rsidRPr="00923527" w:rsidRDefault="00BA1D52" w:rsidP="00BA1D52">
            <w:pPr>
              <w:rPr>
                <w:rFonts w:cs="Arial"/>
                <w:b/>
                <w:bCs/>
                <w:color w:val="1F497D" w:themeColor="text2"/>
                <w:szCs w:val="20"/>
              </w:rPr>
            </w:pPr>
            <w:r w:rsidRPr="00923527">
              <w:rPr>
                <w:rFonts w:cs="Arial"/>
                <w:b/>
                <w:bCs/>
                <w:color w:val="1F497D" w:themeColor="text2"/>
                <w:szCs w:val="20"/>
              </w:rPr>
              <w:t>Deny dosing more frequently than 4/day</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5FE7E1B2" w14:textId="77777777" w:rsidR="00324EBB" w:rsidRDefault="00324EBB" w:rsidP="00324EBB">
      <w:pPr>
        <w:pStyle w:val="ListParagraph"/>
        <w:numPr>
          <w:ilvl w:val="0"/>
          <w:numId w:val="19"/>
        </w:numPr>
        <w:ind w:left="360"/>
        <w:rPr>
          <w:rFonts w:cs="Arial"/>
          <w:sz w:val="18"/>
          <w:szCs w:val="18"/>
          <w:shd w:val="clear" w:color="auto" w:fill="FFFFFF"/>
        </w:rPr>
      </w:pPr>
      <w:r w:rsidRPr="005F3C73">
        <w:rPr>
          <w:rFonts w:cs="Arial"/>
          <w:sz w:val="18"/>
          <w:szCs w:val="18"/>
          <w:shd w:val="clear" w:color="auto" w:fill="FFFFFF"/>
        </w:rPr>
        <w:lastRenderedPageBreak/>
        <w:t xml:space="preserve">Koselugo (selumetinib) [package insert]. Wilmington, DE: AstraZeneca Pharmaceuticals LP; </w:t>
      </w:r>
      <w:r>
        <w:rPr>
          <w:rFonts w:cs="Arial"/>
          <w:sz w:val="18"/>
          <w:szCs w:val="18"/>
          <w:shd w:val="clear" w:color="auto" w:fill="FFFFFF"/>
        </w:rPr>
        <w:t>January 2024.</w:t>
      </w:r>
      <w:r w:rsidRPr="005F3C73">
        <w:rPr>
          <w:rFonts w:cs="Arial"/>
          <w:sz w:val="18"/>
          <w:szCs w:val="18"/>
          <w:shd w:val="clear" w:color="auto" w:fill="FFFFFF"/>
        </w:rPr>
        <w:t xml:space="preserve"> </w:t>
      </w:r>
    </w:p>
    <w:p w14:paraId="5DCA5689" w14:textId="77777777" w:rsidR="00324EBB" w:rsidRPr="009312B2" w:rsidRDefault="00324EBB" w:rsidP="00324EBB">
      <w:pPr>
        <w:pStyle w:val="ListParagraph"/>
        <w:numPr>
          <w:ilvl w:val="0"/>
          <w:numId w:val="19"/>
        </w:numPr>
        <w:ind w:left="360"/>
        <w:rPr>
          <w:rFonts w:cs="Arial"/>
          <w:sz w:val="18"/>
          <w:szCs w:val="18"/>
          <w:shd w:val="clear" w:color="auto" w:fill="FFFFFF"/>
        </w:rPr>
      </w:pPr>
      <w:proofErr w:type="spellStart"/>
      <w:r>
        <w:rPr>
          <w:rFonts w:cs="Arial"/>
          <w:sz w:val="18"/>
          <w:szCs w:val="18"/>
          <w:shd w:val="clear" w:color="auto" w:fill="FFFFFF"/>
        </w:rPr>
        <w:t>Gomekli</w:t>
      </w:r>
      <w:proofErr w:type="spellEnd"/>
      <w:r>
        <w:rPr>
          <w:rFonts w:cs="Arial"/>
          <w:sz w:val="18"/>
          <w:szCs w:val="18"/>
          <w:shd w:val="clear" w:color="auto" w:fill="FFFFFF"/>
        </w:rPr>
        <w:t xml:space="preserve"> (</w:t>
      </w:r>
      <w:proofErr w:type="spellStart"/>
      <w:r w:rsidRPr="006232C8">
        <w:rPr>
          <w:rFonts w:cs="Arial"/>
          <w:sz w:val="18"/>
          <w:szCs w:val="18"/>
          <w:shd w:val="clear" w:color="auto" w:fill="FFFFFF"/>
        </w:rPr>
        <w:t>mirdametinib</w:t>
      </w:r>
      <w:proofErr w:type="spellEnd"/>
      <w:r>
        <w:rPr>
          <w:rFonts w:cs="Arial"/>
          <w:sz w:val="18"/>
          <w:szCs w:val="18"/>
          <w:shd w:val="clear" w:color="auto" w:fill="FFFFFF"/>
        </w:rPr>
        <w:t xml:space="preserve">) [package insert]. Samford, CT: </w:t>
      </w:r>
      <w:proofErr w:type="spellStart"/>
      <w:r>
        <w:rPr>
          <w:rFonts w:cs="Arial"/>
          <w:sz w:val="18"/>
          <w:szCs w:val="18"/>
          <w:shd w:val="clear" w:color="auto" w:fill="FFFFFF"/>
        </w:rPr>
        <w:t>SpringWorks</w:t>
      </w:r>
      <w:proofErr w:type="spellEnd"/>
      <w:r>
        <w:rPr>
          <w:rFonts w:cs="Arial"/>
          <w:sz w:val="18"/>
          <w:szCs w:val="18"/>
          <w:shd w:val="clear" w:color="auto" w:fill="FFFFFF"/>
        </w:rPr>
        <w:t xml:space="preserve"> Therapeutics, Inc. February 2025.</w:t>
      </w:r>
    </w:p>
    <w:p w14:paraId="36669CB0" w14:textId="5D543BC2" w:rsidR="00324EBB" w:rsidRPr="005F3C73" w:rsidRDefault="00324EBB" w:rsidP="00324EBB">
      <w:pPr>
        <w:pStyle w:val="ListParagraph"/>
        <w:numPr>
          <w:ilvl w:val="0"/>
          <w:numId w:val="19"/>
        </w:numPr>
        <w:ind w:left="360"/>
        <w:rPr>
          <w:rFonts w:cs="Arial"/>
          <w:sz w:val="18"/>
          <w:szCs w:val="18"/>
          <w:shd w:val="clear" w:color="auto" w:fill="FFFFFF"/>
        </w:rPr>
      </w:pPr>
      <w:r w:rsidRPr="005F3C73">
        <w:rPr>
          <w:rFonts w:cs="Arial"/>
          <w:sz w:val="18"/>
          <w:szCs w:val="18"/>
          <w:shd w:val="clear" w:color="auto" w:fill="FFFFFF"/>
        </w:rPr>
        <w:t xml:space="preserve">NIH: U.S. National Library of Medicine. “AZD6244 Hydrogen Sulfate for Children with Nervous System Tumors.” </w:t>
      </w:r>
      <w:hyperlink r:id="rId11" w:history="1">
        <w:r w:rsidR="00FE5DE9">
          <w:rPr>
            <w:rStyle w:val="Hyperlink"/>
            <w:rFonts w:cs="Arial"/>
            <w:color w:val="auto"/>
            <w:sz w:val="18"/>
            <w:szCs w:val="18"/>
            <w:u w:val="none"/>
          </w:rPr>
          <w:t xml:space="preserve">AZD6244 Hydrogen Sulfate for Children with Nervous System Tumors - ClinicalTrials.gov </w:t>
        </w:r>
      </w:hyperlink>
      <w:r w:rsidRPr="005F3C73">
        <w:rPr>
          <w:rFonts w:cs="Arial"/>
          <w:sz w:val="18"/>
          <w:szCs w:val="18"/>
          <w:shd w:val="clear" w:color="auto" w:fill="FFFFFF"/>
        </w:rPr>
        <w:t xml:space="preserve">. Accessed May 16, 2022. </w:t>
      </w:r>
    </w:p>
    <w:p w14:paraId="1995DA64" w14:textId="77777777" w:rsidR="00324EBB" w:rsidRPr="005F3C73" w:rsidRDefault="00324EBB" w:rsidP="00324EBB">
      <w:pPr>
        <w:pStyle w:val="ListParagraph"/>
        <w:numPr>
          <w:ilvl w:val="0"/>
          <w:numId w:val="19"/>
        </w:numPr>
        <w:ind w:left="360"/>
        <w:rPr>
          <w:rFonts w:cs="Arial"/>
          <w:sz w:val="18"/>
          <w:szCs w:val="18"/>
          <w:shd w:val="clear" w:color="auto" w:fill="FFFFFF"/>
        </w:rPr>
      </w:pPr>
      <w:r w:rsidRPr="005F3C73">
        <w:rPr>
          <w:rFonts w:cs="Arial"/>
          <w:sz w:val="18"/>
          <w:szCs w:val="18"/>
          <w:shd w:val="clear" w:color="auto" w:fill="FFFFFF"/>
        </w:rPr>
        <w:t xml:space="preserve">IPD Analytics: New Drug Review: Koselugo (selumetinib).  April 2020. </w:t>
      </w:r>
    </w:p>
    <w:p w14:paraId="24E7E8A0" w14:textId="77777777" w:rsidR="00324EBB" w:rsidRDefault="00324EBB" w:rsidP="00324EBB">
      <w:pPr>
        <w:pStyle w:val="ListParagraph"/>
        <w:numPr>
          <w:ilvl w:val="0"/>
          <w:numId w:val="19"/>
        </w:numPr>
        <w:ind w:left="360"/>
        <w:rPr>
          <w:rFonts w:cs="Arial"/>
          <w:sz w:val="18"/>
          <w:szCs w:val="18"/>
          <w:shd w:val="clear" w:color="auto" w:fill="FFFFFF"/>
        </w:rPr>
      </w:pPr>
      <w:r w:rsidRPr="005F3C73">
        <w:rPr>
          <w:rFonts w:cs="Arial"/>
          <w:sz w:val="18"/>
          <w:szCs w:val="18"/>
          <w:shd w:val="clear" w:color="auto" w:fill="FFFFFF"/>
        </w:rPr>
        <w:t xml:space="preserve">American Academy of Pediatrics. “Health Supervision for Children with Neurofibromatosis Type 1.” </w:t>
      </w:r>
      <w:hyperlink r:id="rId12" w:history="1">
        <w:r w:rsidRPr="005F3C73">
          <w:rPr>
            <w:rStyle w:val="Hyperlink"/>
            <w:rFonts w:cs="Arial"/>
            <w:color w:val="auto"/>
            <w:sz w:val="18"/>
            <w:szCs w:val="18"/>
            <w:u w:val="none"/>
          </w:rPr>
          <w:t>https://pediatrics.aappublications.org/content/pediatrics/143/5/e20190660.full.pdf</w:t>
        </w:r>
      </w:hyperlink>
      <w:r w:rsidRPr="005F3C73">
        <w:rPr>
          <w:rFonts w:cs="Arial"/>
          <w:sz w:val="18"/>
          <w:szCs w:val="18"/>
          <w:shd w:val="clear" w:color="auto" w:fill="FFFFFF"/>
        </w:rPr>
        <w:t>.</w:t>
      </w:r>
    </w:p>
    <w:p w14:paraId="6FD401BD" w14:textId="77777777" w:rsidR="00324EBB" w:rsidRPr="00302744" w:rsidRDefault="00324EBB" w:rsidP="00324EBB">
      <w:pPr>
        <w:pStyle w:val="ListParagraph"/>
        <w:numPr>
          <w:ilvl w:val="0"/>
          <w:numId w:val="19"/>
        </w:numPr>
        <w:ind w:left="360"/>
        <w:rPr>
          <w:rFonts w:cs="Arial"/>
          <w:sz w:val="18"/>
          <w:szCs w:val="18"/>
          <w:shd w:val="clear" w:color="auto" w:fill="FFFFFF"/>
        </w:rPr>
      </w:pPr>
      <w:r>
        <w:rPr>
          <w:rFonts w:cs="Arial"/>
          <w:sz w:val="18"/>
          <w:szCs w:val="18"/>
          <w:shd w:val="clear" w:color="auto" w:fill="FFFFFF"/>
        </w:rPr>
        <w:t xml:space="preserve">New Drug Review: </w:t>
      </w:r>
      <w:proofErr w:type="spellStart"/>
      <w:r>
        <w:rPr>
          <w:rFonts w:cs="Arial"/>
          <w:sz w:val="18"/>
          <w:szCs w:val="18"/>
          <w:shd w:val="clear" w:color="auto" w:fill="FFFFFF"/>
        </w:rPr>
        <w:t>Gomekli</w:t>
      </w:r>
      <w:proofErr w:type="spellEnd"/>
      <w:r>
        <w:rPr>
          <w:rFonts w:cs="Arial"/>
          <w:sz w:val="18"/>
          <w:szCs w:val="18"/>
          <w:shd w:val="clear" w:color="auto" w:fill="FFFFFF"/>
        </w:rPr>
        <w:t xml:space="preserve"> (</w:t>
      </w:r>
      <w:proofErr w:type="spellStart"/>
      <w:r w:rsidRPr="00E606A9">
        <w:rPr>
          <w:rFonts w:cs="Arial"/>
          <w:sz w:val="18"/>
          <w:szCs w:val="18"/>
          <w:shd w:val="clear" w:color="auto" w:fill="FFFFFF"/>
        </w:rPr>
        <w:t>mirdametinib</w:t>
      </w:r>
      <w:proofErr w:type="spellEnd"/>
      <w:r>
        <w:rPr>
          <w:rFonts w:cs="Arial"/>
          <w:sz w:val="18"/>
          <w:szCs w:val="18"/>
          <w:shd w:val="clear" w:color="auto" w:fill="FFFFFF"/>
        </w:rPr>
        <w:t>). IPD Analytics. March 2025.</w:t>
      </w:r>
    </w:p>
    <w:p w14:paraId="3FA1E7DB" w14:textId="405A3674" w:rsidR="00777CA4" w:rsidRDefault="00777CA4" w:rsidP="00324EBB"/>
    <w:sectPr w:rsidR="00777CA4" w:rsidSect="00AB0B9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B593" w14:textId="77777777" w:rsidR="004D4399" w:rsidRPr="00C02553" w:rsidRDefault="004D4399" w:rsidP="00AE77DB">
      <w:r w:rsidRPr="00C02553">
        <w:separator/>
      </w:r>
    </w:p>
  </w:endnote>
  <w:endnote w:type="continuationSeparator" w:id="0">
    <w:p w14:paraId="53A958A7" w14:textId="77777777" w:rsidR="004D4399" w:rsidRPr="00C02553" w:rsidRDefault="004D4399" w:rsidP="00AE77DB">
      <w:r w:rsidRPr="00C02553">
        <w:continuationSeparator/>
      </w:r>
    </w:p>
  </w:endnote>
  <w:endnote w:type="continuationNotice" w:id="1">
    <w:p w14:paraId="753BE2F5" w14:textId="77777777" w:rsidR="004D4399" w:rsidRPr="00C02553" w:rsidRDefault="004D4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4EDB" w14:textId="77777777" w:rsidR="004D4399" w:rsidRPr="00C02553" w:rsidRDefault="004D4399" w:rsidP="00AE77DB">
      <w:r w:rsidRPr="00C02553">
        <w:separator/>
      </w:r>
    </w:p>
  </w:footnote>
  <w:footnote w:type="continuationSeparator" w:id="0">
    <w:p w14:paraId="1E838351" w14:textId="77777777" w:rsidR="004D4399" w:rsidRPr="00C02553" w:rsidRDefault="004D4399" w:rsidP="00AE77DB">
      <w:r w:rsidRPr="00C02553">
        <w:continuationSeparator/>
      </w:r>
    </w:p>
  </w:footnote>
  <w:footnote w:type="continuationNotice" w:id="1">
    <w:p w14:paraId="6E84767B" w14:textId="77777777" w:rsidR="004D4399" w:rsidRPr="00C02553" w:rsidRDefault="004D4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796F1E">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796F1E">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796F1E">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E54FE"/>
    <w:multiLevelType w:val="hybridMultilevel"/>
    <w:tmpl w:val="ABB6FC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A2DA8"/>
    <w:multiLevelType w:val="hybridMultilevel"/>
    <w:tmpl w:val="2C344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E1484D"/>
    <w:multiLevelType w:val="hybridMultilevel"/>
    <w:tmpl w:val="E0A6D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2"/>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1911186802">
    <w:abstractNumId w:val="6"/>
  </w:num>
  <w:num w:numId="16" w16cid:durableId="1692295625">
    <w:abstractNumId w:val="11"/>
  </w:num>
  <w:num w:numId="17" w16cid:durableId="1976327153">
    <w:abstractNumId w:val="16"/>
  </w:num>
  <w:num w:numId="18" w16cid:durableId="1014914955">
    <w:abstractNumId w:val="17"/>
  </w:num>
  <w:num w:numId="19" w16cid:durableId="174564466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7wQ8fpTfp+dJaSeUb3ZPj/NP2YG7NdrDJvcfDfHd/yWh/hKj4yzZg6iVTfgFd4E8JXGVJakp4MCRfqHrC6Qu5Q==" w:salt="byeco1gewG/QiuQ2rZRwa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6DC7"/>
    <w:rsid w:val="00017CBA"/>
    <w:rsid w:val="000276D9"/>
    <w:rsid w:val="000344C5"/>
    <w:rsid w:val="00040AD3"/>
    <w:rsid w:val="0004661C"/>
    <w:rsid w:val="00051FD0"/>
    <w:rsid w:val="00053807"/>
    <w:rsid w:val="000572E5"/>
    <w:rsid w:val="00061541"/>
    <w:rsid w:val="00062C9F"/>
    <w:rsid w:val="00064162"/>
    <w:rsid w:val="00065C22"/>
    <w:rsid w:val="00074464"/>
    <w:rsid w:val="00074EF2"/>
    <w:rsid w:val="00076030"/>
    <w:rsid w:val="00082590"/>
    <w:rsid w:val="00086865"/>
    <w:rsid w:val="000913C3"/>
    <w:rsid w:val="000953B9"/>
    <w:rsid w:val="000A2D17"/>
    <w:rsid w:val="000A413B"/>
    <w:rsid w:val="000A6279"/>
    <w:rsid w:val="000B496B"/>
    <w:rsid w:val="000C3940"/>
    <w:rsid w:val="000C5992"/>
    <w:rsid w:val="000E1479"/>
    <w:rsid w:val="000E231E"/>
    <w:rsid w:val="000E247D"/>
    <w:rsid w:val="000E6B14"/>
    <w:rsid w:val="000E70D8"/>
    <w:rsid w:val="000F6911"/>
    <w:rsid w:val="001062F6"/>
    <w:rsid w:val="00112FC7"/>
    <w:rsid w:val="00113AA0"/>
    <w:rsid w:val="00124F1A"/>
    <w:rsid w:val="00125F5F"/>
    <w:rsid w:val="00126951"/>
    <w:rsid w:val="00126B60"/>
    <w:rsid w:val="00127EF6"/>
    <w:rsid w:val="001310AD"/>
    <w:rsid w:val="001314A5"/>
    <w:rsid w:val="00132C7F"/>
    <w:rsid w:val="001333EA"/>
    <w:rsid w:val="0014146C"/>
    <w:rsid w:val="00143A11"/>
    <w:rsid w:val="00144DBE"/>
    <w:rsid w:val="00152C8B"/>
    <w:rsid w:val="0015636A"/>
    <w:rsid w:val="00162E0B"/>
    <w:rsid w:val="00172053"/>
    <w:rsid w:val="00174D4A"/>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0671"/>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B7250"/>
    <w:rsid w:val="002C2C41"/>
    <w:rsid w:val="002C5005"/>
    <w:rsid w:val="002C62E7"/>
    <w:rsid w:val="002E05E2"/>
    <w:rsid w:val="002E1B73"/>
    <w:rsid w:val="002E2DD6"/>
    <w:rsid w:val="002E3F28"/>
    <w:rsid w:val="002F0E52"/>
    <w:rsid w:val="002F2274"/>
    <w:rsid w:val="002F2405"/>
    <w:rsid w:val="002F690F"/>
    <w:rsid w:val="0030301F"/>
    <w:rsid w:val="003031FA"/>
    <w:rsid w:val="00303B21"/>
    <w:rsid w:val="003105A5"/>
    <w:rsid w:val="00313701"/>
    <w:rsid w:val="00314430"/>
    <w:rsid w:val="00316188"/>
    <w:rsid w:val="003171AF"/>
    <w:rsid w:val="00317469"/>
    <w:rsid w:val="0032215C"/>
    <w:rsid w:val="00324EBB"/>
    <w:rsid w:val="0032616B"/>
    <w:rsid w:val="00326687"/>
    <w:rsid w:val="003275F9"/>
    <w:rsid w:val="00330DD4"/>
    <w:rsid w:val="003345D2"/>
    <w:rsid w:val="003355AC"/>
    <w:rsid w:val="00343D6B"/>
    <w:rsid w:val="00346090"/>
    <w:rsid w:val="00347FB5"/>
    <w:rsid w:val="00355515"/>
    <w:rsid w:val="003608B5"/>
    <w:rsid w:val="003613AF"/>
    <w:rsid w:val="00371425"/>
    <w:rsid w:val="003878C1"/>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36159"/>
    <w:rsid w:val="00446BBC"/>
    <w:rsid w:val="004471BA"/>
    <w:rsid w:val="004472C0"/>
    <w:rsid w:val="00450705"/>
    <w:rsid w:val="00451928"/>
    <w:rsid w:val="004602AD"/>
    <w:rsid w:val="00460B5D"/>
    <w:rsid w:val="00465344"/>
    <w:rsid w:val="0046618B"/>
    <w:rsid w:val="00476A6C"/>
    <w:rsid w:val="0048347E"/>
    <w:rsid w:val="0048608C"/>
    <w:rsid w:val="00496E57"/>
    <w:rsid w:val="004B3E10"/>
    <w:rsid w:val="004B5E3C"/>
    <w:rsid w:val="004C0F5D"/>
    <w:rsid w:val="004C375A"/>
    <w:rsid w:val="004C4954"/>
    <w:rsid w:val="004C5767"/>
    <w:rsid w:val="004D0080"/>
    <w:rsid w:val="004D4399"/>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4D88"/>
    <w:rsid w:val="00526C8D"/>
    <w:rsid w:val="005328B2"/>
    <w:rsid w:val="00535BD5"/>
    <w:rsid w:val="00535CCF"/>
    <w:rsid w:val="00540977"/>
    <w:rsid w:val="00551668"/>
    <w:rsid w:val="005572D5"/>
    <w:rsid w:val="00566A7E"/>
    <w:rsid w:val="00566BE4"/>
    <w:rsid w:val="00570D21"/>
    <w:rsid w:val="00572B25"/>
    <w:rsid w:val="00576113"/>
    <w:rsid w:val="00590652"/>
    <w:rsid w:val="0059235F"/>
    <w:rsid w:val="00596936"/>
    <w:rsid w:val="005A2F1E"/>
    <w:rsid w:val="005A4232"/>
    <w:rsid w:val="005A7B27"/>
    <w:rsid w:val="005B3F25"/>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47825"/>
    <w:rsid w:val="00650530"/>
    <w:rsid w:val="00650C96"/>
    <w:rsid w:val="00653788"/>
    <w:rsid w:val="0065477F"/>
    <w:rsid w:val="00656896"/>
    <w:rsid w:val="00661656"/>
    <w:rsid w:val="0066374F"/>
    <w:rsid w:val="00677C65"/>
    <w:rsid w:val="00682727"/>
    <w:rsid w:val="00693152"/>
    <w:rsid w:val="00694FAE"/>
    <w:rsid w:val="00696E3A"/>
    <w:rsid w:val="006A0834"/>
    <w:rsid w:val="006A4BBD"/>
    <w:rsid w:val="006A52F1"/>
    <w:rsid w:val="006B561D"/>
    <w:rsid w:val="006B6D5D"/>
    <w:rsid w:val="006D2330"/>
    <w:rsid w:val="006E0F8B"/>
    <w:rsid w:val="006E12F7"/>
    <w:rsid w:val="006E29D7"/>
    <w:rsid w:val="006E7742"/>
    <w:rsid w:val="007068A4"/>
    <w:rsid w:val="00706D67"/>
    <w:rsid w:val="00707F8E"/>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86232"/>
    <w:rsid w:val="00792DF0"/>
    <w:rsid w:val="0079438F"/>
    <w:rsid w:val="00796F1E"/>
    <w:rsid w:val="007A3034"/>
    <w:rsid w:val="007A527E"/>
    <w:rsid w:val="007A53E7"/>
    <w:rsid w:val="007A6EC3"/>
    <w:rsid w:val="007A78F7"/>
    <w:rsid w:val="007B3333"/>
    <w:rsid w:val="007B379F"/>
    <w:rsid w:val="007B37D6"/>
    <w:rsid w:val="007B5D30"/>
    <w:rsid w:val="007D2920"/>
    <w:rsid w:val="007D42DD"/>
    <w:rsid w:val="007E6A37"/>
    <w:rsid w:val="007F1774"/>
    <w:rsid w:val="007F593C"/>
    <w:rsid w:val="007F7DB2"/>
    <w:rsid w:val="00811A70"/>
    <w:rsid w:val="0081406E"/>
    <w:rsid w:val="00832211"/>
    <w:rsid w:val="008325F4"/>
    <w:rsid w:val="00832AC8"/>
    <w:rsid w:val="00835E30"/>
    <w:rsid w:val="00843847"/>
    <w:rsid w:val="00843C60"/>
    <w:rsid w:val="00846FA4"/>
    <w:rsid w:val="008524BA"/>
    <w:rsid w:val="00852B74"/>
    <w:rsid w:val="00856928"/>
    <w:rsid w:val="00865538"/>
    <w:rsid w:val="00870875"/>
    <w:rsid w:val="0088225C"/>
    <w:rsid w:val="00884026"/>
    <w:rsid w:val="00884C78"/>
    <w:rsid w:val="008859E1"/>
    <w:rsid w:val="008874E8"/>
    <w:rsid w:val="00896264"/>
    <w:rsid w:val="008A2549"/>
    <w:rsid w:val="008A5D88"/>
    <w:rsid w:val="008B2851"/>
    <w:rsid w:val="008C000E"/>
    <w:rsid w:val="008D0F2F"/>
    <w:rsid w:val="008D237F"/>
    <w:rsid w:val="008D2A05"/>
    <w:rsid w:val="008D3FD8"/>
    <w:rsid w:val="008D6B05"/>
    <w:rsid w:val="008E7D2D"/>
    <w:rsid w:val="008F44C0"/>
    <w:rsid w:val="008F461A"/>
    <w:rsid w:val="008F4DA1"/>
    <w:rsid w:val="008F5999"/>
    <w:rsid w:val="00900CCE"/>
    <w:rsid w:val="00903AD6"/>
    <w:rsid w:val="00904D7A"/>
    <w:rsid w:val="00915332"/>
    <w:rsid w:val="009204BB"/>
    <w:rsid w:val="00923527"/>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C4FFF"/>
    <w:rsid w:val="009D2057"/>
    <w:rsid w:val="009D3D6C"/>
    <w:rsid w:val="009D5551"/>
    <w:rsid w:val="009D62DB"/>
    <w:rsid w:val="009E3B42"/>
    <w:rsid w:val="009F518A"/>
    <w:rsid w:val="00A02AF6"/>
    <w:rsid w:val="00A05B60"/>
    <w:rsid w:val="00A06213"/>
    <w:rsid w:val="00A13266"/>
    <w:rsid w:val="00A14FA6"/>
    <w:rsid w:val="00A15D64"/>
    <w:rsid w:val="00A20575"/>
    <w:rsid w:val="00A32452"/>
    <w:rsid w:val="00A325CC"/>
    <w:rsid w:val="00A32BBF"/>
    <w:rsid w:val="00A37444"/>
    <w:rsid w:val="00A4281A"/>
    <w:rsid w:val="00A459CF"/>
    <w:rsid w:val="00A5014D"/>
    <w:rsid w:val="00A52B5E"/>
    <w:rsid w:val="00A53E96"/>
    <w:rsid w:val="00A56F18"/>
    <w:rsid w:val="00A628F8"/>
    <w:rsid w:val="00A62BAA"/>
    <w:rsid w:val="00A66172"/>
    <w:rsid w:val="00A744C3"/>
    <w:rsid w:val="00A80896"/>
    <w:rsid w:val="00A86613"/>
    <w:rsid w:val="00A92AAA"/>
    <w:rsid w:val="00AA70AB"/>
    <w:rsid w:val="00AB0B9F"/>
    <w:rsid w:val="00AB1713"/>
    <w:rsid w:val="00AB2ECE"/>
    <w:rsid w:val="00AB63BE"/>
    <w:rsid w:val="00AC1EBC"/>
    <w:rsid w:val="00AC2599"/>
    <w:rsid w:val="00AC2DE9"/>
    <w:rsid w:val="00AC3CD9"/>
    <w:rsid w:val="00AD2C5F"/>
    <w:rsid w:val="00AD75FD"/>
    <w:rsid w:val="00AE1481"/>
    <w:rsid w:val="00AE27F9"/>
    <w:rsid w:val="00AE678F"/>
    <w:rsid w:val="00AE77DB"/>
    <w:rsid w:val="00AF7453"/>
    <w:rsid w:val="00B00FFF"/>
    <w:rsid w:val="00B01F72"/>
    <w:rsid w:val="00B06084"/>
    <w:rsid w:val="00B16735"/>
    <w:rsid w:val="00B17EDE"/>
    <w:rsid w:val="00B22585"/>
    <w:rsid w:val="00B33693"/>
    <w:rsid w:val="00B34C53"/>
    <w:rsid w:val="00B507A5"/>
    <w:rsid w:val="00B52475"/>
    <w:rsid w:val="00B535DA"/>
    <w:rsid w:val="00B56DCC"/>
    <w:rsid w:val="00B56F54"/>
    <w:rsid w:val="00B638C2"/>
    <w:rsid w:val="00B74651"/>
    <w:rsid w:val="00B758AB"/>
    <w:rsid w:val="00B76277"/>
    <w:rsid w:val="00B772AB"/>
    <w:rsid w:val="00B80395"/>
    <w:rsid w:val="00B80B56"/>
    <w:rsid w:val="00B86372"/>
    <w:rsid w:val="00B90E92"/>
    <w:rsid w:val="00BA1C17"/>
    <w:rsid w:val="00BA1D52"/>
    <w:rsid w:val="00BA1D65"/>
    <w:rsid w:val="00BB3B4D"/>
    <w:rsid w:val="00BC351E"/>
    <w:rsid w:val="00BC3F77"/>
    <w:rsid w:val="00BC5635"/>
    <w:rsid w:val="00BC5675"/>
    <w:rsid w:val="00BD081C"/>
    <w:rsid w:val="00BD277B"/>
    <w:rsid w:val="00BD46BC"/>
    <w:rsid w:val="00BD47CA"/>
    <w:rsid w:val="00BD62C7"/>
    <w:rsid w:val="00BD64E8"/>
    <w:rsid w:val="00BE020D"/>
    <w:rsid w:val="00BE252F"/>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842A7"/>
    <w:rsid w:val="00C96873"/>
    <w:rsid w:val="00C97C05"/>
    <w:rsid w:val="00CA1735"/>
    <w:rsid w:val="00CA207E"/>
    <w:rsid w:val="00CA3C4B"/>
    <w:rsid w:val="00CA7252"/>
    <w:rsid w:val="00CB2C5A"/>
    <w:rsid w:val="00CD6D02"/>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6775C"/>
    <w:rsid w:val="00D70D50"/>
    <w:rsid w:val="00D71917"/>
    <w:rsid w:val="00D95E68"/>
    <w:rsid w:val="00DA3A0F"/>
    <w:rsid w:val="00DA4E62"/>
    <w:rsid w:val="00DA6990"/>
    <w:rsid w:val="00DB27BA"/>
    <w:rsid w:val="00DB3009"/>
    <w:rsid w:val="00DB337A"/>
    <w:rsid w:val="00DB3CE1"/>
    <w:rsid w:val="00DB4E6B"/>
    <w:rsid w:val="00DB6AF6"/>
    <w:rsid w:val="00DC034A"/>
    <w:rsid w:val="00DC51CB"/>
    <w:rsid w:val="00DD4819"/>
    <w:rsid w:val="00DD4B8A"/>
    <w:rsid w:val="00DD5403"/>
    <w:rsid w:val="00DE1388"/>
    <w:rsid w:val="00DE5978"/>
    <w:rsid w:val="00DE7501"/>
    <w:rsid w:val="00DF3146"/>
    <w:rsid w:val="00DF38C5"/>
    <w:rsid w:val="00DF57C3"/>
    <w:rsid w:val="00E008D9"/>
    <w:rsid w:val="00E00E2A"/>
    <w:rsid w:val="00E02FE0"/>
    <w:rsid w:val="00E07ABE"/>
    <w:rsid w:val="00E11A3F"/>
    <w:rsid w:val="00E1386E"/>
    <w:rsid w:val="00E2369B"/>
    <w:rsid w:val="00E23EC0"/>
    <w:rsid w:val="00E354AA"/>
    <w:rsid w:val="00E43D54"/>
    <w:rsid w:val="00E442FB"/>
    <w:rsid w:val="00E46292"/>
    <w:rsid w:val="00E529DB"/>
    <w:rsid w:val="00E53A5E"/>
    <w:rsid w:val="00E5643D"/>
    <w:rsid w:val="00E6466A"/>
    <w:rsid w:val="00E72221"/>
    <w:rsid w:val="00E76F34"/>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763"/>
    <w:rsid w:val="00F62F33"/>
    <w:rsid w:val="00F634C1"/>
    <w:rsid w:val="00F63A52"/>
    <w:rsid w:val="00F720AD"/>
    <w:rsid w:val="00F730BA"/>
    <w:rsid w:val="00F87CCE"/>
    <w:rsid w:val="00F903BE"/>
    <w:rsid w:val="00F91F25"/>
    <w:rsid w:val="00F95D04"/>
    <w:rsid w:val="00FA16EC"/>
    <w:rsid w:val="00FA2811"/>
    <w:rsid w:val="00FA4837"/>
    <w:rsid w:val="00FB1D33"/>
    <w:rsid w:val="00FB5E96"/>
    <w:rsid w:val="00FC05A0"/>
    <w:rsid w:val="00FC6758"/>
    <w:rsid w:val="00FD34EA"/>
    <w:rsid w:val="00FE3F3E"/>
    <w:rsid w:val="00FE4D52"/>
    <w:rsid w:val="00FE5AEE"/>
    <w:rsid w:val="00FE5DE9"/>
    <w:rsid w:val="00FF106B"/>
    <w:rsid w:val="00FF27DB"/>
    <w:rsid w:val="00FF3531"/>
    <w:rsid w:val="15A2FF0D"/>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customStyle="1" w:styleId="Default">
    <w:name w:val="Default"/>
    <w:rsid w:val="00C842A7"/>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2AD"/>
    <w:rPr>
      <w:sz w:val="16"/>
      <w:szCs w:val="16"/>
    </w:rPr>
  </w:style>
  <w:style w:type="paragraph" w:styleId="CommentSubject">
    <w:name w:val="annotation subject"/>
    <w:basedOn w:val="CommentText"/>
    <w:next w:val="CommentText"/>
    <w:link w:val="CommentSubjectChar"/>
    <w:uiPriority w:val="99"/>
    <w:semiHidden/>
    <w:unhideWhenUsed/>
    <w:rsid w:val="004602AD"/>
    <w:rPr>
      <w:b/>
      <w:bCs/>
    </w:rPr>
  </w:style>
  <w:style w:type="character" w:customStyle="1" w:styleId="CommentTextChar">
    <w:name w:val="Comment Text Char"/>
    <w:basedOn w:val="DefaultParagraphFont"/>
    <w:link w:val="CommentText"/>
    <w:semiHidden/>
    <w:rsid w:val="004602AD"/>
    <w:rPr>
      <w:rFonts w:ascii="Arial" w:hAnsi="Arial"/>
    </w:rPr>
  </w:style>
  <w:style w:type="character" w:customStyle="1" w:styleId="CommentSubjectChar">
    <w:name w:val="Comment Subject Char"/>
    <w:basedOn w:val="CommentTextChar"/>
    <w:link w:val="CommentSubject"/>
    <w:uiPriority w:val="99"/>
    <w:semiHidden/>
    <w:rsid w:val="004602AD"/>
    <w:rPr>
      <w:rFonts w:ascii="Arial" w:hAnsi="Arial"/>
      <w:b/>
      <w:bCs/>
    </w:rPr>
  </w:style>
  <w:style w:type="paragraph" w:styleId="Revision">
    <w:name w:val="Revision"/>
    <w:hidden/>
    <w:uiPriority w:val="99"/>
    <w:semiHidden/>
    <w:rsid w:val="00A92AA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diatrics.aappublications.org/content/pediatrics/143/5/e20190660.ful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ct2/show/NCT01362803?term=NCT01362803&amp;draw%20=2&amp;rank=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4DDFC5D9-92B5-43D7-BF85-C1475772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786</Words>
  <Characters>4709</Characters>
  <Application>Microsoft Office Word</Application>
  <DocSecurity>10</DocSecurity>
  <Lines>39</Lines>
  <Paragraphs>10</Paragraphs>
  <ScaleCrop>false</ScaleCrop>
  <HeadingPairs>
    <vt:vector size="2" baseType="variant">
      <vt:variant>
        <vt:lpstr>Title</vt:lpstr>
      </vt:variant>
      <vt:variant>
        <vt:i4>1</vt:i4>
      </vt:variant>
    </vt:vector>
  </HeadingPairs>
  <TitlesOfParts>
    <vt:vector size="1" baseType="lpstr">
      <vt:lpstr>Neurofibromatosis 1 CE</vt:lpstr>
    </vt:vector>
  </TitlesOfParts>
  <Company>DSS</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Neurofibromatosis 1 CE</dc:title>
  <dc:subject/>
  <dc:creator>DMS</dc:creator>
  <cp:keywords/>
  <cp:lastModifiedBy>Heriford, Katherine</cp:lastModifiedBy>
  <cp:revision>72</cp:revision>
  <cp:lastPrinted>2018-10-31T18:17:00Z</cp:lastPrinted>
  <dcterms:created xsi:type="dcterms:W3CDTF">2025-11-19T15:39:00Z</dcterms:created>
  <dcterms:modified xsi:type="dcterms:W3CDTF">2026-07-06T17:30:00Z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