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1991F313" w:rsidR="004C5767" w:rsidRPr="00051FD0" w:rsidRDefault="004C5767" w:rsidP="00D27533">
      <w:pPr>
        <w:pStyle w:val="tbody"/>
        <w:rPr>
          <w:b w:val="0"/>
          <w:bCs/>
        </w:rPr>
      </w:pPr>
      <w:r w:rsidRPr="00C02553">
        <w:t>Drug/Drug Class:</w:t>
      </w:r>
      <w:r w:rsidR="003B4820">
        <w:t xml:space="preserve"> </w:t>
      </w:r>
      <w:r w:rsidR="00846D63" w:rsidRPr="00846D63">
        <w:rPr>
          <w:b w:val="0"/>
          <w:bCs/>
        </w:rPr>
        <w:t xml:space="preserve">Primary Hyperoxaluria Clinical Edit (Formerly </w:t>
      </w:r>
      <w:proofErr w:type="spellStart"/>
      <w:r w:rsidR="00846D63" w:rsidRPr="00846D63">
        <w:rPr>
          <w:b w:val="0"/>
          <w:bCs/>
        </w:rPr>
        <w:t>Oxlumo</w:t>
      </w:r>
      <w:proofErr w:type="spellEnd"/>
      <w:r w:rsidR="00846D63" w:rsidRPr="00846D63">
        <w:rPr>
          <w:b w:val="0"/>
          <w:bCs/>
        </w:rPr>
        <w:t>)</w:t>
      </w:r>
    </w:p>
    <w:p w14:paraId="7AD7FFCE" w14:textId="67B18C65" w:rsidR="004C5767" w:rsidRPr="00051FD0" w:rsidRDefault="004C5767" w:rsidP="00D27533">
      <w:pPr>
        <w:pStyle w:val="tbody"/>
        <w:rPr>
          <w:b w:val="0"/>
          <w:bCs/>
        </w:rPr>
      </w:pPr>
      <w:r w:rsidRPr="00C02553">
        <w:t xml:space="preserve">First Implementation Date: </w:t>
      </w:r>
      <w:r w:rsidR="00B06A78" w:rsidRPr="00B06A78">
        <w:rPr>
          <w:b w:val="0"/>
          <w:bCs/>
        </w:rPr>
        <w:t>July 29, 2021</w:t>
      </w:r>
    </w:p>
    <w:p w14:paraId="4B7D760D" w14:textId="4B647F9E" w:rsidR="004C5767" w:rsidRPr="00D232D9" w:rsidRDefault="00D95E68" w:rsidP="15EB50BA">
      <w:pPr>
        <w:pStyle w:val="tbody"/>
        <w:rPr>
          <w:b w:val="0"/>
        </w:rPr>
      </w:pPr>
      <w:r>
        <w:t>Proposed</w:t>
      </w:r>
      <w:r w:rsidR="004C5767">
        <w:t xml:space="preserve"> Date:</w:t>
      </w:r>
      <w:r w:rsidR="00065C22">
        <w:t xml:space="preserve"> </w:t>
      </w:r>
      <w:r w:rsidR="00F62763">
        <w:rPr>
          <w:b w:val="0"/>
        </w:rPr>
        <w:t>July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03479354" w14:textId="7C9C0D65" w:rsidR="004C5767" w:rsidRPr="002C2C41" w:rsidRDefault="004C5767" w:rsidP="00385E69">
      <w:pPr>
        <w:pStyle w:val="tbody"/>
        <w:rPr>
          <w:rFonts w:cs="Arial"/>
        </w:rPr>
      </w:pPr>
      <w:r w:rsidRPr="00C02553">
        <w:t>Criteria Status:</w:t>
      </w:r>
      <w:r w:rsidR="007B258E">
        <w:t xml:space="preserve"> </w:t>
      </w:r>
      <w:r w:rsidR="007B258E">
        <w:rPr>
          <w:b w:val="0"/>
          <w:bCs/>
        </w:rPr>
        <w:t>Revision of</w:t>
      </w:r>
      <w:r w:rsidRPr="00C02553">
        <w:t xml:space="preserve"> </w:t>
      </w:r>
      <w:r w:rsidR="00566BE4" w:rsidRPr="00385E69">
        <w:rPr>
          <w:b w:val="0"/>
          <w:bCs/>
          <w:spacing w:val="-3"/>
        </w:rPr>
        <w:t>Existing Criteria</w:t>
      </w: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480FC174" w:rsidR="00D47996" w:rsidRDefault="79EEA449" w:rsidP="00696E3A">
      <w:r>
        <w:t>Ensure appropriate utilization and control of</w:t>
      </w:r>
      <w:r w:rsidR="00D47996">
        <w:t xml:space="preserve"> </w:t>
      </w:r>
      <w:r w:rsidR="006F4D91">
        <w:rPr>
          <w:rFonts w:cs="Arial"/>
          <w:spacing w:val="-3"/>
        </w:rPr>
        <w:t xml:space="preserve">agents for </w:t>
      </w:r>
      <w:r w:rsidR="006F4D91" w:rsidRPr="00E277F4">
        <w:rPr>
          <w:rFonts w:cs="Arial"/>
          <w:spacing w:val="-3"/>
        </w:rPr>
        <w:t>Primary Hyperoxaluria</w:t>
      </w:r>
      <w:r w:rsidR="006F4D91">
        <w:rPr>
          <w:rFonts w:cs="Arial"/>
          <w:spacing w:val="-3"/>
        </w:rPr>
        <w:t>.</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675EC23" w14:textId="77777777" w:rsidR="00001B7E" w:rsidRDefault="00001B7E" w:rsidP="00001B7E">
      <w:pPr>
        <w:pStyle w:val="Header"/>
        <w:rPr>
          <w:rFonts w:cs="Arial"/>
          <w:spacing w:val="-3"/>
          <w:sz w:val="20"/>
        </w:rPr>
      </w:pPr>
      <w:r>
        <w:rPr>
          <w:rFonts w:cs="Arial"/>
          <w:spacing w:val="-3"/>
          <w:sz w:val="20"/>
        </w:rPr>
        <w:t>P</w:t>
      </w:r>
      <w:r w:rsidRPr="00640F4A">
        <w:rPr>
          <w:rFonts w:cs="Arial"/>
          <w:spacing w:val="-3"/>
          <w:sz w:val="20"/>
        </w:rPr>
        <w:t xml:space="preserve">rimary </w:t>
      </w:r>
      <w:r>
        <w:rPr>
          <w:rFonts w:cs="Arial"/>
          <w:spacing w:val="-3"/>
          <w:sz w:val="20"/>
        </w:rPr>
        <w:t>H</w:t>
      </w:r>
      <w:r w:rsidRPr="00640F4A">
        <w:rPr>
          <w:rFonts w:cs="Arial"/>
          <w:spacing w:val="-3"/>
          <w:sz w:val="20"/>
        </w:rPr>
        <w:t xml:space="preserve">yperoxaluria type 1 </w:t>
      </w:r>
      <w:r>
        <w:rPr>
          <w:rFonts w:cs="Arial"/>
          <w:spacing w:val="-3"/>
          <w:sz w:val="20"/>
        </w:rPr>
        <w:t xml:space="preserve">(PH1) </w:t>
      </w:r>
      <w:r w:rsidRPr="007C36D0">
        <w:rPr>
          <w:rFonts w:cs="Arial"/>
          <w:spacing w:val="-3"/>
          <w:sz w:val="20"/>
        </w:rPr>
        <w:t xml:space="preserve">is caused by a </w:t>
      </w:r>
      <w:r>
        <w:rPr>
          <w:rFonts w:cs="Arial"/>
          <w:spacing w:val="-3"/>
          <w:sz w:val="20"/>
        </w:rPr>
        <w:t>pathogenic variant</w:t>
      </w:r>
      <w:r w:rsidRPr="007C36D0">
        <w:rPr>
          <w:rFonts w:cs="Arial"/>
          <w:spacing w:val="-3"/>
          <w:sz w:val="20"/>
        </w:rPr>
        <w:t xml:space="preserve"> in the alanine-glyoxylate aminotransferase (AGXT) gene, which encodes the alanine glyoxylate aminotransferase (AGT) enzyme. This mutation prevents the breakdown of </w:t>
      </w:r>
      <w:r w:rsidRPr="00DC66A0">
        <w:rPr>
          <w:rFonts w:cs="Arial"/>
          <w:spacing w:val="-3"/>
          <w:sz w:val="20"/>
        </w:rPr>
        <w:t>glyoxylate, causing it to convert to oxalate and accumulate in the kidney and urinary tract, where it can then combine with calcium to form kidney and urinary stones. Patients typically develop recurrent kidney stones with progressive nephrocalcinosis and end stage renal disease by 20 - 30 years of age. Patients with progressive disease can also present with systemic signs of oxalosis, which includes elevated plasma oxalate levels and potential oxalate deposits in extrarenal organs and tissues</w:t>
      </w:r>
      <w:r>
        <w:rPr>
          <w:rFonts w:cs="Arial"/>
          <w:spacing w:val="-3"/>
          <w:sz w:val="20"/>
        </w:rPr>
        <w:t>.</w:t>
      </w:r>
    </w:p>
    <w:p w14:paraId="54F0EF4D" w14:textId="77777777" w:rsidR="00001B7E" w:rsidRDefault="00001B7E" w:rsidP="00001B7E">
      <w:pPr>
        <w:pStyle w:val="Header"/>
        <w:rPr>
          <w:rFonts w:cs="Arial"/>
          <w:spacing w:val="-3"/>
          <w:sz w:val="20"/>
        </w:rPr>
      </w:pPr>
    </w:p>
    <w:p w14:paraId="3A194F17" w14:textId="77777777" w:rsidR="00001B7E" w:rsidRDefault="00001B7E" w:rsidP="00001B7E">
      <w:pPr>
        <w:pStyle w:val="Header"/>
        <w:rPr>
          <w:rFonts w:eastAsiaTheme="minorHAnsi"/>
          <w:sz w:val="20"/>
        </w:rPr>
      </w:pPr>
      <w:r>
        <w:rPr>
          <w:rFonts w:cs="Arial"/>
          <w:spacing w:val="-3"/>
          <w:sz w:val="20"/>
        </w:rPr>
        <w:t xml:space="preserve">There are presently two </w:t>
      </w:r>
      <w:r w:rsidRPr="00594E33">
        <w:rPr>
          <w:rFonts w:cs="Arial"/>
          <w:spacing w:val="-3"/>
          <w:sz w:val="20"/>
        </w:rPr>
        <w:t>lactate dehydrogenase A (</w:t>
      </w:r>
      <w:r w:rsidRPr="00594E33">
        <w:rPr>
          <w:rFonts w:cs="Arial"/>
          <w:i/>
          <w:iCs/>
          <w:spacing w:val="-3"/>
          <w:sz w:val="20"/>
        </w:rPr>
        <w:t>LDHA</w:t>
      </w:r>
      <w:r w:rsidRPr="00594E33">
        <w:rPr>
          <w:rFonts w:cs="Arial"/>
          <w:spacing w:val="-3"/>
          <w:sz w:val="20"/>
        </w:rPr>
        <w:t>)-directed ribonucleic acid interference (RNAi) therap</w:t>
      </w:r>
      <w:r>
        <w:rPr>
          <w:rFonts w:cs="Arial"/>
          <w:spacing w:val="-3"/>
          <w:sz w:val="20"/>
        </w:rPr>
        <w:t>ies</w:t>
      </w:r>
      <w:r w:rsidRPr="00594E33">
        <w:rPr>
          <w:rFonts w:cs="Arial"/>
          <w:spacing w:val="-3"/>
          <w:sz w:val="20"/>
        </w:rPr>
        <w:t xml:space="preserve"> </w:t>
      </w:r>
      <w:r>
        <w:rPr>
          <w:rFonts w:cs="Arial"/>
          <w:spacing w:val="-3"/>
          <w:sz w:val="20"/>
        </w:rPr>
        <w:t xml:space="preserve">available to treat PH1. The first FDA-approved therapy, </w:t>
      </w:r>
      <w:r w:rsidRPr="007C36D0">
        <w:rPr>
          <w:rFonts w:cs="Arial"/>
          <w:spacing w:val="-3"/>
          <w:sz w:val="20"/>
        </w:rPr>
        <w:t>Oxlum</w:t>
      </w:r>
      <w:r>
        <w:rPr>
          <w:rFonts w:cs="Arial"/>
          <w:spacing w:val="-3"/>
          <w:sz w:val="20"/>
        </w:rPr>
        <w:t>o</w:t>
      </w:r>
      <w:r w:rsidRPr="001A0B82">
        <w:rPr>
          <w:rFonts w:cs="Arial"/>
          <w:spacing w:val="-3"/>
          <w:sz w:val="20"/>
          <w:vertAlign w:val="superscript"/>
        </w:rPr>
        <w:t>®</w:t>
      </w:r>
      <w:r w:rsidRPr="007C36D0">
        <w:rPr>
          <w:rFonts w:cs="Arial"/>
          <w:spacing w:val="-3"/>
          <w:sz w:val="20"/>
        </w:rPr>
        <w:t xml:space="preserve"> (lumasiran)</w:t>
      </w:r>
      <w:r>
        <w:rPr>
          <w:rFonts w:cs="Arial"/>
          <w:spacing w:val="-3"/>
          <w:sz w:val="20"/>
        </w:rPr>
        <w:t>, was</w:t>
      </w:r>
      <w:r w:rsidRPr="007C36D0">
        <w:rPr>
          <w:rFonts w:cs="Arial"/>
          <w:spacing w:val="-3"/>
          <w:sz w:val="20"/>
        </w:rPr>
        <w:t xml:space="preserve"> approved </w:t>
      </w:r>
      <w:r w:rsidRPr="00384BB8">
        <w:rPr>
          <w:rFonts w:cs="Arial"/>
          <w:spacing w:val="-3"/>
          <w:sz w:val="20"/>
        </w:rPr>
        <w:t>on November 23, 2020,</w:t>
      </w:r>
      <w:r w:rsidRPr="00384BB8">
        <w:rPr>
          <w:rFonts w:cs="Arial"/>
          <w:sz w:val="20"/>
        </w:rPr>
        <w:t xml:space="preserve"> and is indicated to lower </w:t>
      </w:r>
      <w:r w:rsidRPr="00384BB8">
        <w:rPr>
          <w:rFonts w:cs="Arial"/>
          <w:spacing w:val="-3"/>
          <w:sz w:val="20"/>
        </w:rPr>
        <w:t>urinary and plasma oxalate levels in pediatric and adult patients.</w:t>
      </w:r>
      <w:r>
        <w:rPr>
          <w:rFonts w:cs="Arial"/>
          <w:spacing w:val="-3"/>
          <w:sz w:val="20"/>
        </w:rPr>
        <w:t xml:space="preserve"> </w:t>
      </w:r>
      <w:r w:rsidRPr="00EE17A3">
        <w:rPr>
          <w:rFonts w:eastAsiaTheme="minorHAnsi"/>
          <w:sz w:val="20"/>
        </w:rPr>
        <w:t xml:space="preserve">On September 29, 2023, the FDA </w:t>
      </w:r>
      <w:r>
        <w:rPr>
          <w:rFonts w:eastAsiaTheme="minorHAnsi"/>
          <w:sz w:val="20"/>
        </w:rPr>
        <w:t xml:space="preserve">also </w:t>
      </w:r>
      <w:r w:rsidRPr="00EE17A3">
        <w:rPr>
          <w:rFonts w:eastAsiaTheme="minorHAnsi"/>
          <w:sz w:val="20"/>
        </w:rPr>
        <w:t>approved Rivfloza</w:t>
      </w:r>
      <w:r w:rsidRPr="005C1C8A">
        <w:rPr>
          <w:rFonts w:eastAsiaTheme="minorHAnsi"/>
          <w:sz w:val="20"/>
          <w:vertAlign w:val="superscript"/>
        </w:rPr>
        <w:t>™</w:t>
      </w:r>
      <w:r w:rsidRPr="00EE17A3">
        <w:rPr>
          <w:rFonts w:eastAsiaTheme="minorHAnsi"/>
          <w:sz w:val="20"/>
        </w:rPr>
        <w:t xml:space="preserve"> (nedosiran), </w:t>
      </w:r>
      <w:r>
        <w:rPr>
          <w:rFonts w:eastAsiaTheme="minorHAnsi"/>
          <w:sz w:val="20"/>
        </w:rPr>
        <w:t xml:space="preserve">which is </w:t>
      </w:r>
      <w:r w:rsidRPr="00EE17A3">
        <w:rPr>
          <w:rFonts w:eastAsiaTheme="minorHAnsi"/>
          <w:sz w:val="20"/>
        </w:rPr>
        <w:t xml:space="preserve">indicated to lower urinary oxalate levels in children </w:t>
      </w:r>
      <w:r w:rsidRPr="009A3EAF">
        <w:rPr>
          <w:rFonts w:eastAsiaTheme="minorHAnsi"/>
          <w:sz w:val="20"/>
        </w:rPr>
        <w:t>2</w:t>
      </w:r>
      <w:r w:rsidRPr="009A3EAF">
        <w:rPr>
          <w:rFonts w:eastAsiaTheme="minorHAnsi"/>
          <w:b/>
          <w:bCs/>
          <w:sz w:val="20"/>
        </w:rPr>
        <w:t xml:space="preserve"> </w:t>
      </w:r>
      <w:r w:rsidRPr="00EE17A3">
        <w:rPr>
          <w:rFonts w:eastAsiaTheme="minorHAnsi"/>
          <w:sz w:val="20"/>
        </w:rPr>
        <w:t>years of age and older and adults with PH1 and relatively preserved kidney</w:t>
      </w:r>
      <w:r>
        <w:rPr>
          <w:rFonts w:eastAsiaTheme="minorHAnsi"/>
          <w:sz w:val="20"/>
        </w:rPr>
        <w:t xml:space="preserve"> function.</w:t>
      </w:r>
    </w:p>
    <w:p w14:paraId="77FBF154" w14:textId="77777777" w:rsidR="00001B7E" w:rsidRDefault="00001B7E" w:rsidP="00001B7E">
      <w:pPr>
        <w:pStyle w:val="Header"/>
        <w:rPr>
          <w:rFonts w:eastAsiaTheme="minorHAnsi"/>
          <w:sz w:val="20"/>
        </w:rPr>
      </w:pPr>
    </w:p>
    <w:p w14:paraId="17662AC4" w14:textId="77777777" w:rsidR="00001B7E" w:rsidRPr="004731E4" w:rsidRDefault="00001B7E" w:rsidP="00001B7E">
      <w:pPr>
        <w:pStyle w:val="Header"/>
        <w:rPr>
          <w:rFonts w:eastAsiaTheme="minorHAnsi"/>
          <w:sz w:val="20"/>
        </w:rPr>
      </w:pPr>
      <w:r w:rsidRPr="004731E4">
        <w:rPr>
          <w:rFonts w:eastAsiaTheme="minorHAnsi"/>
          <w:sz w:val="20"/>
        </w:rPr>
        <w:t>Both therapies reduce levels of hepatic lactate dehydrogenase (LDH) via the degradation of LDHA messenger ribonucleic acid (mRNA) in hepatocytes through RNA interference. The reduction of hepatic LDH reduces the production of oxalate by the liver, thereby reducing subsequent oxalate burden. These therapies are not expected to be effective in other forms of primary hyperoxaluria, such as PH2 or PH3, because their mechanisms of action do not affect the metabolic pathways causing hyperoxaluria in those subtypes.</w:t>
      </w:r>
      <w:r>
        <w:rPr>
          <w:rFonts w:eastAsiaTheme="minorHAnsi"/>
          <w:sz w:val="20"/>
        </w:rPr>
        <w:t xml:space="preserve"> </w:t>
      </w:r>
      <w:r w:rsidRPr="00785230">
        <w:rPr>
          <w:rFonts w:eastAsiaTheme="minorHAnsi"/>
          <w:sz w:val="20"/>
        </w:rPr>
        <w:t>The goal of therapy is to slow the progression of disease, preserve kidney function, and slow the development of systemic oxalosis.</w:t>
      </w:r>
    </w:p>
    <w:p w14:paraId="45834F6F" w14:textId="77777777" w:rsidR="00001B7E" w:rsidRDefault="00001B7E" w:rsidP="00001B7E">
      <w:pPr>
        <w:pStyle w:val="Header"/>
        <w:rPr>
          <w:rFonts w:eastAsiaTheme="minorHAnsi"/>
          <w:sz w:val="20"/>
        </w:rPr>
      </w:pPr>
    </w:p>
    <w:p w14:paraId="598B31EF" w14:textId="77777777" w:rsidR="00001B7E" w:rsidRPr="00EE17A3" w:rsidRDefault="00001B7E" w:rsidP="00001B7E">
      <w:pPr>
        <w:pStyle w:val="Header"/>
        <w:rPr>
          <w:rFonts w:eastAsiaTheme="minorHAnsi"/>
          <w:sz w:val="20"/>
        </w:rPr>
      </w:pPr>
      <w:r w:rsidRPr="00EE17A3">
        <w:rPr>
          <w:rFonts w:eastAsiaTheme="minorHAnsi"/>
          <w:sz w:val="20"/>
        </w:rPr>
        <w:t>Following three monthly loading doses, Oxlumo is given subcutaneously (SC) by a healthcare professional once every 3 months</w:t>
      </w:r>
      <w:r>
        <w:rPr>
          <w:rFonts w:eastAsiaTheme="minorHAnsi"/>
          <w:sz w:val="20"/>
        </w:rPr>
        <w:t xml:space="preserve">, </w:t>
      </w:r>
      <w:r w:rsidRPr="00EE17A3">
        <w:rPr>
          <w:rFonts w:eastAsiaTheme="minorHAnsi"/>
          <w:sz w:val="20"/>
        </w:rPr>
        <w:t>whereas Rivfloza is a once-monthly therapy administered SC by a healthcare professional, caregiver, or patient.</w:t>
      </w:r>
    </w:p>
    <w:p w14:paraId="4C078B25" w14:textId="77777777" w:rsidR="00001B7E" w:rsidRDefault="00001B7E" w:rsidP="00001B7E">
      <w:pPr>
        <w:pStyle w:val="Header"/>
        <w:rPr>
          <w:rFonts w:eastAsiaTheme="minorHAnsi"/>
          <w:sz w:val="20"/>
        </w:rPr>
      </w:pPr>
    </w:p>
    <w:p w14:paraId="7ACECC9F" w14:textId="5871E4CE" w:rsidR="00B56DCC" w:rsidRDefault="00001B7E" w:rsidP="00001B7E">
      <w:pPr>
        <w:rPr>
          <w:rFonts w:eastAsiaTheme="minorHAnsi"/>
        </w:rPr>
      </w:pPr>
      <w:r w:rsidRPr="000057D5">
        <w:rPr>
          <w:rFonts w:eastAsiaTheme="minorHAnsi"/>
        </w:rPr>
        <w:t>Due to the high cost and specific approved indication, MO HealthNet will impose clinical criteria to ensure appropriate utilization of therapies for PH1.</w:t>
      </w:r>
    </w:p>
    <w:p w14:paraId="1FD7C77A" w14:textId="77777777" w:rsidR="00001B7E" w:rsidRDefault="00001B7E" w:rsidP="00001B7E"/>
    <w:p w14:paraId="5B5260CF" w14:textId="595B4676" w:rsidR="003D4704" w:rsidRPr="00AD17B7" w:rsidRDefault="003D4704" w:rsidP="003D4704">
      <w:r>
        <w:rPr>
          <w:b/>
          <w:bCs/>
        </w:rPr>
        <w:t xml:space="preserve">Program-Specific Information: </w:t>
      </w:r>
      <w:r>
        <w:t>Dat</w:t>
      </w:r>
      <w:r w:rsidR="00ED760F">
        <w:t>e</w:t>
      </w:r>
      <w:r>
        <w:t xml:space="preserve"> Ranges FFS </w:t>
      </w:r>
      <w:r w:rsidR="00F62763">
        <w:t>4-1</w:t>
      </w:r>
      <w:r>
        <w:t>-202</w:t>
      </w:r>
      <w:r w:rsidR="00F62763">
        <w:t>5</w:t>
      </w:r>
      <w:r>
        <w:t xml:space="preserve"> to </w:t>
      </w:r>
      <w:r w:rsidR="00F62763">
        <w:t>3</w:t>
      </w:r>
      <w:r>
        <w:t>-3</w:t>
      </w:r>
      <w:r w:rsidR="00F62763">
        <w:t>1</w:t>
      </w:r>
      <w:r>
        <w:t>-202</w:t>
      </w:r>
      <w:r w:rsidR="00F62763">
        <w:t>6</w:t>
      </w:r>
    </w:p>
    <w:tbl>
      <w:tblPr>
        <w:tblW w:w="8226" w:type="dxa"/>
        <w:jc w:val="center"/>
        <w:tblLayout w:type="fixed"/>
        <w:tblLook w:val="04A0" w:firstRow="1" w:lastRow="0" w:firstColumn="1" w:lastColumn="0" w:noHBand="0" w:noVBand="1"/>
      </w:tblPr>
      <w:tblGrid>
        <w:gridCol w:w="2875"/>
        <w:gridCol w:w="1743"/>
        <w:gridCol w:w="1587"/>
        <w:gridCol w:w="2021"/>
      </w:tblGrid>
      <w:tr w:rsidR="003D0B31" w:rsidRPr="00902CF9" w14:paraId="7E639B47" w14:textId="77777777" w:rsidTr="0086346E">
        <w:trPr>
          <w:trHeight w:val="232"/>
          <w:jc w:val="center"/>
        </w:trPr>
        <w:tc>
          <w:tcPr>
            <w:tcW w:w="287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3893375A" w:rsidR="003D0B31" w:rsidRPr="00902CF9" w:rsidRDefault="003D0B31" w:rsidP="003D0B31">
            <w:pPr>
              <w:jc w:val="center"/>
              <w:rPr>
                <w:rFonts w:cs="Arial"/>
                <w:b/>
                <w:bCs/>
                <w:spacing w:val="-3"/>
                <w:szCs w:val="20"/>
              </w:rPr>
            </w:pPr>
            <w:r w:rsidRPr="00E6085D">
              <w:rPr>
                <w:rFonts w:cs="Arial"/>
                <w:b/>
                <w:spacing w:val="-3"/>
                <w:szCs w:val="20"/>
              </w:rPr>
              <w:t>Drug</w:t>
            </w:r>
          </w:p>
        </w:tc>
        <w:tc>
          <w:tcPr>
            <w:tcW w:w="174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FE16F5C" w:rsidR="003D0B31" w:rsidRPr="00902CF9" w:rsidRDefault="003D0B31" w:rsidP="003D0B31">
            <w:pPr>
              <w:jc w:val="center"/>
              <w:rPr>
                <w:rFonts w:cs="Arial"/>
                <w:b/>
                <w:bCs/>
                <w:spacing w:val="-3"/>
                <w:szCs w:val="20"/>
              </w:rPr>
            </w:pPr>
            <w:r>
              <w:rPr>
                <w:rFonts w:cs="Arial"/>
                <w:b/>
                <w:spacing w:val="-3"/>
                <w:szCs w:val="20"/>
              </w:rPr>
              <w:t>Participants</w:t>
            </w:r>
          </w:p>
        </w:tc>
        <w:tc>
          <w:tcPr>
            <w:tcW w:w="158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17F6545E" w:rsidR="003D0B31" w:rsidRPr="00902CF9" w:rsidRDefault="003D0B31" w:rsidP="003D0B31">
            <w:pPr>
              <w:jc w:val="center"/>
              <w:rPr>
                <w:rFonts w:cs="Arial"/>
                <w:b/>
                <w:bCs/>
                <w:spacing w:val="-3"/>
                <w:szCs w:val="20"/>
              </w:rPr>
            </w:pPr>
            <w:r w:rsidRPr="00E6085D">
              <w:rPr>
                <w:rFonts w:cs="Arial"/>
                <w:b/>
                <w:spacing w:val="-3"/>
                <w:szCs w:val="20"/>
              </w:rPr>
              <w:t xml:space="preserve">Cost per </w:t>
            </w:r>
            <w:r>
              <w:rPr>
                <w:rFonts w:cs="Arial"/>
                <w:b/>
                <w:spacing w:val="-3"/>
                <w:szCs w:val="20"/>
              </w:rPr>
              <w:t>unit</w:t>
            </w:r>
          </w:p>
        </w:tc>
        <w:tc>
          <w:tcPr>
            <w:tcW w:w="202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45A06A9E" w:rsidR="003D0B31" w:rsidRPr="00902CF9" w:rsidRDefault="003D0B31" w:rsidP="003D0B31">
            <w:pPr>
              <w:jc w:val="center"/>
              <w:rPr>
                <w:rFonts w:cs="Arial"/>
                <w:b/>
                <w:bCs/>
                <w:spacing w:val="-3"/>
                <w:szCs w:val="20"/>
              </w:rPr>
            </w:pPr>
            <w:r w:rsidRPr="00E6085D">
              <w:rPr>
                <w:rFonts w:cs="Arial"/>
                <w:b/>
                <w:spacing w:val="-3"/>
                <w:szCs w:val="20"/>
              </w:rPr>
              <w:t>Cost per year</w:t>
            </w:r>
          </w:p>
        </w:tc>
      </w:tr>
      <w:tr w:rsidR="00FB0684" w:rsidRPr="00902CF9" w14:paraId="29C2C6B5" w14:textId="77777777" w:rsidTr="00595295">
        <w:trPr>
          <w:trHeight w:val="232"/>
          <w:jc w:val="center"/>
        </w:trPr>
        <w:tc>
          <w:tcPr>
            <w:tcW w:w="2875" w:type="dxa"/>
            <w:tcBorders>
              <w:top w:val="single" w:sz="4" w:space="0" w:color="auto"/>
              <w:left w:val="single" w:sz="4" w:space="0" w:color="auto"/>
              <w:bottom w:val="single" w:sz="4" w:space="0" w:color="auto"/>
              <w:right w:val="single" w:sz="4" w:space="0" w:color="auto"/>
            </w:tcBorders>
            <w:vAlign w:val="center"/>
          </w:tcPr>
          <w:p w14:paraId="4E48F17F" w14:textId="318B3FDA" w:rsidR="00FB0684" w:rsidRPr="00902CF9" w:rsidRDefault="00FB0684" w:rsidP="00FB0684">
            <w:pPr>
              <w:rPr>
                <w:rFonts w:cs="Arial"/>
                <w:szCs w:val="20"/>
              </w:rPr>
            </w:pPr>
            <w:r w:rsidRPr="00E6085D">
              <w:rPr>
                <w:rFonts w:cs="Arial"/>
                <w:spacing w:val="-3"/>
                <w:szCs w:val="20"/>
              </w:rPr>
              <w:t>OXLUMO 94.5 MG/0.5 ML VIAL</w:t>
            </w:r>
          </w:p>
        </w:tc>
        <w:tc>
          <w:tcPr>
            <w:tcW w:w="1743" w:type="dxa"/>
            <w:tcBorders>
              <w:top w:val="single" w:sz="4" w:space="0" w:color="auto"/>
              <w:left w:val="single" w:sz="4" w:space="0" w:color="auto"/>
              <w:bottom w:val="single" w:sz="4" w:space="0" w:color="auto"/>
              <w:right w:val="single" w:sz="4" w:space="0" w:color="auto"/>
            </w:tcBorders>
          </w:tcPr>
          <w:p w14:paraId="5F6574F8" w14:textId="74F1FD9C" w:rsidR="00FB0684" w:rsidRPr="00902CF9" w:rsidRDefault="00FB0684" w:rsidP="00FB0684">
            <w:pPr>
              <w:jc w:val="center"/>
              <w:rPr>
                <w:rFonts w:cs="Arial"/>
                <w:szCs w:val="20"/>
              </w:rPr>
            </w:pPr>
            <w:r w:rsidRPr="00630751">
              <w:rPr>
                <w:rFonts w:cs="Arial"/>
                <w:bCs/>
                <w:spacing w:val="-3"/>
                <w:szCs w:val="20"/>
              </w:rPr>
              <w:t>0</w:t>
            </w:r>
          </w:p>
        </w:tc>
        <w:tc>
          <w:tcPr>
            <w:tcW w:w="1587" w:type="dxa"/>
            <w:tcBorders>
              <w:top w:val="single" w:sz="4" w:space="0" w:color="auto"/>
              <w:left w:val="single" w:sz="4" w:space="0" w:color="auto"/>
              <w:bottom w:val="single" w:sz="4" w:space="0" w:color="auto"/>
              <w:right w:val="single" w:sz="4" w:space="0" w:color="auto"/>
            </w:tcBorders>
            <w:vAlign w:val="center"/>
          </w:tcPr>
          <w:p w14:paraId="52453425" w14:textId="7173315B" w:rsidR="00FB0684" w:rsidRPr="00902CF9" w:rsidRDefault="00FB0684" w:rsidP="00FB0684">
            <w:pPr>
              <w:jc w:val="right"/>
              <w:rPr>
                <w:rFonts w:cs="Arial"/>
                <w:szCs w:val="20"/>
              </w:rPr>
            </w:pPr>
            <w:r w:rsidRPr="00E6085D">
              <w:rPr>
                <w:rFonts w:cs="Arial"/>
                <w:bCs/>
                <w:spacing w:val="-3"/>
                <w:szCs w:val="20"/>
              </w:rPr>
              <w:t>$</w:t>
            </w:r>
            <w:r w:rsidR="00CF1380">
              <w:rPr>
                <w:rFonts w:cs="Arial"/>
                <w:bCs/>
                <w:spacing w:val="-3"/>
                <w:szCs w:val="20"/>
              </w:rPr>
              <w:t>61,591.50</w:t>
            </w:r>
            <w:r>
              <w:rPr>
                <w:rFonts w:cs="Arial"/>
                <w:bCs/>
                <w:spacing w:val="-3"/>
                <w:szCs w:val="20"/>
              </w:rPr>
              <w:t xml:space="preserve"> </w:t>
            </w:r>
            <w:r w:rsidRPr="00286B2A">
              <w:rPr>
                <w:rFonts w:cs="Arial"/>
                <w:bCs/>
                <w:spacing w:val="-3"/>
                <w:sz w:val="16"/>
                <w:szCs w:val="16"/>
              </w:rPr>
              <w:t>MAC</w:t>
            </w:r>
          </w:p>
        </w:tc>
        <w:tc>
          <w:tcPr>
            <w:tcW w:w="2021" w:type="dxa"/>
            <w:tcBorders>
              <w:top w:val="single" w:sz="4" w:space="0" w:color="auto"/>
              <w:left w:val="single" w:sz="4" w:space="0" w:color="auto"/>
              <w:bottom w:val="single" w:sz="4" w:space="0" w:color="auto"/>
              <w:right w:val="single" w:sz="4" w:space="0" w:color="auto"/>
            </w:tcBorders>
            <w:vAlign w:val="center"/>
          </w:tcPr>
          <w:p w14:paraId="43EE586B" w14:textId="32706A58" w:rsidR="00FB0684" w:rsidRPr="00902CF9" w:rsidRDefault="00FB0684" w:rsidP="00FB0684">
            <w:pPr>
              <w:jc w:val="right"/>
              <w:rPr>
                <w:rFonts w:cs="Arial"/>
                <w:szCs w:val="20"/>
              </w:rPr>
            </w:pPr>
            <w:r w:rsidRPr="00E6085D">
              <w:rPr>
                <w:rFonts w:cs="Arial"/>
                <w:bCs/>
                <w:spacing w:val="-3"/>
                <w:szCs w:val="20"/>
              </w:rPr>
              <w:t>$</w:t>
            </w:r>
            <w:r w:rsidR="0086346E">
              <w:rPr>
                <w:rFonts w:cs="Arial"/>
                <w:bCs/>
                <w:spacing w:val="-3"/>
                <w:szCs w:val="20"/>
              </w:rPr>
              <w:t>554,323.46</w:t>
            </w:r>
            <w:r w:rsidRPr="00E6085D">
              <w:rPr>
                <w:rFonts w:cs="Arial"/>
                <w:bCs/>
                <w:spacing w:val="-3"/>
                <w:szCs w:val="20"/>
              </w:rPr>
              <w:t xml:space="preserve"> </w:t>
            </w:r>
            <w:r>
              <w:rPr>
                <w:rFonts w:cs="Arial"/>
                <w:bCs/>
                <w:spacing w:val="-3"/>
                <w:sz w:val="16"/>
                <w:szCs w:val="16"/>
              </w:rPr>
              <w:t>MAC*</w:t>
            </w:r>
          </w:p>
        </w:tc>
      </w:tr>
      <w:tr w:rsidR="00FB0684" w:rsidRPr="00902CF9" w14:paraId="0A1EF85E" w14:textId="77777777" w:rsidTr="00595295">
        <w:trPr>
          <w:trHeight w:val="232"/>
          <w:jc w:val="center"/>
        </w:trPr>
        <w:tc>
          <w:tcPr>
            <w:tcW w:w="2875" w:type="dxa"/>
            <w:tcBorders>
              <w:top w:val="single" w:sz="4" w:space="0" w:color="auto"/>
              <w:left w:val="single" w:sz="4" w:space="0" w:color="auto"/>
              <w:bottom w:val="single" w:sz="4" w:space="0" w:color="auto"/>
              <w:right w:val="single" w:sz="4" w:space="0" w:color="auto"/>
            </w:tcBorders>
            <w:vAlign w:val="center"/>
          </w:tcPr>
          <w:p w14:paraId="77B43C05" w14:textId="6DF3F80E" w:rsidR="00FB0684" w:rsidRPr="00902CF9" w:rsidRDefault="00FB0684" w:rsidP="00FB0684">
            <w:pPr>
              <w:rPr>
                <w:rFonts w:cs="Arial"/>
                <w:szCs w:val="20"/>
              </w:rPr>
            </w:pPr>
            <w:r>
              <w:rPr>
                <w:rFonts w:cs="Arial"/>
                <w:szCs w:val="20"/>
              </w:rPr>
              <w:t>RIVFLOZA 160 MG/ML SYR</w:t>
            </w:r>
          </w:p>
        </w:tc>
        <w:tc>
          <w:tcPr>
            <w:tcW w:w="1743" w:type="dxa"/>
            <w:tcBorders>
              <w:top w:val="single" w:sz="4" w:space="0" w:color="auto"/>
              <w:left w:val="single" w:sz="4" w:space="0" w:color="auto"/>
              <w:bottom w:val="single" w:sz="4" w:space="0" w:color="auto"/>
              <w:right w:val="single" w:sz="4" w:space="0" w:color="auto"/>
            </w:tcBorders>
          </w:tcPr>
          <w:p w14:paraId="586F93BC" w14:textId="029B4349" w:rsidR="00FB0684" w:rsidRPr="00902CF9" w:rsidRDefault="00FB0684" w:rsidP="00FB0684">
            <w:pPr>
              <w:jc w:val="center"/>
              <w:rPr>
                <w:rFonts w:cs="Arial"/>
                <w:szCs w:val="20"/>
              </w:rPr>
            </w:pPr>
            <w:r w:rsidRPr="00630751">
              <w:rPr>
                <w:rFonts w:cs="Arial"/>
                <w:bCs/>
                <w:spacing w:val="-3"/>
                <w:szCs w:val="20"/>
              </w:rPr>
              <w:t>0</w:t>
            </w:r>
          </w:p>
        </w:tc>
        <w:tc>
          <w:tcPr>
            <w:tcW w:w="1587" w:type="dxa"/>
            <w:tcBorders>
              <w:top w:val="single" w:sz="4" w:space="0" w:color="auto"/>
              <w:left w:val="single" w:sz="4" w:space="0" w:color="auto"/>
              <w:bottom w:val="single" w:sz="4" w:space="0" w:color="auto"/>
              <w:right w:val="single" w:sz="4" w:space="0" w:color="auto"/>
            </w:tcBorders>
            <w:vAlign w:val="center"/>
          </w:tcPr>
          <w:p w14:paraId="4B838051" w14:textId="6269F132" w:rsidR="00FB0684" w:rsidRPr="00902CF9" w:rsidRDefault="00FB0684" w:rsidP="00FB0684">
            <w:pPr>
              <w:jc w:val="right"/>
              <w:rPr>
                <w:rFonts w:cs="Arial"/>
                <w:szCs w:val="20"/>
              </w:rPr>
            </w:pPr>
            <w:r>
              <w:rPr>
                <w:rFonts w:cs="Arial"/>
                <w:bCs/>
                <w:spacing w:val="-3"/>
                <w:szCs w:val="20"/>
              </w:rPr>
              <w:t>$</w:t>
            </w:r>
            <w:r w:rsidR="004A0880">
              <w:rPr>
                <w:rFonts w:cs="Arial"/>
                <w:bCs/>
                <w:spacing w:val="-3"/>
                <w:szCs w:val="20"/>
              </w:rPr>
              <w:t>67,663.18</w:t>
            </w:r>
            <w:r w:rsidR="00FC33AC" w:rsidRPr="00FC33AC">
              <w:rPr>
                <w:rFonts w:cs="Arial"/>
                <w:bCs/>
                <w:spacing w:val="-3"/>
                <w:szCs w:val="20"/>
              </w:rPr>
              <w:t xml:space="preserve"> </w:t>
            </w:r>
            <w:r w:rsidRPr="00286B2A">
              <w:rPr>
                <w:rFonts w:cs="Arial"/>
                <w:bCs/>
                <w:spacing w:val="-3"/>
                <w:sz w:val="16"/>
                <w:szCs w:val="16"/>
              </w:rPr>
              <w:t>MAC</w:t>
            </w:r>
          </w:p>
        </w:tc>
        <w:tc>
          <w:tcPr>
            <w:tcW w:w="2021" w:type="dxa"/>
            <w:tcBorders>
              <w:top w:val="single" w:sz="4" w:space="0" w:color="auto"/>
              <w:left w:val="single" w:sz="4" w:space="0" w:color="auto"/>
              <w:bottom w:val="single" w:sz="4" w:space="0" w:color="auto"/>
              <w:right w:val="single" w:sz="4" w:space="0" w:color="auto"/>
            </w:tcBorders>
            <w:vAlign w:val="center"/>
          </w:tcPr>
          <w:p w14:paraId="0EDE8848" w14:textId="0E7C2C17" w:rsidR="00FB0684" w:rsidRPr="00902CF9" w:rsidRDefault="00FB0684" w:rsidP="00FB0684">
            <w:pPr>
              <w:jc w:val="right"/>
              <w:rPr>
                <w:rFonts w:cs="Arial"/>
                <w:szCs w:val="20"/>
              </w:rPr>
            </w:pPr>
            <w:r>
              <w:rPr>
                <w:rFonts w:cs="Arial"/>
                <w:bCs/>
                <w:spacing w:val="-3"/>
                <w:szCs w:val="20"/>
              </w:rPr>
              <w:t>$</w:t>
            </w:r>
            <w:r w:rsidR="00BA6AAA" w:rsidRPr="00BA6AAA">
              <w:rPr>
                <w:rFonts w:cs="Arial"/>
                <w:bCs/>
                <w:spacing w:val="-3"/>
                <w:szCs w:val="20"/>
              </w:rPr>
              <w:t xml:space="preserve">811,958.16 </w:t>
            </w:r>
            <w:r w:rsidRPr="00286B2A">
              <w:rPr>
                <w:rFonts w:cs="Arial"/>
                <w:bCs/>
                <w:spacing w:val="-3"/>
                <w:sz w:val="16"/>
                <w:szCs w:val="16"/>
              </w:rPr>
              <w:t>MAC</w:t>
            </w:r>
          </w:p>
        </w:tc>
      </w:tr>
      <w:tr w:rsidR="00FB0684" w:rsidRPr="00902CF9" w14:paraId="5A77BEA3" w14:textId="77777777" w:rsidTr="00595295">
        <w:trPr>
          <w:trHeight w:val="232"/>
          <w:jc w:val="center"/>
        </w:trPr>
        <w:tc>
          <w:tcPr>
            <w:tcW w:w="2875" w:type="dxa"/>
            <w:tcBorders>
              <w:top w:val="single" w:sz="4" w:space="0" w:color="auto"/>
              <w:left w:val="single" w:sz="4" w:space="0" w:color="auto"/>
              <w:bottom w:val="single" w:sz="4" w:space="0" w:color="auto"/>
              <w:right w:val="single" w:sz="4" w:space="0" w:color="auto"/>
            </w:tcBorders>
            <w:vAlign w:val="center"/>
          </w:tcPr>
          <w:p w14:paraId="5692DA97" w14:textId="26E461BC" w:rsidR="00FB0684" w:rsidRPr="00902CF9" w:rsidRDefault="00FB0684" w:rsidP="00FB0684">
            <w:pPr>
              <w:rPr>
                <w:rFonts w:cs="Arial"/>
                <w:szCs w:val="20"/>
              </w:rPr>
            </w:pPr>
            <w:r>
              <w:rPr>
                <w:rFonts w:cs="Arial"/>
                <w:szCs w:val="20"/>
              </w:rPr>
              <w:lastRenderedPageBreak/>
              <w:t>RIVFLOZA 128 MG/0.8 ML SYR</w:t>
            </w:r>
          </w:p>
        </w:tc>
        <w:tc>
          <w:tcPr>
            <w:tcW w:w="1743" w:type="dxa"/>
            <w:tcBorders>
              <w:top w:val="single" w:sz="4" w:space="0" w:color="auto"/>
              <w:left w:val="single" w:sz="4" w:space="0" w:color="auto"/>
              <w:bottom w:val="single" w:sz="4" w:space="0" w:color="auto"/>
              <w:right w:val="single" w:sz="4" w:space="0" w:color="auto"/>
            </w:tcBorders>
          </w:tcPr>
          <w:p w14:paraId="5AD8BBAE" w14:textId="1970F381" w:rsidR="00FB0684" w:rsidRPr="00902CF9" w:rsidRDefault="00FB0684" w:rsidP="00FB0684">
            <w:pPr>
              <w:jc w:val="center"/>
              <w:rPr>
                <w:rFonts w:cs="Arial"/>
                <w:szCs w:val="20"/>
              </w:rPr>
            </w:pPr>
            <w:r w:rsidRPr="00630751">
              <w:rPr>
                <w:rFonts w:cs="Arial"/>
                <w:bCs/>
                <w:spacing w:val="-3"/>
                <w:szCs w:val="20"/>
              </w:rPr>
              <w:t>0</w:t>
            </w:r>
          </w:p>
        </w:tc>
        <w:tc>
          <w:tcPr>
            <w:tcW w:w="1587" w:type="dxa"/>
            <w:tcBorders>
              <w:top w:val="single" w:sz="4" w:space="0" w:color="auto"/>
              <w:left w:val="single" w:sz="4" w:space="0" w:color="auto"/>
              <w:bottom w:val="single" w:sz="4" w:space="0" w:color="auto"/>
              <w:right w:val="single" w:sz="4" w:space="0" w:color="auto"/>
            </w:tcBorders>
            <w:vAlign w:val="center"/>
          </w:tcPr>
          <w:p w14:paraId="47A4EEDB" w14:textId="79CBDDAE" w:rsidR="00FB0684" w:rsidRPr="00902CF9" w:rsidRDefault="00FB0684" w:rsidP="00FB0684">
            <w:pPr>
              <w:jc w:val="right"/>
              <w:rPr>
                <w:rFonts w:cs="Arial"/>
                <w:szCs w:val="20"/>
              </w:rPr>
            </w:pPr>
            <w:r w:rsidRPr="009F55D0">
              <w:rPr>
                <w:rFonts w:cs="Arial"/>
                <w:bCs/>
                <w:spacing w:val="-3"/>
                <w:szCs w:val="20"/>
              </w:rPr>
              <w:t>$</w:t>
            </w:r>
            <w:r w:rsidR="00FC33AC" w:rsidRPr="00FC33AC">
              <w:rPr>
                <w:rFonts w:cs="Arial"/>
                <w:bCs/>
                <w:spacing w:val="-3"/>
                <w:szCs w:val="20"/>
              </w:rPr>
              <w:t xml:space="preserve">54,130.54 </w:t>
            </w:r>
            <w:r w:rsidRPr="00286B2A">
              <w:rPr>
                <w:rFonts w:cs="Arial"/>
                <w:bCs/>
                <w:spacing w:val="-3"/>
                <w:sz w:val="16"/>
                <w:szCs w:val="16"/>
              </w:rPr>
              <w:t>MAC</w:t>
            </w:r>
          </w:p>
        </w:tc>
        <w:tc>
          <w:tcPr>
            <w:tcW w:w="2021" w:type="dxa"/>
            <w:tcBorders>
              <w:top w:val="single" w:sz="4" w:space="0" w:color="auto"/>
              <w:left w:val="single" w:sz="4" w:space="0" w:color="auto"/>
              <w:bottom w:val="single" w:sz="4" w:space="0" w:color="auto"/>
              <w:right w:val="single" w:sz="4" w:space="0" w:color="auto"/>
            </w:tcBorders>
            <w:vAlign w:val="center"/>
          </w:tcPr>
          <w:p w14:paraId="1D6C2FF0" w14:textId="3EEC8991" w:rsidR="00FB0684" w:rsidRPr="00902CF9" w:rsidRDefault="00FB0684" w:rsidP="00FB0684">
            <w:pPr>
              <w:jc w:val="right"/>
              <w:rPr>
                <w:rFonts w:cs="Arial"/>
                <w:szCs w:val="20"/>
              </w:rPr>
            </w:pPr>
            <w:r>
              <w:rPr>
                <w:rFonts w:cs="Arial"/>
                <w:bCs/>
                <w:spacing w:val="-3"/>
                <w:szCs w:val="20"/>
              </w:rPr>
              <w:t>$</w:t>
            </w:r>
            <w:r w:rsidR="005557CD">
              <w:rPr>
                <w:rFonts w:cs="Arial"/>
                <w:bCs/>
                <w:spacing w:val="-3"/>
                <w:szCs w:val="20"/>
              </w:rPr>
              <w:t>649,566.53</w:t>
            </w:r>
            <w:r>
              <w:rPr>
                <w:rFonts w:cs="Arial"/>
                <w:bCs/>
                <w:spacing w:val="-3"/>
                <w:szCs w:val="20"/>
              </w:rPr>
              <w:t xml:space="preserve"> </w:t>
            </w:r>
            <w:r w:rsidRPr="00286B2A">
              <w:rPr>
                <w:rFonts w:cs="Arial"/>
                <w:bCs/>
                <w:spacing w:val="-3"/>
                <w:sz w:val="16"/>
                <w:szCs w:val="16"/>
              </w:rPr>
              <w:t>MAC</w:t>
            </w:r>
          </w:p>
        </w:tc>
      </w:tr>
      <w:tr w:rsidR="00FB0684" w:rsidRPr="00902CF9" w14:paraId="4D83670C" w14:textId="77777777" w:rsidTr="00595295">
        <w:trPr>
          <w:trHeight w:val="232"/>
          <w:jc w:val="center"/>
        </w:trPr>
        <w:tc>
          <w:tcPr>
            <w:tcW w:w="2875" w:type="dxa"/>
            <w:tcBorders>
              <w:top w:val="single" w:sz="4" w:space="0" w:color="auto"/>
              <w:left w:val="single" w:sz="4" w:space="0" w:color="auto"/>
              <w:bottom w:val="single" w:sz="4" w:space="0" w:color="auto"/>
              <w:right w:val="single" w:sz="4" w:space="0" w:color="auto"/>
            </w:tcBorders>
            <w:vAlign w:val="center"/>
          </w:tcPr>
          <w:p w14:paraId="7CF30853" w14:textId="228629E3" w:rsidR="00FB0684" w:rsidRDefault="00FB0684" w:rsidP="00FB0684">
            <w:pPr>
              <w:rPr>
                <w:rFonts w:cs="Arial"/>
                <w:szCs w:val="20"/>
              </w:rPr>
            </w:pPr>
            <w:r>
              <w:rPr>
                <w:rFonts w:cs="Arial"/>
                <w:szCs w:val="20"/>
              </w:rPr>
              <w:t>RIVFLOZA 80 MG/0.5 ML VIAL</w:t>
            </w:r>
          </w:p>
        </w:tc>
        <w:tc>
          <w:tcPr>
            <w:tcW w:w="1743" w:type="dxa"/>
            <w:tcBorders>
              <w:top w:val="single" w:sz="4" w:space="0" w:color="auto"/>
              <w:left w:val="single" w:sz="4" w:space="0" w:color="auto"/>
              <w:bottom w:val="single" w:sz="4" w:space="0" w:color="auto"/>
              <w:right w:val="single" w:sz="4" w:space="0" w:color="auto"/>
            </w:tcBorders>
          </w:tcPr>
          <w:p w14:paraId="1293525D" w14:textId="1D3A673F" w:rsidR="00FB0684" w:rsidRPr="00902CF9" w:rsidRDefault="00FB0684" w:rsidP="00FB0684">
            <w:pPr>
              <w:jc w:val="center"/>
              <w:rPr>
                <w:rFonts w:cs="Arial"/>
                <w:szCs w:val="20"/>
              </w:rPr>
            </w:pPr>
            <w:r w:rsidRPr="00630751">
              <w:rPr>
                <w:rFonts w:cs="Arial"/>
                <w:bCs/>
                <w:spacing w:val="-3"/>
                <w:szCs w:val="20"/>
              </w:rPr>
              <w:t>0</w:t>
            </w:r>
          </w:p>
        </w:tc>
        <w:tc>
          <w:tcPr>
            <w:tcW w:w="1587" w:type="dxa"/>
            <w:tcBorders>
              <w:top w:val="single" w:sz="4" w:space="0" w:color="auto"/>
              <w:left w:val="single" w:sz="4" w:space="0" w:color="auto"/>
              <w:bottom w:val="single" w:sz="4" w:space="0" w:color="auto"/>
              <w:right w:val="single" w:sz="4" w:space="0" w:color="auto"/>
            </w:tcBorders>
            <w:vAlign w:val="center"/>
          </w:tcPr>
          <w:p w14:paraId="38CB7727" w14:textId="5AE65C80" w:rsidR="00FB0684" w:rsidRPr="00902CF9" w:rsidRDefault="00FB0684" w:rsidP="00FB0684">
            <w:pPr>
              <w:jc w:val="right"/>
              <w:rPr>
                <w:rFonts w:cs="Arial"/>
                <w:szCs w:val="20"/>
              </w:rPr>
            </w:pPr>
            <w:r w:rsidRPr="003409B8">
              <w:rPr>
                <w:rFonts w:cs="Arial"/>
                <w:bCs/>
                <w:spacing w:val="-3"/>
                <w:szCs w:val="20"/>
              </w:rPr>
              <w:t>$</w:t>
            </w:r>
            <w:r w:rsidR="00595295">
              <w:rPr>
                <w:rFonts w:cs="Arial"/>
                <w:bCs/>
                <w:spacing w:val="-3"/>
                <w:szCs w:val="20"/>
              </w:rPr>
              <w:t>33,831.59</w:t>
            </w:r>
            <w:r w:rsidRPr="003409B8">
              <w:rPr>
                <w:rFonts w:cs="Arial"/>
                <w:bCs/>
                <w:spacing w:val="-3"/>
                <w:szCs w:val="20"/>
              </w:rPr>
              <w:t xml:space="preserve"> </w:t>
            </w:r>
            <w:r w:rsidRPr="00286B2A">
              <w:rPr>
                <w:rFonts w:cs="Arial"/>
                <w:bCs/>
                <w:spacing w:val="-3"/>
                <w:sz w:val="16"/>
                <w:szCs w:val="16"/>
              </w:rPr>
              <w:t>MAC</w:t>
            </w:r>
          </w:p>
        </w:tc>
        <w:tc>
          <w:tcPr>
            <w:tcW w:w="2021" w:type="dxa"/>
            <w:tcBorders>
              <w:top w:val="single" w:sz="4" w:space="0" w:color="auto"/>
              <w:left w:val="single" w:sz="4" w:space="0" w:color="auto"/>
              <w:bottom w:val="single" w:sz="4" w:space="0" w:color="auto"/>
              <w:right w:val="single" w:sz="4" w:space="0" w:color="auto"/>
            </w:tcBorders>
            <w:vAlign w:val="center"/>
          </w:tcPr>
          <w:p w14:paraId="70A6E3F0" w14:textId="35AC7310" w:rsidR="00FB0684" w:rsidRPr="00902CF9" w:rsidRDefault="00FB0684" w:rsidP="00FB0684">
            <w:pPr>
              <w:jc w:val="right"/>
              <w:rPr>
                <w:rFonts w:cs="Arial"/>
                <w:szCs w:val="20"/>
              </w:rPr>
            </w:pPr>
            <w:r w:rsidRPr="003409B8">
              <w:rPr>
                <w:rFonts w:cs="Arial"/>
                <w:bCs/>
                <w:spacing w:val="-3"/>
                <w:szCs w:val="20"/>
              </w:rPr>
              <w:t>$</w:t>
            </w:r>
            <w:r w:rsidR="00595295">
              <w:rPr>
                <w:rFonts w:cs="Arial"/>
                <w:bCs/>
                <w:spacing w:val="-3"/>
                <w:szCs w:val="20"/>
              </w:rPr>
              <w:t>405,979.10</w:t>
            </w:r>
            <w:r>
              <w:rPr>
                <w:rFonts w:cs="Arial"/>
                <w:bCs/>
                <w:spacing w:val="-3"/>
                <w:szCs w:val="20"/>
              </w:rPr>
              <w:t xml:space="preserve"> </w:t>
            </w:r>
            <w:r w:rsidRPr="00286B2A">
              <w:rPr>
                <w:rFonts w:cs="Arial"/>
                <w:bCs/>
                <w:spacing w:val="-3"/>
                <w:sz w:val="16"/>
                <w:szCs w:val="16"/>
              </w:rPr>
              <w:t>MAC**</w:t>
            </w:r>
          </w:p>
        </w:tc>
      </w:tr>
    </w:tbl>
    <w:p w14:paraId="7EB54F5E" w14:textId="77777777" w:rsidR="00267CD2" w:rsidRDefault="00267CD2" w:rsidP="00267CD2">
      <w:pPr>
        <w:ind w:left="720"/>
        <w:rPr>
          <w:rFonts w:cs="Arial"/>
          <w:spacing w:val="-3"/>
          <w:sz w:val="16"/>
          <w:szCs w:val="16"/>
        </w:rPr>
      </w:pPr>
      <w:r w:rsidRPr="00A87CEB">
        <w:rPr>
          <w:rFonts w:cs="Arial"/>
          <w:spacing w:val="-3"/>
          <w:sz w:val="16"/>
          <w:szCs w:val="16"/>
        </w:rPr>
        <w:t>*Dose based on 70 kg participant</w:t>
      </w:r>
    </w:p>
    <w:p w14:paraId="4691DC98" w14:textId="0CB2D7BE" w:rsidR="003D4704" w:rsidRDefault="00267CD2" w:rsidP="00267CD2">
      <w:pPr>
        <w:ind w:left="720"/>
        <w:rPr>
          <w:rFonts w:cs="Arial"/>
          <w:szCs w:val="20"/>
        </w:rPr>
      </w:pPr>
      <w:r>
        <w:rPr>
          <w:rFonts w:cs="Arial"/>
          <w:spacing w:val="-3"/>
          <w:sz w:val="16"/>
          <w:szCs w:val="16"/>
        </w:rPr>
        <w:t>**Dose based on 24 kg participant</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631C39C" w:rsidR="0097028A" w:rsidRPr="0079438F" w:rsidRDefault="0097028A" w:rsidP="00696E3A">
      <w:pPr>
        <w:rPr>
          <w:b/>
        </w:rPr>
      </w:pPr>
      <w:r w:rsidRPr="00696E3A">
        <w:rPr>
          <w:b/>
          <w:bCs/>
        </w:rPr>
        <w:t>Drug class for review:</w:t>
      </w:r>
      <w:r w:rsidRPr="00C02553">
        <w:t xml:space="preserve"> </w:t>
      </w:r>
      <w:r w:rsidR="000B0326">
        <w:rPr>
          <w:rFonts w:cs="Arial"/>
          <w:szCs w:val="20"/>
        </w:rPr>
        <w:t>A</w:t>
      </w:r>
      <w:r w:rsidR="000B0326" w:rsidRPr="00461B05">
        <w:rPr>
          <w:rFonts w:cs="Arial"/>
          <w:szCs w:val="20"/>
        </w:rPr>
        <w:t>gents for Primary Hyperoxaluria</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153BB405" w14:textId="77777777" w:rsidR="00542E2B" w:rsidRDefault="00542E2B" w:rsidP="00542E2B">
      <w:pPr>
        <w:pStyle w:val="ListParagraph"/>
        <w:numPr>
          <w:ilvl w:val="0"/>
          <w:numId w:val="16"/>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2E75EBAD" w14:textId="77777777" w:rsidR="00542E2B" w:rsidRDefault="00542E2B" w:rsidP="00542E2B">
      <w:pPr>
        <w:pStyle w:val="ListParagraph"/>
        <w:numPr>
          <w:ilvl w:val="1"/>
          <w:numId w:val="16"/>
        </w:numPr>
        <w:ind w:left="720"/>
        <w:rPr>
          <w:rFonts w:cs="Arial"/>
          <w:bCs/>
          <w:szCs w:val="20"/>
        </w:rPr>
      </w:pPr>
      <w:r w:rsidRPr="00E15753">
        <w:rPr>
          <w:rFonts w:cs="Arial"/>
          <w:bCs/>
          <w:szCs w:val="20"/>
        </w:rPr>
        <w:t>Prescribed by or in consultation with a nephrologist, urologist</w:t>
      </w:r>
      <w:r>
        <w:rPr>
          <w:rFonts w:cs="Arial"/>
          <w:bCs/>
          <w:szCs w:val="20"/>
        </w:rPr>
        <w:t>,</w:t>
      </w:r>
      <w:r w:rsidRPr="00E15753">
        <w:rPr>
          <w:rFonts w:cs="Arial"/>
          <w:bCs/>
          <w:szCs w:val="20"/>
        </w:rPr>
        <w:t xml:space="preserve"> or other specialist </w:t>
      </w:r>
      <w:r>
        <w:rPr>
          <w:rFonts w:cs="Arial"/>
          <w:bCs/>
          <w:szCs w:val="20"/>
        </w:rPr>
        <w:t>in</w:t>
      </w:r>
      <w:r w:rsidRPr="00E15753">
        <w:rPr>
          <w:rFonts w:cs="Arial"/>
          <w:bCs/>
          <w:szCs w:val="20"/>
        </w:rPr>
        <w:t xml:space="preserve"> the treated disease state</w:t>
      </w:r>
      <w:r>
        <w:rPr>
          <w:rFonts w:cs="Arial"/>
          <w:bCs/>
          <w:szCs w:val="20"/>
        </w:rPr>
        <w:t>;</w:t>
      </w:r>
    </w:p>
    <w:p w14:paraId="7CDF06BD" w14:textId="77777777" w:rsidR="00542E2B" w:rsidRPr="00427660" w:rsidRDefault="00542E2B" w:rsidP="00542E2B">
      <w:pPr>
        <w:pStyle w:val="ListParagraph"/>
        <w:numPr>
          <w:ilvl w:val="1"/>
          <w:numId w:val="16"/>
        </w:numPr>
        <w:ind w:left="720"/>
        <w:rPr>
          <w:rFonts w:cs="Arial"/>
          <w:bCs/>
          <w:szCs w:val="20"/>
        </w:rPr>
      </w:pPr>
      <w:r w:rsidRPr="00E15753">
        <w:rPr>
          <w:rFonts w:cs="Arial"/>
          <w:bCs/>
          <w:szCs w:val="20"/>
        </w:rPr>
        <w:t xml:space="preserve">Documented diagnosis of </w:t>
      </w:r>
      <w:r w:rsidRPr="006A52F8">
        <w:rPr>
          <w:rFonts w:cs="Arial"/>
          <w:bCs/>
          <w:szCs w:val="20"/>
        </w:rPr>
        <w:t xml:space="preserve">primary hyperoxaluria type 1 </w:t>
      </w:r>
      <w:r>
        <w:rPr>
          <w:rFonts w:cs="Arial"/>
          <w:bCs/>
          <w:szCs w:val="20"/>
        </w:rPr>
        <w:t>(</w:t>
      </w:r>
      <w:r w:rsidRPr="00E15753">
        <w:rPr>
          <w:rFonts w:cs="Arial"/>
          <w:bCs/>
          <w:szCs w:val="20"/>
        </w:rPr>
        <w:t>PH1</w:t>
      </w:r>
      <w:r>
        <w:rPr>
          <w:rFonts w:cs="Arial"/>
          <w:bCs/>
          <w:szCs w:val="20"/>
        </w:rPr>
        <w:t xml:space="preserve">) </w:t>
      </w:r>
      <w:r w:rsidRPr="00427660">
        <w:rPr>
          <w:rFonts w:cs="Arial"/>
          <w:bCs/>
          <w:szCs w:val="20"/>
        </w:rPr>
        <w:t>confirmed by one of the following:</w:t>
      </w:r>
    </w:p>
    <w:p w14:paraId="13127806" w14:textId="77777777" w:rsidR="00542E2B" w:rsidRPr="00CB4FA2" w:rsidRDefault="00542E2B" w:rsidP="00542E2B">
      <w:pPr>
        <w:pStyle w:val="ListParagraph"/>
        <w:numPr>
          <w:ilvl w:val="2"/>
          <w:numId w:val="16"/>
        </w:numPr>
        <w:ind w:left="1080"/>
        <w:rPr>
          <w:rFonts w:cs="Arial"/>
          <w:bCs/>
          <w:szCs w:val="20"/>
        </w:rPr>
      </w:pPr>
      <w:r w:rsidRPr="006A52F8">
        <w:rPr>
          <w:rFonts w:cs="Arial"/>
          <w:bCs/>
          <w:szCs w:val="20"/>
        </w:rPr>
        <w:t xml:space="preserve">Genetic testing confirming a </w:t>
      </w:r>
      <w:r>
        <w:rPr>
          <w:rFonts w:cs="Arial"/>
          <w:bCs/>
          <w:szCs w:val="20"/>
        </w:rPr>
        <w:t xml:space="preserve">pathogenic variant </w:t>
      </w:r>
      <w:r w:rsidRPr="006A52F8">
        <w:rPr>
          <w:rFonts w:cs="Arial"/>
          <w:bCs/>
          <w:szCs w:val="20"/>
        </w:rPr>
        <w:t xml:space="preserve">of the </w:t>
      </w:r>
      <w:r w:rsidRPr="00471DF7">
        <w:rPr>
          <w:rFonts w:cs="Arial"/>
          <w:bCs/>
          <w:i/>
          <w:iCs/>
          <w:szCs w:val="20"/>
        </w:rPr>
        <w:t>AGXT</w:t>
      </w:r>
      <w:r w:rsidRPr="006A52F8">
        <w:rPr>
          <w:rFonts w:cs="Arial"/>
          <w:bCs/>
          <w:szCs w:val="20"/>
        </w:rPr>
        <w:t xml:space="preserve"> gene</w:t>
      </w:r>
      <w:r>
        <w:rPr>
          <w:rFonts w:cs="Arial"/>
          <w:bCs/>
          <w:szCs w:val="20"/>
        </w:rPr>
        <w:t xml:space="preserve">; </w:t>
      </w:r>
      <w:r w:rsidRPr="006A52F8">
        <w:rPr>
          <w:rFonts w:cs="Arial"/>
          <w:b/>
          <w:szCs w:val="20"/>
        </w:rPr>
        <w:t>OR</w:t>
      </w:r>
    </w:p>
    <w:p w14:paraId="46933F4B" w14:textId="77777777" w:rsidR="00542E2B" w:rsidRDefault="00542E2B" w:rsidP="00542E2B">
      <w:pPr>
        <w:pStyle w:val="ListParagraph"/>
        <w:numPr>
          <w:ilvl w:val="2"/>
          <w:numId w:val="16"/>
        </w:numPr>
        <w:ind w:left="1080"/>
        <w:rPr>
          <w:rFonts w:cs="Arial"/>
          <w:bCs/>
          <w:szCs w:val="20"/>
        </w:rPr>
      </w:pPr>
      <w:r w:rsidRPr="00B268DA">
        <w:rPr>
          <w:rFonts w:cs="Arial"/>
          <w:bCs/>
          <w:szCs w:val="20"/>
        </w:rPr>
        <w:t>A liver biopsy demonstrating absent or significantly reduced AGT activity</w:t>
      </w:r>
      <w:r>
        <w:rPr>
          <w:rFonts w:cs="Arial"/>
          <w:bCs/>
          <w:szCs w:val="20"/>
        </w:rPr>
        <w:t>, plus characteristic disease symptoms (chronic kidney stone formation, hyperoxaluria, increased urinary excretion of glycolate);</w:t>
      </w:r>
    </w:p>
    <w:p w14:paraId="19EFF42B" w14:textId="77777777" w:rsidR="00542E2B" w:rsidRPr="00471DF7" w:rsidRDefault="00542E2B" w:rsidP="00542E2B">
      <w:pPr>
        <w:pStyle w:val="ListParagraph"/>
        <w:numPr>
          <w:ilvl w:val="1"/>
          <w:numId w:val="16"/>
        </w:numPr>
        <w:ind w:left="720"/>
        <w:rPr>
          <w:rFonts w:cs="Arial"/>
          <w:bCs/>
          <w:szCs w:val="20"/>
        </w:rPr>
      </w:pPr>
      <w:r w:rsidRPr="00B763A0">
        <w:rPr>
          <w:rFonts w:cs="Arial"/>
          <w:bCs/>
          <w:szCs w:val="20"/>
        </w:rPr>
        <w:t>Documentation of baseline urinary oxalate excretion and plasma oxalate levels</w:t>
      </w:r>
      <w:r>
        <w:rPr>
          <w:rFonts w:cs="Arial"/>
          <w:bCs/>
          <w:szCs w:val="20"/>
        </w:rPr>
        <w:t xml:space="preserve">; </w:t>
      </w:r>
      <w:r w:rsidRPr="00471DF7">
        <w:rPr>
          <w:rFonts w:cs="Arial"/>
          <w:b/>
          <w:szCs w:val="20"/>
        </w:rPr>
        <w:t>AND</w:t>
      </w:r>
    </w:p>
    <w:p w14:paraId="2576D9E2" w14:textId="77777777" w:rsidR="00542E2B" w:rsidRPr="00BC473A" w:rsidRDefault="00542E2B" w:rsidP="00542E2B">
      <w:pPr>
        <w:pStyle w:val="ListParagraph"/>
        <w:numPr>
          <w:ilvl w:val="1"/>
          <w:numId w:val="16"/>
        </w:numPr>
        <w:ind w:left="720"/>
        <w:rPr>
          <w:rFonts w:cs="Arial"/>
          <w:b/>
          <w:strike/>
          <w:color w:val="1F497D" w:themeColor="text2"/>
          <w:szCs w:val="20"/>
        </w:rPr>
      </w:pPr>
      <w:r w:rsidRPr="00BC473A">
        <w:rPr>
          <w:rFonts w:cs="Arial"/>
          <w:b/>
          <w:strike/>
          <w:color w:val="1F497D" w:themeColor="text2"/>
          <w:szCs w:val="20"/>
        </w:rPr>
        <w:t>Documented previous or concurrent therapy with pyridoxine for at least 90 days.</w:t>
      </w:r>
    </w:p>
    <w:p w14:paraId="5B9178C9" w14:textId="77777777" w:rsidR="00542E2B" w:rsidRPr="004D36F7" w:rsidRDefault="00542E2B" w:rsidP="00542E2B">
      <w:pPr>
        <w:pStyle w:val="ListParagraph"/>
        <w:numPr>
          <w:ilvl w:val="0"/>
          <w:numId w:val="16"/>
        </w:numPr>
        <w:rPr>
          <w:rFonts w:cs="Arial"/>
          <w:bCs/>
          <w:szCs w:val="20"/>
        </w:rPr>
      </w:pPr>
      <w:r w:rsidRPr="004D36F7">
        <w:rPr>
          <w:rFonts w:cs="Arial"/>
          <w:bCs/>
          <w:szCs w:val="20"/>
        </w:rPr>
        <w:t>Additional approval criteria for Rivfloza:</w:t>
      </w:r>
    </w:p>
    <w:p w14:paraId="76D38E02" w14:textId="77777777" w:rsidR="00542E2B" w:rsidRPr="004D36F7" w:rsidRDefault="00542E2B" w:rsidP="00542E2B">
      <w:pPr>
        <w:pStyle w:val="ListParagraph"/>
        <w:numPr>
          <w:ilvl w:val="1"/>
          <w:numId w:val="16"/>
        </w:numPr>
        <w:ind w:left="720"/>
        <w:rPr>
          <w:rFonts w:cs="Arial"/>
          <w:bCs/>
          <w:szCs w:val="20"/>
        </w:rPr>
      </w:pPr>
      <w:r w:rsidRPr="004D36F7">
        <w:rPr>
          <w:rFonts w:cs="Arial"/>
          <w:bCs/>
          <w:szCs w:val="20"/>
        </w:rPr>
        <w:t xml:space="preserve">Participant is </w:t>
      </w:r>
      <w:r w:rsidRPr="001D2C06">
        <w:rPr>
          <w:rFonts w:cs="Arial"/>
          <w:bCs/>
          <w:szCs w:val="20"/>
        </w:rPr>
        <w:t>2</w:t>
      </w:r>
      <w:r>
        <w:rPr>
          <w:rFonts w:cs="Arial"/>
          <w:b/>
          <w:color w:val="0070C0"/>
          <w:szCs w:val="20"/>
        </w:rPr>
        <w:t xml:space="preserve"> </w:t>
      </w:r>
      <w:r w:rsidRPr="004D36F7">
        <w:rPr>
          <w:rFonts w:cs="Arial"/>
          <w:bCs/>
          <w:szCs w:val="20"/>
        </w:rPr>
        <w:t xml:space="preserve">years of age or older; </w:t>
      </w:r>
      <w:r w:rsidRPr="007E7E24">
        <w:rPr>
          <w:rFonts w:cs="Arial"/>
          <w:b/>
          <w:szCs w:val="20"/>
        </w:rPr>
        <w:t>AND</w:t>
      </w:r>
    </w:p>
    <w:p w14:paraId="2CFBDE82" w14:textId="77777777" w:rsidR="00542E2B" w:rsidRPr="004D36F7" w:rsidRDefault="00542E2B" w:rsidP="00542E2B">
      <w:pPr>
        <w:pStyle w:val="ListParagraph"/>
        <w:numPr>
          <w:ilvl w:val="1"/>
          <w:numId w:val="16"/>
        </w:numPr>
        <w:ind w:left="720"/>
        <w:rPr>
          <w:rFonts w:cs="Arial"/>
          <w:bCs/>
          <w:szCs w:val="20"/>
        </w:rPr>
      </w:pPr>
      <w:r w:rsidRPr="004D36F7">
        <w:rPr>
          <w:rFonts w:cs="Arial"/>
          <w:bCs/>
          <w:szCs w:val="20"/>
        </w:rPr>
        <w:t>Participant has eGFR of ≥ 30 mL/min/1.73 m</w:t>
      </w:r>
      <w:r w:rsidRPr="004D36F7">
        <w:rPr>
          <w:rFonts w:cs="Arial"/>
          <w:bCs/>
          <w:szCs w:val="20"/>
          <w:vertAlign w:val="superscript"/>
        </w:rPr>
        <w:t>2</w:t>
      </w:r>
      <w:r w:rsidRPr="004D36F7">
        <w:rPr>
          <w:rFonts w:cs="Arial"/>
          <w:bCs/>
          <w:szCs w:val="20"/>
        </w:rPr>
        <w:t>.</w:t>
      </w:r>
    </w:p>
    <w:p w14:paraId="5593FDC3" w14:textId="77777777" w:rsidR="00542E2B" w:rsidRPr="000C335B" w:rsidRDefault="00542E2B" w:rsidP="00542E2B">
      <w:pPr>
        <w:pStyle w:val="ListParagraph"/>
        <w:numPr>
          <w:ilvl w:val="0"/>
          <w:numId w:val="16"/>
        </w:numPr>
        <w:rPr>
          <w:rFonts w:cs="Arial"/>
          <w:bCs/>
          <w:szCs w:val="20"/>
        </w:rPr>
      </w:pPr>
      <w:r w:rsidRPr="000C335B">
        <w:rPr>
          <w:rFonts w:cs="Arial"/>
          <w:bCs/>
          <w:szCs w:val="20"/>
        </w:rPr>
        <w:t>Initial approval period: 1 year</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0C0DFEFD" w14:textId="77777777" w:rsidR="00EE5813" w:rsidRDefault="00EE5813" w:rsidP="00EE5813">
      <w:pPr>
        <w:pStyle w:val="ListParagraph"/>
        <w:numPr>
          <w:ilvl w:val="0"/>
          <w:numId w:val="16"/>
        </w:numPr>
        <w:rPr>
          <w:rFonts w:cs="Arial"/>
          <w:bCs/>
          <w:szCs w:val="20"/>
        </w:rPr>
      </w:pPr>
      <w:bookmarkStart w:id="1" w:name="_Hlk76647805"/>
      <w:r>
        <w:rPr>
          <w:rFonts w:cs="Arial"/>
          <w:bCs/>
          <w:szCs w:val="20"/>
        </w:rPr>
        <w:t>Must meet one of the following:</w:t>
      </w:r>
    </w:p>
    <w:p w14:paraId="0FFBEB55" w14:textId="77777777" w:rsidR="00EE5813" w:rsidRDefault="00EE5813" w:rsidP="00EE5813">
      <w:pPr>
        <w:pStyle w:val="ListParagraph"/>
        <w:numPr>
          <w:ilvl w:val="1"/>
          <w:numId w:val="16"/>
        </w:numPr>
        <w:tabs>
          <w:tab w:val="left" w:pos="720"/>
        </w:tabs>
        <w:ind w:left="720"/>
        <w:rPr>
          <w:rFonts w:cs="Arial"/>
          <w:bCs/>
          <w:szCs w:val="20"/>
        </w:rPr>
      </w:pPr>
      <w:r>
        <w:rPr>
          <w:rFonts w:cs="Arial"/>
          <w:bCs/>
          <w:szCs w:val="20"/>
        </w:rPr>
        <w:t xml:space="preserve">Documentation of improved </w:t>
      </w:r>
      <w:r w:rsidRPr="00E15753">
        <w:rPr>
          <w:rFonts w:cs="Arial"/>
          <w:bCs/>
          <w:szCs w:val="20"/>
        </w:rPr>
        <w:t>urinary oxalate excretion</w:t>
      </w:r>
      <w:r>
        <w:rPr>
          <w:rFonts w:cs="Arial"/>
          <w:bCs/>
          <w:szCs w:val="20"/>
        </w:rPr>
        <w:t xml:space="preserve"> from baseline; </w:t>
      </w:r>
      <w:r w:rsidRPr="00EC0E9F">
        <w:rPr>
          <w:rFonts w:cs="Arial"/>
          <w:b/>
          <w:szCs w:val="20"/>
        </w:rPr>
        <w:t>OR</w:t>
      </w:r>
    </w:p>
    <w:p w14:paraId="4E7FD0ED" w14:textId="77777777" w:rsidR="00EE5813" w:rsidRDefault="00EE5813" w:rsidP="00EE5813">
      <w:pPr>
        <w:pStyle w:val="ListParagraph"/>
        <w:numPr>
          <w:ilvl w:val="1"/>
          <w:numId w:val="16"/>
        </w:numPr>
        <w:tabs>
          <w:tab w:val="left" w:pos="720"/>
        </w:tabs>
        <w:ind w:left="720"/>
        <w:rPr>
          <w:rFonts w:cs="Arial"/>
          <w:bCs/>
          <w:szCs w:val="20"/>
        </w:rPr>
      </w:pPr>
      <w:r>
        <w:rPr>
          <w:rFonts w:cs="Arial"/>
          <w:bCs/>
          <w:szCs w:val="20"/>
        </w:rPr>
        <w:t>Documentation of r</w:t>
      </w:r>
      <w:r w:rsidRPr="00B763A0">
        <w:rPr>
          <w:rFonts w:cs="Arial"/>
          <w:bCs/>
          <w:szCs w:val="20"/>
        </w:rPr>
        <w:t xml:space="preserve">educed plasma oxalate levels from </w:t>
      </w:r>
      <w:r w:rsidRPr="00E15753">
        <w:rPr>
          <w:rFonts w:cs="Arial"/>
          <w:bCs/>
          <w:szCs w:val="20"/>
        </w:rPr>
        <w:t>baseline</w:t>
      </w:r>
      <w:r>
        <w:rPr>
          <w:rFonts w:cs="Arial"/>
          <w:bCs/>
          <w:szCs w:val="20"/>
        </w:rPr>
        <w:t>.</w:t>
      </w:r>
    </w:p>
    <w:p w14:paraId="187F0504" w14:textId="77777777" w:rsidR="00EE5813" w:rsidRPr="00E15753" w:rsidRDefault="00EE5813" w:rsidP="00EE5813">
      <w:pPr>
        <w:pStyle w:val="ListParagraph"/>
        <w:numPr>
          <w:ilvl w:val="0"/>
          <w:numId w:val="16"/>
        </w:numPr>
        <w:rPr>
          <w:rFonts w:cs="Arial"/>
          <w:bCs/>
          <w:szCs w:val="20"/>
        </w:rPr>
      </w:pPr>
      <w:r>
        <w:rPr>
          <w:rFonts w:cs="Arial"/>
          <w:bCs/>
          <w:szCs w:val="20"/>
        </w:rPr>
        <w:t>Continuation approval period: 1 year</w:t>
      </w:r>
    </w:p>
    <w:bookmarkEnd w:id="1"/>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260679F3" w14:textId="77777777" w:rsidR="002638D6" w:rsidRDefault="002638D6" w:rsidP="002638D6">
      <w:pPr>
        <w:pStyle w:val="ListParagraph"/>
        <w:numPr>
          <w:ilvl w:val="0"/>
          <w:numId w:val="17"/>
        </w:numPr>
        <w:rPr>
          <w:rFonts w:cs="Arial"/>
          <w:noProof/>
          <w:szCs w:val="20"/>
        </w:rPr>
      </w:pPr>
      <w:bookmarkStart w:id="2" w:name="_Hlk47597237"/>
      <w:r>
        <w:rPr>
          <w:rFonts w:cs="Arial"/>
          <w:noProof/>
          <w:szCs w:val="20"/>
        </w:rPr>
        <w:t>Therapy will be denied with presence of one of the following:</w:t>
      </w:r>
    </w:p>
    <w:p w14:paraId="618136DE" w14:textId="77777777" w:rsidR="002638D6" w:rsidRPr="00BA25B8" w:rsidRDefault="002638D6" w:rsidP="002638D6">
      <w:pPr>
        <w:pStyle w:val="ListParagraph"/>
        <w:numPr>
          <w:ilvl w:val="1"/>
          <w:numId w:val="17"/>
        </w:numPr>
        <w:rPr>
          <w:rFonts w:cs="Arial"/>
          <w:noProof/>
          <w:szCs w:val="20"/>
        </w:rPr>
      </w:pPr>
      <w:r w:rsidRPr="00BA25B8">
        <w:rPr>
          <w:rFonts w:cs="Arial"/>
          <w:noProof/>
          <w:szCs w:val="20"/>
        </w:rPr>
        <w:t xml:space="preserve">Any approval criteria are not met; </w:t>
      </w:r>
      <w:r w:rsidRPr="00BA25B8">
        <w:rPr>
          <w:rFonts w:cs="Arial"/>
          <w:b/>
          <w:bCs/>
          <w:noProof/>
          <w:szCs w:val="20"/>
        </w:rPr>
        <w:t>OR</w:t>
      </w:r>
    </w:p>
    <w:p w14:paraId="3522C973" w14:textId="77777777" w:rsidR="002638D6" w:rsidRDefault="002638D6" w:rsidP="002638D6">
      <w:pPr>
        <w:pStyle w:val="ListParagraph"/>
        <w:numPr>
          <w:ilvl w:val="1"/>
          <w:numId w:val="17"/>
        </w:numPr>
        <w:rPr>
          <w:rFonts w:cs="Arial"/>
          <w:noProof/>
          <w:szCs w:val="20"/>
        </w:rPr>
      </w:pPr>
      <w:r w:rsidRPr="00BA25B8">
        <w:rPr>
          <w:rFonts w:cs="Arial"/>
          <w:noProof/>
          <w:szCs w:val="20"/>
        </w:rPr>
        <w:t>Documented history of liver transplant</w:t>
      </w:r>
      <w:bookmarkEnd w:id="2"/>
      <w:r>
        <w:rPr>
          <w:rFonts w:cs="Arial"/>
          <w:noProof/>
          <w:szCs w:val="20"/>
        </w:rPr>
        <w:t>.</w:t>
      </w:r>
    </w:p>
    <w:p w14:paraId="129722B6" w14:textId="77777777" w:rsidR="002638D6" w:rsidRPr="001C1237" w:rsidRDefault="002638D6" w:rsidP="002638D6">
      <w:pPr>
        <w:pStyle w:val="ListParagraph"/>
        <w:numPr>
          <w:ilvl w:val="0"/>
          <w:numId w:val="17"/>
        </w:numPr>
        <w:rPr>
          <w:rFonts w:cs="Arial"/>
          <w:noProof/>
          <w:szCs w:val="20"/>
        </w:rPr>
      </w:pPr>
      <w:r w:rsidRPr="001C1237">
        <w:rPr>
          <w:rFonts w:cs="Arial"/>
          <w:noProof/>
          <w:szCs w:val="20"/>
        </w:rPr>
        <w:t>Additional denial criteria for Oxlumo:</w:t>
      </w:r>
    </w:p>
    <w:p w14:paraId="4B1B631A" w14:textId="77777777" w:rsidR="002638D6" w:rsidRPr="001C1237" w:rsidRDefault="002638D6" w:rsidP="002638D6">
      <w:pPr>
        <w:pStyle w:val="ListParagraph"/>
        <w:numPr>
          <w:ilvl w:val="1"/>
          <w:numId w:val="17"/>
        </w:numPr>
        <w:rPr>
          <w:rFonts w:cs="Arial"/>
          <w:noProof/>
          <w:szCs w:val="20"/>
        </w:rPr>
      </w:pPr>
      <w:r w:rsidRPr="001C1237">
        <w:rPr>
          <w:rFonts w:cs="Arial"/>
          <w:noProof/>
          <w:szCs w:val="20"/>
        </w:rPr>
        <w:t>Concurrent therapy with Rivfloza.</w:t>
      </w:r>
    </w:p>
    <w:p w14:paraId="74B5C51E" w14:textId="77777777" w:rsidR="002638D6" w:rsidRPr="001C1237" w:rsidRDefault="002638D6" w:rsidP="002638D6">
      <w:pPr>
        <w:pStyle w:val="ListParagraph"/>
        <w:numPr>
          <w:ilvl w:val="0"/>
          <w:numId w:val="17"/>
        </w:numPr>
        <w:rPr>
          <w:rFonts w:cs="Arial"/>
          <w:noProof/>
          <w:szCs w:val="20"/>
        </w:rPr>
      </w:pPr>
      <w:r w:rsidRPr="001C1237">
        <w:rPr>
          <w:rFonts w:cs="Arial"/>
          <w:noProof/>
          <w:szCs w:val="20"/>
        </w:rPr>
        <w:t>Additional denial criteria for Rivfloza:</w:t>
      </w:r>
    </w:p>
    <w:p w14:paraId="7C580695" w14:textId="77777777" w:rsidR="002638D6" w:rsidRPr="001C1237" w:rsidRDefault="002638D6" w:rsidP="002638D6">
      <w:pPr>
        <w:pStyle w:val="ListParagraph"/>
        <w:numPr>
          <w:ilvl w:val="1"/>
          <w:numId w:val="17"/>
        </w:numPr>
        <w:rPr>
          <w:rFonts w:cs="Arial"/>
          <w:noProof/>
          <w:szCs w:val="20"/>
        </w:rPr>
      </w:pPr>
      <w:r w:rsidRPr="001C1237">
        <w:rPr>
          <w:rFonts w:cs="Arial"/>
          <w:noProof/>
          <w:szCs w:val="20"/>
        </w:rPr>
        <w:t>Concurrent therapy with Oxlumo.</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3"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3"/>
    <w:p w14:paraId="6413C0CF" w14:textId="530C1EC9" w:rsidR="00AE77DB" w:rsidRPr="00C02553" w:rsidRDefault="00AE77DB" w:rsidP="00343D6B">
      <w:pPr>
        <w:pStyle w:val="Heading1"/>
        <w:rPr>
          <w:lang w:val="en-US"/>
        </w:rPr>
      </w:pPr>
      <w:r w:rsidRPr="00C02553">
        <w:rPr>
          <w:lang w:val="en-US"/>
        </w:rPr>
        <w:t>References</w:t>
      </w:r>
    </w:p>
    <w:p w14:paraId="30A2B58B" w14:textId="77777777" w:rsidR="00063085" w:rsidRPr="0071505A" w:rsidRDefault="00063085" w:rsidP="00063085">
      <w:pPr>
        <w:pStyle w:val="Header"/>
        <w:numPr>
          <w:ilvl w:val="0"/>
          <w:numId w:val="18"/>
        </w:numPr>
        <w:contextualSpacing/>
        <w:textAlignment w:val="baseline"/>
        <w:rPr>
          <w:rStyle w:val="normaltextrun"/>
          <w:rFonts w:cs="Arial"/>
          <w:sz w:val="20"/>
          <w:shd w:val="clear" w:color="auto" w:fill="FFFFFF"/>
        </w:rPr>
      </w:pPr>
      <w:r>
        <w:rPr>
          <w:rStyle w:val="normaltextrun"/>
          <w:rFonts w:cs="Arial"/>
          <w:sz w:val="20"/>
          <w:shd w:val="clear" w:color="auto" w:fill="FFFFFF"/>
        </w:rPr>
        <w:lastRenderedPageBreak/>
        <w:t>Oxlumo</w:t>
      </w:r>
      <w:r w:rsidRPr="0071505A">
        <w:rPr>
          <w:rStyle w:val="normaltextrun"/>
          <w:rFonts w:cs="Arial"/>
          <w:sz w:val="20"/>
          <w:shd w:val="clear" w:color="auto" w:fill="FFFFFF"/>
        </w:rPr>
        <w:t xml:space="preserve"> (lumasiran) [package insert]. Cambridge, MA: Alnylam Pharmaceuticals; </w:t>
      </w:r>
      <w:r>
        <w:rPr>
          <w:rStyle w:val="normaltextrun"/>
          <w:rFonts w:cs="Arial"/>
          <w:sz w:val="20"/>
          <w:shd w:val="clear" w:color="auto" w:fill="FFFFFF"/>
        </w:rPr>
        <w:t>April 2025</w:t>
      </w:r>
      <w:r w:rsidRPr="0071505A">
        <w:rPr>
          <w:rStyle w:val="normaltextrun"/>
          <w:rFonts w:cs="Arial"/>
          <w:sz w:val="20"/>
          <w:shd w:val="clear" w:color="auto" w:fill="FFFFFF"/>
        </w:rPr>
        <w:t xml:space="preserve">. </w:t>
      </w:r>
    </w:p>
    <w:p w14:paraId="6D1B5615" w14:textId="77777777" w:rsidR="00063085" w:rsidRPr="0071505A" w:rsidRDefault="00063085" w:rsidP="00063085">
      <w:pPr>
        <w:pStyle w:val="Header"/>
        <w:numPr>
          <w:ilvl w:val="0"/>
          <w:numId w:val="18"/>
        </w:numPr>
        <w:contextualSpacing/>
        <w:textAlignment w:val="baseline"/>
        <w:rPr>
          <w:rStyle w:val="normaltextrun"/>
          <w:rFonts w:cs="Arial"/>
          <w:sz w:val="20"/>
          <w:shd w:val="clear" w:color="auto" w:fill="FFFFFF"/>
        </w:rPr>
      </w:pPr>
      <w:r w:rsidRPr="0071505A">
        <w:rPr>
          <w:rStyle w:val="normaltextrun"/>
          <w:rFonts w:cs="Arial"/>
          <w:sz w:val="20"/>
          <w:shd w:val="clear" w:color="auto" w:fill="FFFFFF"/>
        </w:rPr>
        <w:t xml:space="preserve">National Organization for Rare Disorders. Primary Hyperoxaluria. https://rarediseases.org/rare-diseases/primary-hyperoxaluria/. </w:t>
      </w:r>
      <w:r>
        <w:rPr>
          <w:rStyle w:val="normaltextrun"/>
          <w:rFonts w:cs="Arial"/>
          <w:sz w:val="20"/>
          <w:shd w:val="clear" w:color="auto" w:fill="FFFFFF"/>
        </w:rPr>
        <w:t>Accessed January 20, 2023</w:t>
      </w:r>
      <w:r w:rsidRPr="0071505A">
        <w:rPr>
          <w:rStyle w:val="normaltextrun"/>
          <w:rFonts w:cs="Arial"/>
          <w:sz w:val="20"/>
          <w:shd w:val="clear" w:color="auto" w:fill="FFFFFF"/>
        </w:rPr>
        <w:t>.</w:t>
      </w:r>
    </w:p>
    <w:p w14:paraId="4CC2537F" w14:textId="77777777" w:rsidR="00063085" w:rsidRPr="0071505A" w:rsidRDefault="00063085" w:rsidP="00063085">
      <w:pPr>
        <w:pStyle w:val="paragraph"/>
        <w:numPr>
          <w:ilvl w:val="0"/>
          <w:numId w:val="18"/>
        </w:numPr>
        <w:contextualSpacing/>
        <w:textAlignment w:val="baseline"/>
        <w:rPr>
          <w:rStyle w:val="normaltextrun"/>
          <w:rFonts w:cs="Arial"/>
          <w:szCs w:val="20"/>
          <w:shd w:val="clear" w:color="auto" w:fill="FFFFFF"/>
        </w:rPr>
      </w:pPr>
      <w:r w:rsidRPr="0071505A">
        <w:rPr>
          <w:rStyle w:val="normaltextrun"/>
          <w:rFonts w:cs="Arial"/>
          <w:szCs w:val="20"/>
          <w:shd w:val="clear" w:color="auto" w:fill="FFFFFF"/>
        </w:rPr>
        <w:t>Hoyer-Kuhn, H., Kohbrok, S., Volland, R., Franklin, J., Hero, B., Beck, B.B., Hope, B. Vitamin B6 in Primary Hyperoxaluria I: First Prospective Trial after 40 Years of Practice. CJASN; March 2014; 9(3):468-477.</w:t>
      </w:r>
    </w:p>
    <w:p w14:paraId="560A1051" w14:textId="77777777" w:rsidR="00063085" w:rsidRPr="0071505A" w:rsidRDefault="00063085" w:rsidP="00063085">
      <w:pPr>
        <w:pStyle w:val="paragraph"/>
        <w:numPr>
          <w:ilvl w:val="0"/>
          <w:numId w:val="18"/>
        </w:numPr>
        <w:contextualSpacing/>
        <w:textAlignment w:val="baseline"/>
        <w:rPr>
          <w:rStyle w:val="normaltextrun"/>
          <w:rFonts w:cs="Arial"/>
          <w:szCs w:val="20"/>
          <w:shd w:val="clear" w:color="auto" w:fill="FFFFFF"/>
        </w:rPr>
      </w:pPr>
      <w:r w:rsidRPr="0071505A">
        <w:rPr>
          <w:rStyle w:val="normaltextrun"/>
          <w:rFonts w:cs="Arial"/>
          <w:szCs w:val="20"/>
          <w:shd w:val="clear" w:color="auto" w:fill="FFFFFF"/>
        </w:rPr>
        <w:t xml:space="preserve">Allena Pharmaceuticals. Hyperoxaluria. https://www.allenapharma.com/hyperoxaluria. Accessed </w:t>
      </w:r>
      <w:r>
        <w:rPr>
          <w:rStyle w:val="normaltextrun"/>
          <w:rFonts w:cs="Arial"/>
          <w:szCs w:val="20"/>
          <w:shd w:val="clear" w:color="auto" w:fill="FFFFFF"/>
        </w:rPr>
        <w:t>January 20, 2023.</w:t>
      </w:r>
    </w:p>
    <w:p w14:paraId="5B20E3D1" w14:textId="77777777" w:rsidR="00063085" w:rsidRPr="008C164C" w:rsidRDefault="00063085" w:rsidP="00063085">
      <w:pPr>
        <w:pStyle w:val="paragraph"/>
        <w:numPr>
          <w:ilvl w:val="0"/>
          <w:numId w:val="18"/>
        </w:numPr>
        <w:contextualSpacing/>
        <w:textAlignment w:val="baseline"/>
        <w:rPr>
          <w:rStyle w:val="normaltextrun"/>
          <w:rFonts w:cs="Arial"/>
          <w:szCs w:val="20"/>
          <w:shd w:val="clear" w:color="auto" w:fill="FFFFFF"/>
        </w:rPr>
      </w:pPr>
      <w:r w:rsidRPr="0071505A">
        <w:rPr>
          <w:rStyle w:val="normaltextrun"/>
          <w:rFonts w:cs="Arial"/>
          <w:szCs w:val="20"/>
          <w:shd w:val="clear" w:color="auto" w:fill="FFFFFF"/>
        </w:rPr>
        <w:t xml:space="preserve">Milliner, D.S., Eickholt, J.T., Bergstralh, E.J., Wilson, D.M., Smith, L.H. Results of Long-term Treatment with Orthophosphate and Pyridoxine in Patients with Primary Hyperoxaluria. N Engl J Med 1994; 331:1553-1558. </w:t>
      </w:r>
    </w:p>
    <w:p w14:paraId="17D0B473" w14:textId="77777777" w:rsidR="00063085" w:rsidRPr="00074978" w:rsidRDefault="00063085" w:rsidP="00063085">
      <w:pPr>
        <w:pStyle w:val="paragraph"/>
        <w:numPr>
          <w:ilvl w:val="0"/>
          <w:numId w:val="18"/>
        </w:numPr>
        <w:spacing w:before="0" w:beforeAutospacing="0" w:after="0" w:afterAutospacing="0"/>
        <w:contextualSpacing/>
        <w:textAlignment w:val="baseline"/>
        <w:rPr>
          <w:rStyle w:val="normaltextrun"/>
          <w:rFonts w:cs="Arial"/>
          <w:szCs w:val="20"/>
        </w:rPr>
      </w:pPr>
      <w:r w:rsidRPr="0071505A">
        <w:rPr>
          <w:rStyle w:val="normaltextrun"/>
          <w:rFonts w:cs="Arial"/>
          <w:szCs w:val="20"/>
          <w:shd w:val="clear" w:color="auto" w:fill="FFFFFF"/>
        </w:rPr>
        <w:t>IPD Analytics. New Drug Review: Oxlumo (lumasiran). December 2020.</w:t>
      </w:r>
    </w:p>
    <w:p w14:paraId="3CA76C5B" w14:textId="77777777" w:rsidR="00063085" w:rsidRDefault="00063085" w:rsidP="00063085">
      <w:pPr>
        <w:pStyle w:val="paragraph"/>
        <w:numPr>
          <w:ilvl w:val="0"/>
          <w:numId w:val="18"/>
        </w:numPr>
        <w:spacing w:before="0" w:after="0"/>
        <w:contextualSpacing/>
        <w:textAlignment w:val="baseline"/>
        <w:rPr>
          <w:rFonts w:cs="Arial"/>
          <w:shd w:val="clear" w:color="auto" w:fill="FFFFFF"/>
        </w:rPr>
      </w:pPr>
      <w:r>
        <w:rPr>
          <w:rStyle w:val="normaltextrun"/>
          <w:rFonts w:cs="Arial"/>
          <w:szCs w:val="20"/>
          <w:shd w:val="clear" w:color="auto" w:fill="FFFFFF"/>
        </w:rPr>
        <w:t xml:space="preserve">IPD </w:t>
      </w:r>
      <w:r w:rsidRPr="00074978">
        <w:rPr>
          <w:rStyle w:val="normaltextrun"/>
          <w:rFonts w:cs="Arial"/>
          <w:szCs w:val="20"/>
          <w:shd w:val="clear" w:color="auto" w:fill="FFFFFF"/>
        </w:rPr>
        <w:t xml:space="preserve">Analytics. </w:t>
      </w:r>
      <w:r w:rsidRPr="00074978">
        <w:rPr>
          <w:rFonts w:cs="Arial"/>
          <w:shd w:val="clear" w:color="auto" w:fill="FFFFFF"/>
        </w:rPr>
        <w:t>Nephrology: Primary Hyperoxaluria</w:t>
      </w:r>
      <w:r>
        <w:rPr>
          <w:rFonts w:cs="Arial"/>
          <w:shd w:val="clear" w:color="auto" w:fill="FFFFFF"/>
        </w:rPr>
        <w:t>. Accessed June 16, 2025.</w:t>
      </w:r>
    </w:p>
    <w:p w14:paraId="7DF4AAF5" w14:textId="77777777" w:rsidR="00063085" w:rsidRPr="00601824" w:rsidRDefault="00063085" w:rsidP="00063085">
      <w:pPr>
        <w:pStyle w:val="Header"/>
        <w:numPr>
          <w:ilvl w:val="0"/>
          <w:numId w:val="18"/>
        </w:numPr>
        <w:contextualSpacing/>
        <w:textAlignment w:val="baseline"/>
        <w:rPr>
          <w:rFonts w:cs="Arial"/>
          <w:sz w:val="20"/>
          <w:shd w:val="clear" w:color="auto" w:fill="FFFFFF"/>
        </w:rPr>
      </w:pPr>
      <w:r>
        <w:rPr>
          <w:rFonts w:cs="Arial"/>
          <w:sz w:val="20"/>
          <w:shd w:val="clear" w:color="auto" w:fill="FFFFFF"/>
        </w:rPr>
        <w:t xml:space="preserve">Rivfloza (nedosiran). </w:t>
      </w:r>
      <w:r w:rsidRPr="0071505A">
        <w:rPr>
          <w:rStyle w:val="normaltextrun"/>
          <w:rFonts w:cs="Arial"/>
          <w:sz w:val="20"/>
          <w:shd w:val="clear" w:color="auto" w:fill="FFFFFF"/>
        </w:rPr>
        <w:t xml:space="preserve">[package insert]. </w:t>
      </w:r>
      <w:r>
        <w:rPr>
          <w:rStyle w:val="normaltextrun"/>
          <w:rFonts w:cs="Arial"/>
          <w:sz w:val="20"/>
          <w:shd w:val="clear" w:color="auto" w:fill="FFFFFF"/>
        </w:rPr>
        <w:t>Plainsboro, NJ</w:t>
      </w:r>
      <w:r w:rsidRPr="0071505A">
        <w:rPr>
          <w:rStyle w:val="normaltextrun"/>
          <w:rFonts w:cs="Arial"/>
          <w:sz w:val="20"/>
          <w:shd w:val="clear" w:color="auto" w:fill="FFFFFF"/>
        </w:rPr>
        <w:t xml:space="preserve">: </w:t>
      </w:r>
      <w:r>
        <w:rPr>
          <w:rStyle w:val="normaltextrun"/>
          <w:rFonts w:cs="Arial"/>
          <w:sz w:val="20"/>
          <w:shd w:val="clear" w:color="auto" w:fill="FFFFFF"/>
        </w:rPr>
        <w:t>Novo Nordisk;</w:t>
      </w:r>
      <w:r w:rsidRPr="0071505A">
        <w:rPr>
          <w:rStyle w:val="normaltextrun"/>
          <w:rFonts w:cs="Arial"/>
          <w:sz w:val="20"/>
          <w:shd w:val="clear" w:color="auto" w:fill="FFFFFF"/>
        </w:rPr>
        <w:t xml:space="preserve"> </w:t>
      </w:r>
      <w:r>
        <w:rPr>
          <w:rStyle w:val="normaltextrun"/>
          <w:rFonts w:cs="Arial"/>
          <w:sz w:val="20"/>
          <w:shd w:val="clear" w:color="auto" w:fill="FFFFFF"/>
        </w:rPr>
        <w:t>March</w:t>
      </w:r>
      <w:r w:rsidRPr="0071505A">
        <w:rPr>
          <w:rStyle w:val="normaltextrun"/>
          <w:rFonts w:cs="Arial"/>
          <w:sz w:val="20"/>
          <w:shd w:val="clear" w:color="auto" w:fill="FFFFFF"/>
        </w:rPr>
        <w:t xml:space="preserve"> 20</w:t>
      </w:r>
      <w:r>
        <w:rPr>
          <w:rStyle w:val="normaltextrun"/>
          <w:rFonts w:cs="Arial"/>
          <w:sz w:val="20"/>
          <w:shd w:val="clear" w:color="auto" w:fill="FFFFFF"/>
        </w:rPr>
        <w:t>25</w:t>
      </w:r>
      <w:r w:rsidRPr="0071505A">
        <w:rPr>
          <w:rStyle w:val="normaltextrun"/>
          <w:rFonts w:cs="Arial"/>
          <w:sz w:val="20"/>
          <w:shd w:val="clear" w:color="auto" w:fill="FFFFFF"/>
        </w:rPr>
        <w:t xml:space="preserve">. </w:t>
      </w:r>
    </w:p>
    <w:p w14:paraId="3FA1E7DB" w14:textId="2AEF126D" w:rsidR="00777CA4" w:rsidRDefault="00777CA4" w:rsidP="00063085"/>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173D" w14:textId="77777777" w:rsidR="004E435D" w:rsidRPr="00C02553" w:rsidRDefault="004E435D" w:rsidP="00AE77DB">
      <w:r w:rsidRPr="00C02553">
        <w:separator/>
      </w:r>
    </w:p>
  </w:endnote>
  <w:endnote w:type="continuationSeparator" w:id="0">
    <w:p w14:paraId="40355872" w14:textId="77777777" w:rsidR="004E435D" w:rsidRPr="00C02553" w:rsidRDefault="004E435D" w:rsidP="00AE77DB">
      <w:r w:rsidRPr="00C02553">
        <w:continuationSeparator/>
      </w:r>
    </w:p>
  </w:endnote>
  <w:endnote w:type="continuationNotice" w:id="1">
    <w:p w14:paraId="5B476EE7" w14:textId="77777777" w:rsidR="004E435D" w:rsidRPr="00C02553" w:rsidRDefault="004E4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56EA" w14:textId="77777777" w:rsidR="004E435D" w:rsidRPr="00C02553" w:rsidRDefault="004E435D" w:rsidP="00AE77DB">
      <w:r w:rsidRPr="00C02553">
        <w:separator/>
      </w:r>
    </w:p>
  </w:footnote>
  <w:footnote w:type="continuationSeparator" w:id="0">
    <w:p w14:paraId="3B9F5AC5" w14:textId="77777777" w:rsidR="004E435D" w:rsidRPr="00C02553" w:rsidRDefault="004E435D" w:rsidP="00AE77DB">
      <w:r w:rsidRPr="00C02553">
        <w:continuationSeparator/>
      </w:r>
    </w:p>
  </w:footnote>
  <w:footnote w:type="continuationNotice" w:id="1">
    <w:p w14:paraId="5F6F9159" w14:textId="77777777" w:rsidR="004E435D" w:rsidRPr="00C02553" w:rsidRDefault="004E4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A76005">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A76005">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A76005">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A74F17"/>
    <w:multiLevelType w:val="hybridMultilevel"/>
    <w:tmpl w:val="E2C2E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AB37B0"/>
    <w:multiLevelType w:val="hybridMultilevel"/>
    <w:tmpl w:val="356E1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2"/>
  </w:num>
  <w:num w:numId="15" w16cid:durableId="1911186802">
    <w:abstractNumId w:val="6"/>
  </w:num>
  <w:num w:numId="16" w16cid:durableId="322392657">
    <w:abstractNumId w:val="13"/>
  </w:num>
  <w:num w:numId="17" w16cid:durableId="1046837499">
    <w:abstractNumId w:val="16"/>
  </w:num>
  <w:num w:numId="18" w16cid:durableId="51014390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MK7aKyvwMhULPIG8wvAW/KVPr6HnA9R6ew9zm417mMM2JbkFCecCL96oxQl4eS4NQ/6pRbw+0kBa0VHL88JQPA==" w:salt="veZe2DASF7LrVO0rumfKw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1B7E"/>
    <w:rsid w:val="0000390A"/>
    <w:rsid w:val="0000457E"/>
    <w:rsid w:val="00006A61"/>
    <w:rsid w:val="00017CBA"/>
    <w:rsid w:val="000276D9"/>
    <w:rsid w:val="000344C5"/>
    <w:rsid w:val="00040AD3"/>
    <w:rsid w:val="00051FD0"/>
    <w:rsid w:val="00053807"/>
    <w:rsid w:val="000572E5"/>
    <w:rsid w:val="00061541"/>
    <w:rsid w:val="00063085"/>
    <w:rsid w:val="00064162"/>
    <w:rsid w:val="00065C22"/>
    <w:rsid w:val="00074464"/>
    <w:rsid w:val="00076030"/>
    <w:rsid w:val="00082590"/>
    <w:rsid w:val="000913C3"/>
    <w:rsid w:val="000953B9"/>
    <w:rsid w:val="000A2D17"/>
    <w:rsid w:val="000A413B"/>
    <w:rsid w:val="000A49FD"/>
    <w:rsid w:val="000A6279"/>
    <w:rsid w:val="000A6A8E"/>
    <w:rsid w:val="000B0326"/>
    <w:rsid w:val="000B496B"/>
    <w:rsid w:val="000B532F"/>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4D4A"/>
    <w:rsid w:val="00177A80"/>
    <w:rsid w:val="001808B8"/>
    <w:rsid w:val="00187D00"/>
    <w:rsid w:val="001A50CB"/>
    <w:rsid w:val="001A74B7"/>
    <w:rsid w:val="001B2D47"/>
    <w:rsid w:val="001B5F66"/>
    <w:rsid w:val="001C0250"/>
    <w:rsid w:val="001C4F43"/>
    <w:rsid w:val="001C6DA4"/>
    <w:rsid w:val="001C73B1"/>
    <w:rsid w:val="001D1E7D"/>
    <w:rsid w:val="001D2C06"/>
    <w:rsid w:val="001D348C"/>
    <w:rsid w:val="001D6567"/>
    <w:rsid w:val="001E2CCB"/>
    <w:rsid w:val="001E4CBA"/>
    <w:rsid w:val="001E523C"/>
    <w:rsid w:val="001E61DF"/>
    <w:rsid w:val="001F2B9F"/>
    <w:rsid w:val="001F3269"/>
    <w:rsid w:val="001F3A35"/>
    <w:rsid w:val="001F5954"/>
    <w:rsid w:val="00202DD3"/>
    <w:rsid w:val="00206E7D"/>
    <w:rsid w:val="00215017"/>
    <w:rsid w:val="00217E14"/>
    <w:rsid w:val="00217EFD"/>
    <w:rsid w:val="00222134"/>
    <w:rsid w:val="0022233F"/>
    <w:rsid w:val="00226275"/>
    <w:rsid w:val="00246564"/>
    <w:rsid w:val="00246A3B"/>
    <w:rsid w:val="00250FBF"/>
    <w:rsid w:val="00255404"/>
    <w:rsid w:val="0025594F"/>
    <w:rsid w:val="00261BB0"/>
    <w:rsid w:val="00262201"/>
    <w:rsid w:val="002638D6"/>
    <w:rsid w:val="00267CD2"/>
    <w:rsid w:val="00270C5E"/>
    <w:rsid w:val="00290A03"/>
    <w:rsid w:val="0029159A"/>
    <w:rsid w:val="00291600"/>
    <w:rsid w:val="0029242C"/>
    <w:rsid w:val="002969C7"/>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70F1C"/>
    <w:rsid w:val="00385E69"/>
    <w:rsid w:val="003878C1"/>
    <w:rsid w:val="00396C0B"/>
    <w:rsid w:val="003A630F"/>
    <w:rsid w:val="003B3958"/>
    <w:rsid w:val="003B4820"/>
    <w:rsid w:val="003B5F4B"/>
    <w:rsid w:val="003B682F"/>
    <w:rsid w:val="003C12D9"/>
    <w:rsid w:val="003C53FC"/>
    <w:rsid w:val="003C7013"/>
    <w:rsid w:val="003D0B31"/>
    <w:rsid w:val="003D4704"/>
    <w:rsid w:val="003D641B"/>
    <w:rsid w:val="003F227C"/>
    <w:rsid w:val="004023CC"/>
    <w:rsid w:val="00407564"/>
    <w:rsid w:val="00411152"/>
    <w:rsid w:val="004156AA"/>
    <w:rsid w:val="00416725"/>
    <w:rsid w:val="00417D87"/>
    <w:rsid w:val="004253A1"/>
    <w:rsid w:val="004313B6"/>
    <w:rsid w:val="00433339"/>
    <w:rsid w:val="00436159"/>
    <w:rsid w:val="00446BBC"/>
    <w:rsid w:val="004471BA"/>
    <w:rsid w:val="004472C0"/>
    <w:rsid w:val="00450705"/>
    <w:rsid w:val="00451928"/>
    <w:rsid w:val="004568F7"/>
    <w:rsid w:val="00460B5D"/>
    <w:rsid w:val="0046618B"/>
    <w:rsid w:val="0048608C"/>
    <w:rsid w:val="00496E57"/>
    <w:rsid w:val="004A0880"/>
    <w:rsid w:val="004B3E10"/>
    <w:rsid w:val="004C0F5D"/>
    <w:rsid w:val="004C375A"/>
    <w:rsid w:val="004C4954"/>
    <w:rsid w:val="004C5767"/>
    <w:rsid w:val="004D0080"/>
    <w:rsid w:val="004D2945"/>
    <w:rsid w:val="004D5322"/>
    <w:rsid w:val="004D78B0"/>
    <w:rsid w:val="004E435D"/>
    <w:rsid w:val="004E611F"/>
    <w:rsid w:val="004E7760"/>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42E2B"/>
    <w:rsid w:val="00551668"/>
    <w:rsid w:val="005557CD"/>
    <w:rsid w:val="005572D5"/>
    <w:rsid w:val="00566BE4"/>
    <w:rsid w:val="00570D21"/>
    <w:rsid w:val="00576113"/>
    <w:rsid w:val="00590652"/>
    <w:rsid w:val="0059235F"/>
    <w:rsid w:val="00595295"/>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C6A27"/>
    <w:rsid w:val="006D2330"/>
    <w:rsid w:val="006E0F8B"/>
    <w:rsid w:val="006E12F7"/>
    <w:rsid w:val="006E29D7"/>
    <w:rsid w:val="006F4D91"/>
    <w:rsid w:val="007068A4"/>
    <w:rsid w:val="00706D67"/>
    <w:rsid w:val="00707EE0"/>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258E"/>
    <w:rsid w:val="007B3333"/>
    <w:rsid w:val="007B379F"/>
    <w:rsid w:val="007B37D6"/>
    <w:rsid w:val="007B5D30"/>
    <w:rsid w:val="007D2920"/>
    <w:rsid w:val="007D42DD"/>
    <w:rsid w:val="007E6A37"/>
    <w:rsid w:val="007F1774"/>
    <w:rsid w:val="007F593C"/>
    <w:rsid w:val="00811A70"/>
    <w:rsid w:val="0081406E"/>
    <w:rsid w:val="00832211"/>
    <w:rsid w:val="008325F4"/>
    <w:rsid w:val="00832AC8"/>
    <w:rsid w:val="00846D63"/>
    <w:rsid w:val="00846FA4"/>
    <w:rsid w:val="008524BA"/>
    <w:rsid w:val="00852B74"/>
    <w:rsid w:val="00856928"/>
    <w:rsid w:val="0086346E"/>
    <w:rsid w:val="00865538"/>
    <w:rsid w:val="00870875"/>
    <w:rsid w:val="0088225C"/>
    <w:rsid w:val="00884026"/>
    <w:rsid w:val="00884C78"/>
    <w:rsid w:val="008859E1"/>
    <w:rsid w:val="00896264"/>
    <w:rsid w:val="008A2549"/>
    <w:rsid w:val="008A5D88"/>
    <w:rsid w:val="008B2851"/>
    <w:rsid w:val="008B2C62"/>
    <w:rsid w:val="008C000E"/>
    <w:rsid w:val="008D0F2F"/>
    <w:rsid w:val="008D237F"/>
    <w:rsid w:val="008D3FD8"/>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76005"/>
    <w:rsid w:val="00A80896"/>
    <w:rsid w:val="00AA70AB"/>
    <w:rsid w:val="00AB0B9F"/>
    <w:rsid w:val="00AB1713"/>
    <w:rsid w:val="00AB63BE"/>
    <w:rsid w:val="00AC1EBC"/>
    <w:rsid w:val="00AC2599"/>
    <w:rsid w:val="00AC2DE9"/>
    <w:rsid w:val="00AC3CD9"/>
    <w:rsid w:val="00AD2C5F"/>
    <w:rsid w:val="00AE1481"/>
    <w:rsid w:val="00AE27F9"/>
    <w:rsid w:val="00AE678F"/>
    <w:rsid w:val="00AE77DB"/>
    <w:rsid w:val="00AF7453"/>
    <w:rsid w:val="00B00FFF"/>
    <w:rsid w:val="00B056EA"/>
    <w:rsid w:val="00B06084"/>
    <w:rsid w:val="00B06A78"/>
    <w:rsid w:val="00B16735"/>
    <w:rsid w:val="00B17411"/>
    <w:rsid w:val="00B17EDE"/>
    <w:rsid w:val="00B22585"/>
    <w:rsid w:val="00B33693"/>
    <w:rsid w:val="00B34C53"/>
    <w:rsid w:val="00B507A5"/>
    <w:rsid w:val="00B52475"/>
    <w:rsid w:val="00B535DA"/>
    <w:rsid w:val="00B56DCC"/>
    <w:rsid w:val="00B56F54"/>
    <w:rsid w:val="00B638C2"/>
    <w:rsid w:val="00B758AB"/>
    <w:rsid w:val="00B76277"/>
    <w:rsid w:val="00B7661F"/>
    <w:rsid w:val="00B772AB"/>
    <w:rsid w:val="00B80395"/>
    <w:rsid w:val="00B80B56"/>
    <w:rsid w:val="00B86372"/>
    <w:rsid w:val="00BA1C17"/>
    <w:rsid w:val="00BA1D65"/>
    <w:rsid w:val="00BA6AAA"/>
    <w:rsid w:val="00BB3B4D"/>
    <w:rsid w:val="00BC351E"/>
    <w:rsid w:val="00BC3F77"/>
    <w:rsid w:val="00BC473A"/>
    <w:rsid w:val="00BC5635"/>
    <w:rsid w:val="00BC5675"/>
    <w:rsid w:val="00BD081C"/>
    <w:rsid w:val="00BD277B"/>
    <w:rsid w:val="00BD47CA"/>
    <w:rsid w:val="00BD62C7"/>
    <w:rsid w:val="00BD64E8"/>
    <w:rsid w:val="00BE020D"/>
    <w:rsid w:val="00BE354A"/>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96873"/>
    <w:rsid w:val="00CA1735"/>
    <w:rsid w:val="00CA207E"/>
    <w:rsid w:val="00CA3C4B"/>
    <w:rsid w:val="00CA7252"/>
    <w:rsid w:val="00CB06D4"/>
    <w:rsid w:val="00CB2C5A"/>
    <w:rsid w:val="00CE0C1C"/>
    <w:rsid w:val="00CE34AF"/>
    <w:rsid w:val="00CE4A1B"/>
    <w:rsid w:val="00CE5AC5"/>
    <w:rsid w:val="00CF00A4"/>
    <w:rsid w:val="00CF1380"/>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95E68"/>
    <w:rsid w:val="00DA3A0F"/>
    <w:rsid w:val="00DA4E62"/>
    <w:rsid w:val="00DA561B"/>
    <w:rsid w:val="00DA6990"/>
    <w:rsid w:val="00DB27BA"/>
    <w:rsid w:val="00DB3009"/>
    <w:rsid w:val="00DB337A"/>
    <w:rsid w:val="00DC034A"/>
    <w:rsid w:val="00DC51CB"/>
    <w:rsid w:val="00DD4819"/>
    <w:rsid w:val="00DD4B8A"/>
    <w:rsid w:val="00DD5403"/>
    <w:rsid w:val="00DE1388"/>
    <w:rsid w:val="00DE26F7"/>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760F"/>
    <w:rsid w:val="00ED7B42"/>
    <w:rsid w:val="00EE3EA5"/>
    <w:rsid w:val="00EE5813"/>
    <w:rsid w:val="00EE613F"/>
    <w:rsid w:val="00EE6BD1"/>
    <w:rsid w:val="00EF0262"/>
    <w:rsid w:val="00EF0828"/>
    <w:rsid w:val="00EF6F8B"/>
    <w:rsid w:val="00F03898"/>
    <w:rsid w:val="00F1527A"/>
    <w:rsid w:val="00F228C0"/>
    <w:rsid w:val="00F2696B"/>
    <w:rsid w:val="00F27821"/>
    <w:rsid w:val="00F4092A"/>
    <w:rsid w:val="00F41F69"/>
    <w:rsid w:val="00F43E41"/>
    <w:rsid w:val="00F4790C"/>
    <w:rsid w:val="00F50C4B"/>
    <w:rsid w:val="00F524D1"/>
    <w:rsid w:val="00F54C08"/>
    <w:rsid w:val="00F553A2"/>
    <w:rsid w:val="00F6068C"/>
    <w:rsid w:val="00F62763"/>
    <w:rsid w:val="00F62F33"/>
    <w:rsid w:val="00F634C1"/>
    <w:rsid w:val="00F63A52"/>
    <w:rsid w:val="00F730BA"/>
    <w:rsid w:val="00F87CCE"/>
    <w:rsid w:val="00F903BE"/>
    <w:rsid w:val="00F95D04"/>
    <w:rsid w:val="00FA16EC"/>
    <w:rsid w:val="00FA2811"/>
    <w:rsid w:val="00FA4837"/>
    <w:rsid w:val="00FB0684"/>
    <w:rsid w:val="00FB1D33"/>
    <w:rsid w:val="00FB5E96"/>
    <w:rsid w:val="00FC05A0"/>
    <w:rsid w:val="00FC33AC"/>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FB0684"/>
    <w:rPr>
      <w:sz w:val="16"/>
      <w:szCs w:val="16"/>
    </w:rPr>
  </w:style>
  <w:style w:type="paragraph" w:styleId="CommentSubject">
    <w:name w:val="annotation subject"/>
    <w:basedOn w:val="CommentText"/>
    <w:next w:val="CommentText"/>
    <w:link w:val="CommentSubjectChar"/>
    <w:uiPriority w:val="99"/>
    <w:semiHidden/>
    <w:unhideWhenUsed/>
    <w:rsid w:val="00FB0684"/>
    <w:rPr>
      <w:b/>
      <w:bCs/>
    </w:rPr>
  </w:style>
  <w:style w:type="character" w:customStyle="1" w:styleId="CommentTextChar">
    <w:name w:val="Comment Text Char"/>
    <w:basedOn w:val="DefaultParagraphFont"/>
    <w:link w:val="CommentText"/>
    <w:semiHidden/>
    <w:rsid w:val="00FB0684"/>
    <w:rPr>
      <w:rFonts w:ascii="Arial" w:hAnsi="Arial"/>
    </w:rPr>
  </w:style>
  <w:style w:type="character" w:customStyle="1" w:styleId="CommentSubjectChar">
    <w:name w:val="Comment Subject Char"/>
    <w:basedOn w:val="CommentTextChar"/>
    <w:link w:val="CommentSubject"/>
    <w:uiPriority w:val="99"/>
    <w:semiHidden/>
    <w:rsid w:val="00FB068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37B41-AE5F-4F50-9E52-DCB6B851B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0F9992BC-7C11-4A83-A97F-D2E41AE80BFC}">
  <ds:schemaRefs>
    <ds:schemaRef ds:uri="f5eefb00-5952-4f7e-8cf8-96f81cfadd01"/>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aba01ddc-ae9a-4c9e-819c-7140b4239cde"/>
    <ds:schemaRef ds:uri="http://www.w3.org/XML/1998/namespace"/>
    <ds:schemaRef ds:uri="http://purl.org/dc/dcmityp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252</TotalTime>
  <Pages>3</Pages>
  <Words>829</Words>
  <Characters>4991</Characters>
  <Application>Microsoft Office Word</Application>
  <DocSecurity>10</DocSecurity>
  <Lines>41</Lines>
  <Paragraphs>11</Paragraphs>
  <ScaleCrop>false</ScaleCrop>
  <HeadingPairs>
    <vt:vector size="2" baseType="variant">
      <vt:variant>
        <vt:lpstr>Title</vt:lpstr>
      </vt:variant>
      <vt:variant>
        <vt:i4>1</vt:i4>
      </vt:variant>
    </vt:vector>
  </HeadingPairs>
  <TitlesOfParts>
    <vt:vector size="1" baseType="lpstr">
      <vt:lpstr>Primary Hyperoxaluria CE</vt:lpstr>
    </vt:vector>
  </TitlesOfParts>
  <Company>DSS</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Hyperoxaluria CE</dc:title>
  <dc:subject/>
  <dc:creator>DMS</dc:creator>
  <cp:keywords/>
  <cp:lastModifiedBy>Heriford, Katherine</cp:lastModifiedBy>
  <cp:revision>58</cp:revision>
  <cp:lastPrinted>2018-10-31T18:17:00Z</cp:lastPrinted>
  <dcterms:created xsi:type="dcterms:W3CDTF">2025-11-19T15:39:00Z</dcterms:created>
  <dcterms:modified xsi:type="dcterms:W3CDTF">2026-07-06T17:30:00Z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