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9A2F8EB" w:rsidR="004C5767" w:rsidRPr="00051FD0" w:rsidRDefault="004C5767" w:rsidP="00D27533">
      <w:pPr>
        <w:pStyle w:val="tbody"/>
        <w:rPr>
          <w:b w:val="0"/>
          <w:bCs/>
        </w:rPr>
      </w:pPr>
      <w:r w:rsidRPr="00C02553">
        <w:t>Drug/Drug Class:</w:t>
      </w:r>
      <w:r w:rsidR="003B4820">
        <w:t xml:space="preserve"> </w:t>
      </w:r>
      <w:r w:rsidR="003C3E9F" w:rsidRPr="003C3E9F">
        <w:rPr>
          <w:b w:val="0"/>
          <w:bCs/>
        </w:rPr>
        <w:t xml:space="preserve">T-Cell Immunotherapy Clinical Edit </w:t>
      </w:r>
    </w:p>
    <w:p w14:paraId="7AD7FFCE" w14:textId="66DF33A5" w:rsidR="004C5767" w:rsidRPr="00051FD0" w:rsidRDefault="004C5767" w:rsidP="00D27533">
      <w:pPr>
        <w:pStyle w:val="tbody"/>
        <w:rPr>
          <w:b w:val="0"/>
          <w:bCs/>
        </w:rPr>
      </w:pPr>
      <w:r w:rsidRPr="00C02553">
        <w:t xml:space="preserve">First Implementation Date: </w:t>
      </w:r>
      <w:r w:rsidR="003F4349" w:rsidRPr="003F4349">
        <w:rPr>
          <w:b w:val="0"/>
          <w:bCs/>
        </w:rPr>
        <w:t>June 21, 2018</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B67FA30" w:rsidR="004C5767" w:rsidRPr="00D27533" w:rsidRDefault="004C5767" w:rsidP="00D27533">
      <w:pPr>
        <w:pStyle w:val="tbody"/>
        <w:rPr>
          <w:b w:val="0"/>
          <w:bCs/>
          <w:spacing w:val="-3"/>
        </w:rPr>
      </w:pPr>
      <w:r w:rsidRPr="00C02553">
        <w:t xml:space="preserve">Criteria Status: </w:t>
      </w:r>
      <w:r w:rsidR="006811A1" w:rsidRPr="006811A1">
        <w:rPr>
          <w:b w:val="0"/>
          <w:bCs/>
        </w:rPr>
        <w:t>Revision of</w:t>
      </w:r>
      <w:r w:rsidR="006811A1">
        <w:t xml:space="preserve"> </w:t>
      </w:r>
      <w:r w:rsidR="00566BE4" w:rsidRPr="003F4349">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65CF6BDF" w:rsidR="00D47996" w:rsidRDefault="79EEA449" w:rsidP="00696E3A">
      <w:r>
        <w:t>Ensure appropriate utilization and control of</w:t>
      </w:r>
      <w:r w:rsidR="00D47996">
        <w:t xml:space="preserve"> </w:t>
      </w:r>
      <w:r w:rsidR="005235C1">
        <w:rPr>
          <w:rFonts w:cs="Arial"/>
          <w:spacing w:val="-3"/>
        </w:rPr>
        <w:t>T-Cell Immunotherapies.</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3D12409" w14:textId="77777777" w:rsidR="00BB50F4" w:rsidRPr="00234FDE" w:rsidRDefault="00BB50F4" w:rsidP="00BB50F4">
      <w:pPr>
        <w:pStyle w:val="Header"/>
        <w:rPr>
          <w:rFonts w:cs="Arial"/>
          <w:spacing w:val="-3"/>
          <w:sz w:val="20"/>
        </w:rPr>
      </w:pPr>
      <w:r w:rsidRPr="00234FDE">
        <w:rPr>
          <w:rFonts w:cs="Arial"/>
          <w:spacing w:val="-3"/>
          <w:sz w:val="20"/>
        </w:rPr>
        <w:t>T-Cell Immunotherapy is a form of immunotherapy where a patient’s T-cells are collected and genetically engineered, allowing the modified T-cells to recognize an antigen on target cancer cells.</w:t>
      </w:r>
    </w:p>
    <w:p w14:paraId="69605232" w14:textId="77777777" w:rsidR="00BB50F4" w:rsidRPr="00234FDE" w:rsidRDefault="00BB50F4" w:rsidP="00BB50F4">
      <w:pPr>
        <w:pStyle w:val="Header"/>
        <w:rPr>
          <w:rFonts w:eastAsia="Arial"/>
          <w:sz w:val="20"/>
        </w:rPr>
      </w:pPr>
    </w:p>
    <w:p w14:paraId="2F3E3BB4" w14:textId="77777777" w:rsidR="00BB50F4" w:rsidRPr="00234FDE" w:rsidRDefault="00BB50F4" w:rsidP="00BB50F4">
      <w:pPr>
        <w:pStyle w:val="Header"/>
        <w:rPr>
          <w:rFonts w:cs="Arial"/>
          <w:spacing w:val="-3"/>
          <w:sz w:val="20"/>
        </w:rPr>
      </w:pPr>
      <w:r w:rsidRPr="00234FDE">
        <w:rPr>
          <w:rFonts w:cs="Arial"/>
          <w:spacing w:val="-3"/>
          <w:sz w:val="20"/>
        </w:rPr>
        <w:t>All T-cell immunotherapies have boxed warnings concerning Cytokine Release Syndrome.  Abecma and Carvykti have additional boxed warnings for Hemophagocytic Lymphohistiocytosis/Macrophage Activation Syndrome (HLH/MAS) and prolonged cytopenias.</w:t>
      </w:r>
    </w:p>
    <w:p w14:paraId="018545AE" w14:textId="77777777" w:rsidR="00BB50F4" w:rsidRPr="00234FDE" w:rsidRDefault="00BB50F4" w:rsidP="00BB50F4">
      <w:pPr>
        <w:pStyle w:val="Header"/>
        <w:rPr>
          <w:rFonts w:cs="Arial"/>
          <w:spacing w:val="-3"/>
          <w:sz w:val="20"/>
        </w:rPr>
      </w:pPr>
    </w:p>
    <w:p w14:paraId="7ACECC9F" w14:textId="70CEDD27" w:rsidR="00B56DCC" w:rsidRDefault="00BB50F4" w:rsidP="00BB50F4">
      <w:pPr>
        <w:rPr>
          <w:rFonts w:cs="Arial"/>
          <w:spacing w:val="-3"/>
        </w:rPr>
      </w:pPr>
      <w:r w:rsidRPr="00234FDE">
        <w:rPr>
          <w:rFonts w:cs="Arial"/>
          <w:spacing w:val="-3"/>
        </w:rPr>
        <w:t>All requests for therapy will be reviewed by a Clinical Consultant.</w:t>
      </w:r>
    </w:p>
    <w:p w14:paraId="53E9459E" w14:textId="77777777" w:rsidR="00BB50F4" w:rsidRDefault="00BB50F4" w:rsidP="00BB50F4"/>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900" w:type="dxa"/>
        <w:tblInd w:w="-365" w:type="dxa"/>
        <w:tblLayout w:type="fixed"/>
        <w:tblLook w:val="04A0" w:firstRow="1" w:lastRow="0" w:firstColumn="1" w:lastColumn="0" w:noHBand="0" w:noVBand="1"/>
      </w:tblPr>
      <w:tblGrid>
        <w:gridCol w:w="2566"/>
        <w:gridCol w:w="1668"/>
        <w:gridCol w:w="1446"/>
        <w:gridCol w:w="2002"/>
        <w:gridCol w:w="2218"/>
      </w:tblGrid>
      <w:tr w:rsidR="008C77B0" w:rsidRPr="00E3613D" w14:paraId="14ACB170" w14:textId="77777777" w:rsidTr="00C602FF">
        <w:tc>
          <w:tcPr>
            <w:tcW w:w="256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3E8993D" w14:textId="77777777" w:rsidR="008C77B0" w:rsidRPr="00E3613D" w:rsidRDefault="008C77B0" w:rsidP="00166317">
            <w:pPr>
              <w:jc w:val="center"/>
              <w:rPr>
                <w:rFonts w:cs="Arial"/>
                <w:spacing w:val="-3"/>
                <w:szCs w:val="20"/>
              </w:rPr>
            </w:pPr>
            <w:r w:rsidRPr="00E3613D">
              <w:rPr>
                <w:rFonts w:cs="Arial"/>
                <w:b/>
                <w:spacing w:val="-3"/>
                <w:szCs w:val="20"/>
              </w:rPr>
              <w:t>Drug</w:t>
            </w:r>
          </w:p>
        </w:tc>
        <w:tc>
          <w:tcPr>
            <w:tcW w:w="16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D4B70D5" w14:textId="77777777" w:rsidR="008C77B0" w:rsidRPr="00E3613D" w:rsidRDefault="008C77B0" w:rsidP="00166317">
            <w:pPr>
              <w:jc w:val="center"/>
              <w:rPr>
                <w:rFonts w:cs="Arial"/>
                <w:b/>
                <w:bCs/>
                <w:spacing w:val="-3"/>
                <w:szCs w:val="20"/>
              </w:rPr>
            </w:pPr>
            <w:r w:rsidRPr="00E3613D">
              <w:rPr>
                <w:rFonts w:cs="Arial"/>
                <w:b/>
                <w:bCs/>
                <w:spacing w:val="-3"/>
                <w:szCs w:val="20"/>
              </w:rPr>
              <w:t>Participants</w:t>
            </w:r>
          </w:p>
        </w:tc>
        <w:tc>
          <w:tcPr>
            <w:tcW w:w="144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23473A5" w14:textId="77777777" w:rsidR="008C77B0" w:rsidRPr="00E3613D" w:rsidRDefault="008C77B0" w:rsidP="00166317">
            <w:pPr>
              <w:jc w:val="center"/>
              <w:rPr>
                <w:rFonts w:cs="Arial"/>
                <w:b/>
                <w:bCs/>
                <w:spacing w:val="-3"/>
                <w:szCs w:val="20"/>
              </w:rPr>
            </w:pPr>
            <w:r w:rsidRPr="00E3613D">
              <w:rPr>
                <w:rFonts w:cs="Arial"/>
                <w:b/>
                <w:bCs/>
                <w:spacing w:val="-3"/>
                <w:szCs w:val="20"/>
              </w:rPr>
              <w:t>Claims</w:t>
            </w:r>
          </w:p>
        </w:tc>
        <w:tc>
          <w:tcPr>
            <w:tcW w:w="200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4559BB" w14:textId="77777777" w:rsidR="008C77B0" w:rsidRPr="00E3613D" w:rsidRDefault="008C77B0" w:rsidP="00166317">
            <w:pPr>
              <w:jc w:val="center"/>
              <w:rPr>
                <w:rFonts w:cs="Arial"/>
                <w:b/>
                <w:bCs/>
                <w:spacing w:val="-3"/>
                <w:szCs w:val="20"/>
              </w:rPr>
            </w:pPr>
            <w:r w:rsidRPr="00E3613D">
              <w:rPr>
                <w:rFonts w:cs="Arial"/>
                <w:b/>
                <w:bCs/>
                <w:spacing w:val="-3"/>
                <w:szCs w:val="20"/>
              </w:rPr>
              <w:t>Spend</w:t>
            </w:r>
          </w:p>
        </w:tc>
        <w:tc>
          <w:tcPr>
            <w:tcW w:w="221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C903E24" w14:textId="77777777" w:rsidR="008C77B0" w:rsidRPr="00E3613D" w:rsidRDefault="008C77B0" w:rsidP="00166317">
            <w:pPr>
              <w:jc w:val="center"/>
              <w:rPr>
                <w:rFonts w:cs="Arial"/>
                <w:b/>
                <w:bCs/>
                <w:spacing w:val="-3"/>
                <w:szCs w:val="20"/>
              </w:rPr>
            </w:pPr>
            <w:r w:rsidRPr="00E3613D">
              <w:rPr>
                <w:rFonts w:cs="Arial"/>
                <w:b/>
                <w:bCs/>
                <w:spacing w:val="-3"/>
                <w:szCs w:val="20"/>
              </w:rPr>
              <w:t>Avg. Spend per Claim</w:t>
            </w:r>
          </w:p>
        </w:tc>
      </w:tr>
      <w:tr w:rsidR="008C77B0" w:rsidRPr="00E3613D" w14:paraId="21B50B0A"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401FDEAB" w14:textId="77777777" w:rsidR="008C77B0" w:rsidRPr="00E3613D" w:rsidRDefault="008C77B0" w:rsidP="00166317">
            <w:pPr>
              <w:rPr>
                <w:rFonts w:cs="Arial"/>
                <w:caps/>
                <w:spacing w:val="-3"/>
                <w:szCs w:val="20"/>
              </w:rPr>
            </w:pPr>
            <w:r w:rsidRPr="00E3613D">
              <w:rPr>
                <w:rFonts w:cs="Arial"/>
                <w:caps/>
                <w:spacing w:val="-3"/>
                <w:szCs w:val="20"/>
              </w:rPr>
              <w:t>ABECMA</w:t>
            </w:r>
          </w:p>
        </w:tc>
        <w:tc>
          <w:tcPr>
            <w:tcW w:w="1668" w:type="dxa"/>
            <w:tcBorders>
              <w:top w:val="single" w:sz="4" w:space="0" w:color="auto"/>
              <w:left w:val="single" w:sz="4" w:space="0" w:color="auto"/>
              <w:bottom w:val="single" w:sz="4" w:space="0" w:color="auto"/>
              <w:right w:val="single" w:sz="4" w:space="0" w:color="auto"/>
            </w:tcBorders>
            <w:vAlign w:val="center"/>
          </w:tcPr>
          <w:p w14:paraId="21AE1CD1" w14:textId="77777777" w:rsidR="008C77B0" w:rsidRPr="00E3613D" w:rsidRDefault="008C77B0" w:rsidP="00166317">
            <w:pPr>
              <w:jc w:val="center"/>
              <w:rPr>
                <w:rFonts w:cs="Arial"/>
                <w:caps/>
                <w:spacing w:val="-3"/>
                <w:szCs w:val="20"/>
              </w:rPr>
            </w:pPr>
            <w:r w:rsidRPr="00E3613D">
              <w:rPr>
                <w:rFonts w:cs="Arial"/>
                <w:caps/>
                <w:spacing w:val="-3"/>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2F943779" w14:textId="77777777" w:rsidR="008C77B0" w:rsidRPr="00E3613D" w:rsidRDefault="008C77B0" w:rsidP="00166317">
            <w:pPr>
              <w:jc w:val="center"/>
              <w:rPr>
                <w:rFonts w:cs="Arial"/>
                <w:spacing w:val="-3"/>
                <w:szCs w:val="20"/>
              </w:rPr>
            </w:pPr>
            <w:r>
              <w:rPr>
                <w:rFonts w:cs="Arial"/>
                <w:spacing w:val="-3"/>
                <w:szCs w:val="20"/>
              </w:rPr>
              <w:t>-</w:t>
            </w:r>
          </w:p>
        </w:tc>
        <w:tc>
          <w:tcPr>
            <w:tcW w:w="2002" w:type="dxa"/>
            <w:tcBorders>
              <w:top w:val="single" w:sz="4" w:space="0" w:color="auto"/>
              <w:left w:val="single" w:sz="4" w:space="0" w:color="auto"/>
              <w:bottom w:val="single" w:sz="4" w:space="0" w:color="auto"/>
              <w:right w:val="single" w:sz="4" w:space="0" w:color="auto"/>
            </w:tcBorders>
            <w:vAlign w:val="center"/>
          </w:tcPr>
          <w:p w14:paraId="6420E39D" w14:textId="77777777" w:rsidR="008C77B0" w:rsidRPr="00E3613D" w:rsidRDefault="008C77B0" w:rsidP="00166317">
            <w:pPr>
              <w:jc w:val="center"/>
              <w:rPr>
                <w:rFonts w:cs="Arial"/>
                <w:spacing w:val="-3"/>
                <w:szCs w:val="20"/>
              </w:rPr>
            </w:pPr>
          </w:p>
        </w:tc>
        <w:tc>
          <w:tcPr>
            <w:tcW w:w="2218" w:type="dxa"/>
            <w:tcBorders>
              <w:top w:val="single" w:sz="4" w:space="0" w:color="auto"/>
              <w:left w:val="single" w:sz="4" w:space="0" w:color="auto"/>
              <w:bottom w:val="single" w:sz="4" w:space="0" w:color="auto"/>
              <w:right w:val="single" w:sz="4" w:space="0" w:color="auto"/>
            </w:tcBorders>
            <w:vAlign w:val="center"/>
          </w:tcPr>
          <w:p w14:paraId="5CC8E2E3" w14:textId="77777777" w:rsidR="008C77B0" w:rsidRPr="00E3613D" w:rsidRDefault="008C77B0" w:rsidP="00166317">
            <w:pPr>
              <w:jc w:val="center"/>
              <w:rPr>
                <w:rFonts w:cs="Arial"/>
                <w:spacing w:val="-3"/>
                <w:szCs w:val="20"/>
              </w:rPr>
            </w:pPr>
            <w:r>
              <w:rPr>
                <w:rFonts w:cs="Arial"/>
                <w:spacing w:val="-3"/>
                <w:szCs w:val="20"/>
              </w:rPr>
              <w:t>-</w:t>
            </w:r>
          </w:p>
        </w:tc>
      </w:tr>
      <w:tr w:rsidR="0016589E" w:rsidRPr="00E3613D" w14:paraId="5B084E7A"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397539AD" w14:textId="77777777" w:rsidR="0016589E" w:rsidRPr="00E3613D" w:rsidRDefault="0016589E" w:rsidP="0016589E">
            <w:pPr>
              <w:rPr>
                <w:rFonts w:cs="Arial"/>
                <w:caps/>
                <w:spacing w:val="-3"/>
                <w:szCs w:val="20"/>
              </w:rPr>
            </w:pPr>
            <w:r>
              <w:rPr>
                <w:rFonts w:cs="Arial"/>
                <w:caps/>
                <w:spacing w:val="-3"/>
                <w:szCs w:val="20"/>
              </w:rPr>
              <w:t>AUCATZTL</w:t>
            </w:r>
          </w:p>
        </w:tc>
        <w:tc>
          <w:tcPr>
            <w:tcW w:w="1668" w:type="dxa"/>
            <w:tcBorders>
              <w:top w:val="single" w:sz="4" w:space="0" w:color="auto"/>
              <w:left w:val="single" w:sz="4" w:space="0" w:color="auto"/>
              <w:bottom w:val="single" w:sz="4" w:space="0" w:color="auto"/>
              <w:right w:val="single" w:sz="4" w:space="0" w:color="auto"/>
            </w:tcBorders>
            <w:vAlign w:val="center"/>
          </w:tcPr>
          <w:p w14:paraId="613280C8" w14:textId="713C1BC7" w:rsidR="0016589E" w:rsidRPr="00E3613D" w:rsidRDefault="00F439CE" w:rsidP="0016589E">
            <w:pPr>
              <w:jc w:val="center"/>
              <w:rPr>
                <w:rFonts w:cs="Arial"/>
                <w:caps/>
                <w:spacing w:val="-3"/>
                <w:szCs w:val="20"/>
              </w:rPr>
            </w:pPr>
            <w:r>
              <w:rPr>
                <w:rFonts w:cs="Arial"/>
                <w:caps/>
                <w:spacing w:val="-3"/>
                <w:szCs w:val="20"/>
              </w:rPr>
              <w:t>1</w:t>
            </w:r>
          </w:p>
        </w:tc>
        <w:tc>
          <w:tcPr>
            <w:tcW w:w="1446" w:type="dxa"/>
            <w:tcBorders>
              <w:top w:val="single" w:sz="4" w:space="0" w:color="auto"/>
              <w:left w:val="single" w:sz="4" w:space="0" w:color="auto"/>
              <w:bottom w:val="single" w:sz="4" w:space="0" w:color="auto"/>
              <w:right w:val="single" w:sz="4" w:space="0" w:color="auto"/>
            </w:tcBorders>
            <w:vAlign w:val="bottom"/>
          </w:tcPr>
          <w:p w14:paraId="698357D0" w14:textId="0DDFBFCA" w:rsidR="0016589E" w:rsidRDefault="0016589E" w:rsidP="0016589E">
            <w:pPr>
              <w:jc w:val="center"/>
              <w:rPr>
                <w:rFonts w:cs="Arial"/>
                <w:spacing w:val="-3"/>
                <w:szCs w:val="20"/>
              </w:rPr>
            </w:pPr>
            <w:r>
              <w:rPr>
                <w:rFonts w:cs="Arial"/>
                <w:szCs w:val="20"/>
              </w:rPr>
              <w:t>2</w:t>
            </w:r>
          </w:p>
        </w:tc>
        <w:tc>
          <w:tcPr>
            <w:tcW w:w="2002" w:type="dxa"/>
            <w:tcBorders>
              <w:top w:val="single" w:sz="4" w:space="0" w:color="auto"/>
              <w:left w:val="single" w:sz="4" w:space="0" w:color="auto"/>
              <w:bottom w:val="single" w:sz="4" w:space="0" w:color="auto"/>
              <w:right w:val="single" w:sz="4" w:space="0" w:color="auto"/>
            </w:tcBorders>
            <w:vAlign w:val="bottom"/>
          </w:tcPr>
          <w:p w14:paraId="6ECCBAA0" w14:textId="70DF51DE" w:rsidR="0016589E" w:rsidRPr="00E3613D" w:rsidRDefault="0016589E" w:rsidP="0016589E">
            <w:pPr>
              <w:jc w:val="center"/>
              <w:rPr>
                <w:rFonts w:cs="Arial"/>
                <w:spacing w:val="-3"/>
                <w:szCs w:val="20"/>
              </w:rPr>
            </w:pPr>
            <w:r>
              <w:rPr>
                <w:rFonts w:cs="Arial"/>
                <w:szCs w:val="20"/>
              </w:rPr>
              <w:t>$522,375.00</w:t>
            </w:r>
          </w:p>
        </w:tc>
        <w:tc>
          <w:tcPr>
            <w:tcW w:w="2218" w:type="dxa"/>
            <w:tcBorders>
              <w:top w:val="single" w:sz="4" w:space="0" w:color="auto"/>
              <w:left w:val="single" w:sz="4" w:space="0" w:color="auto"/>
              <w:bottom w:val="single" w:sz="4" w:space="0" w:color="auto"/>
              <w:right w:val="single" w:sz="4" w:space="0" w:color="auto"/>
            </w:tcBorders>
            <w:vAlign w:val="bottom"/>
          </w:tcPr>
          <w:p w14:paraId="3F2073D3" w14:textId="42C83184" w:rsidR="0016589E" w:rsidRPr="00E3613D" w:rsidRDefault="0016589E" w:rsidP="0016589E">
            <w:pPr>
              <w:jc w:val="center"/>
              <w:rPr>
                <w:rFonts w:cs="Arial"/>
                <w:spacing w:val="-3"/>
                <w:szCs w:val="20"/>
              </w:rPr>
            </w:pPr>
            <w:r>
              <w:rPr>
                <w:rFonts w:cs="Arial"/>
                <w:szCs w:val="20"/>
              </w:rPr>
              <w:t>$261,187.50</w:t>
            </w:r>
          </w:p>
        </w:tc>
      </w:tr>
      <w:tr w:rsidR="00FA74E2" w:rsidRPr="00E3613D" w14:paraId="4FE3BA97"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68B77C94" w14:textId="77777777" w:rsidR="00FA74E2" w:rsidRPr="00E3613D" w:rsidRDefault="00FA74E2" w:rsidP="00FA74E2">
            <w:pPr>
              <w:rPr>
                <w:rFonts w:cs="Arial"/>
                <w:caps/>
                <w:spacing w:val="-3"/>
                <w:szCs w:val="20"/>
              </w:rPr>
            </w:pPr>
            <w:r w:rsidRPr="00E3613D">
              <w:rPr>
                <w:rFonts w:cs="Arial"/>
                <w:caps/>
                <w:spacing w:val="-3"/>
                <w:szCs w:val="20"/>
              </w:rPr>
              <w:t>BREYANZI</w:t>
            </w:r>
          </w:p>
        </w:tc>
        <w:tc>
          <w:tcPr>
            <w:tcW w:w="1668" w:type="dxa"/>
            <w:tcBorders>
              <w:top w:val="single" w:sz="4" w:space="0" w:color="auto"/>
              <w:left w:val="single" w:sz="4" w:space="0" w:color="auto"/>
              <w:bottom w:val="single" w:sz="4" w:space="0" w:color="auto"/>
              <w:right w:val="single" w:sz="4" w:space="0" w:color="auto"/>
            </w:tcBorders>
            <w:vAlign w:val="center"/>
          </w:tcPr>
          <w:p w14:paraId="623326EF" w14:textId="4193D361" w:rsidR="00FA74E2" w:rsidRPr="00E3613D" w:rsidRDefault="00761CDC" w:rsidP="00FA74E2">
            <w:pPr>
              <w:jc w:val="center"/>
              <w:rPr>
                <w:rFonts w:cs="Arial"/>
                <w:caps/>
                <w:spacing w:val="-3"/>
                <w:szCs w:val="20"/>
              </w:rPr>
            </w:pPr>
            <w:r>
              <w:rPr>
                <w:rFonts w:cs="Arial"/>
                <w:caps/>
                <w:spacing w:val="-3"/>
                <w:szCs w:val="20"/>
              </w:rPr>
              <w:t>3</w:t>
            </w:r>
          </w:p>
        </w:tc>
        <w:tc>
          <w:tcPr>
            <w:tcW w:w="1446" w:type="dxa"/>
            <w:tcBorders>
              <w:top w:val="single" w:sz="4" w:space="0" w:color="auto"/>
              <w:left w:val="single" w:sz="4" w:space="0" w:color="auto"/>
              <w:bottom w:val="single" w:sz="4" w:space="0" w:color="auto"/>
              <w:right w:val="single" w:sz="4" w:space="0" w:color="auto"/>
            </w:tcBorders>
            <w:vAlign w:val="bottom"/>
          </w:tcPr>
          <w:p w14:paraId="5F69919D" w14:textId="40469F7C" w:rsidR="00FA74E2" w:rsidRPr="00E3613D" w:rsidRDefault="00FA74E2" w:rsidP="00FA74E2">
            <w:pPr>
              <w:jc w:val="center"/>
              <w:rPr>
                <w:rFonts w:cs="Arial"/>
                <w:spacing w:val="-3"/>
                <w:szCs w:val="20"/>
              </w:rPr>
            </w:pPr>
            <w:r>
              <w:rPr>
                <w:rFonts w:cs="Arial"/>
                <w:szCs w:val="20"/>
              </w:rPr>
              <w:t>3</w:t>
            </w:r>
          </w:p>
        </w:tc>
        <w:tc>
          <w:tcPr>
            <w:tcW w:w="2002" w:type="dxa"/>
            <w:tcBorders>
              <w:top w:val="single" w:sz="4" w:space="0" w:color="auto"/>
              <w:left w:val="single" w:sz="4" w:space="0" w:color="auto"/>
              <w:bottom w:val="single" w:sz="4" w:space="0" w:color="auto"/>
              <w:right w:val="single" w:sz="4" w:space="0" w:color="auto"/>
            </w:tcBorders>
            <w:vAlign w:val="bottom"/>
          </w:tcPr>
          <w:p w14:paraId="7004185D" w14:textId="593A005D" w:rsidR="00FA74E2" w:rsidRPr="00E3613D" w:rsidRDefault="00FA74E2" w:rsidP="00FA74E2">
            <w:pPr>
              <w:jc w:val="center"/>
              <w:rPr>
                <w:rFonts w:cs="Arial"/>
                <w:spacing w:val="-3"/>
                <w:szCs w:val="20"/>
              </w:rPr>
            </w:pPr>
            <w:r>
              <w:rPr>
                <w:rFonts w:cs="Arial"/>
                <w:szCs w:val="20"/>
              </w:rPr>
              <w:t>$1,586,080.80</w:t>
            </w:r>
          </w:p>
        </w:tc>
        <w:tc>
          <w:tcPr>
            <w:tcW w:w="2218" w:type="dxa"/>
            <w:tcBorders>
              <w:top w:val="single" w:sz="4" w:space="0" w:color="auto"/>
              <w:left w:val="single" w:sz="4" w:space="0" w:color="auto"/>
              <w:bottom w:val="single" w:sz="4" w:space="0" w:color="auto"/>
              <w:right w:val="single" w:sz="4" w:space="0" w:color="auto"/>
            </w:tcBorders>
            <w:vAlign w:val="bottom"/>
          </w:tcPr>
          <w:p w14:paraId="682789F0" w14:textId="4FC6BF35" w:rsidR="00FA74E2" w:rsidRPr="00E3613D" w:rsidRDefault="00FA74E2" w:rsidP="00FA74E2">
            <w:pPr>
              <w:jc w:val="center"/>
              <w:rPr>
                <w:rFonts w:cs="Arial"/>
                <w:spacing w:val="-3"/>
                <w:szCs w:val="20"/>
              </w:rPr>
            </w:pPr>
            <w:r>
              <w:rPr>
                <w:rFonts w:cs="Arial"/>
                <w:szCs w:val="20"/>
              </w:rPr>
              <w:t>$528,693.60</w:t>
            </w:r>
          </w:p>
        </w:tc>
      </w:tr>
      <w:tr w:rsidR="0016589E" w:rsidRPr="00E3613D" w14:paraId="0B6FFA96"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6E7A1D1A" w14:textId="77777777" w:rsidR="0016589E" w:rsidRPr="00E3613D" w:rsidRDefault="0016589E" w:rsidP="0016589E">
            <w:pPr>
              <w:rPr>
                <w:rFonts w:cs="Arial"/>
                <w:caps/>
                <w:spacing w:val="-3"/>
                <w:sz w:val="16"/>
                <w:szCs w:val="16"/>
              </w:rPr>
            </w:pPr>
            <w:r w:rsidRPr="00E3613D">
              <w:rPr>
                <w:rFonts w:cs="Arial"/>
                <w:caps/>
                <w:spacing w:val="-3"/>
                <w:szCs w:val="20"/>
              </w:rPr>
              <w:t>CARVYKTI</w:t>
            </w:r>
          </w:p>
        </w:tc>
        <w:tc>
          <w:tcPr>
            <w:tcW w:w="1668" w:type="dxa"/>
            <w:tcBorders>
              <w:top w:val="single" w:sz="4" w:space="0" w:color="auto"/>
              <w:left w:val="single" w:sz="4" w:space="0" w:color="auto"/>
              <w:bottom w:val="single" w:sz="4" w:space="0" w:color="auto"/>
              <w:right w:val="single" w:sz="4" w:space="0" w:color="auto"/>
            </w:tcBorders>
            <w:vAlign w:val="center"/>
          </w:tcPr>
          <w:p w14:paraId="5DBB5E03" w14:textId="77777777" w:rsidR="0016589E" w:rsidRPr="00E3613D" w:rsidRDefault="0016589E" w:rsidP="0016589E">
            <w:pPr>
              <w:jc w:val="center"/>
              <w:rPr>
                <w:rFonts w:cs="Arial"/>
                <w:caps/>
                <w:spacing w:val="-3"/>
                <w:szCs w:val="20"/>
              </w:rPr>
            </w:pPr>
            <w:r>
              <w:rPr>
                <w:rFonts w:cs="Arial"/>
                <w:caps/>
                <w:spacing w:val="-3"/>
                <w:szCs w:val="20"/>
              </w:rPr>
              <w:t>1</w:t>
            </w:r>
          </w:p>
        </w:tc>
        <w:tc>
          <w:tcPr>
            <w:tcW w:w="1446" w:type="dxa"/>
            <w:tcBorders>
              <w:top w:val="single" w:sz="4" w:space="0" w:color="auto"/>
              <w:left w:val="single" w:sz="4" w:space="0" w:color="auto"/>
              <w:bottom w:val="single" w:sz="4" w:space="0" w:color="auto"/>
              <w:right w:val="single" w:sz="4" w:space="0" w:color="auto"/>
            </w:tcBorders>
            <w:vAlign w:val="bottom"/>
          </w:tcPr>
          <w:p w14:paraId="781284C2" w14:textId="0FE02C85" w:rsidR="0016589E" w:rsidRPr="00E3613D" w:rsidRDefault="0016589E" w:rsidP="0016589E">
            <w:pPr>
              <w:jc w:val="center"/>
              <w:rPr>
                <w:rFonts w:cs="Arial"/>
                <w:szCs w:val="20"/>
              </w:rPr>
            </w:pPr>
            <w:r>
              <w:rPr>
                <w:rFonts w:cs="Arial"/>
                <w:szCs w:val="20"/>
              </w:rPr>
              <w:t>1</w:t>
            </w:r>
          </w:p>
        </w:tc>
        <w:tc>
          <w:tcPr>
            <w:tcW w:w="2002" w:type="dxa"/>
            <w:tcBorders>
              <w:top w:val="single" w:sz="4" w:space="0" w:color="auto"/>
              <w:left w:val="single" w:sz="4" w:space="0" w:color="auto"/>
              <w:bottom w:val="single" w:sz="4" w:space="0" w:color="auto"/>
              <w:right w:val="single" w:sz="4" w:space="0" w:color="auto"/>
            </w:tcBorders>
            <w:vAlign w:val="bottom"/>
          </w:tcPr>
          <w:p w14:paraId="797C075A" w14:textId="1D38BA94" w:rsidR="0016589E" w:rsidRPr="00E3613D" w:rsidRDefault="0016589E" w:rsidP="0016589E">
            <w:pPr>
              <w:jc w:val="center"/>
              <w:rPr>
                <w:rFonts w:cs="Arial"/>
                <w:szCs w:val="20"/>
              </w:rPr>
            </w:pPr>
            <w:r>
              <w:rPr>
                <w:rFonts w:cs="Arial"/>
                <w:szCs w:val="20"/>
              </w:rPr>
              <w:t>$552,533.80</w:t>
            </w:r>
          </w:p>
        </w:tc>
        <w:tc>
          <w:tcPr>
            <w:tcW w:w="2218" w:type="dxa"/>
            <w:tcBorders>
              <w:top w:val="single" w:sz="4" w:space="0" w:color="auto"/>
              <w:left w:val="single" w:sz="4" w:space="0" w:color="auto"/>
              <w:bottom w:val="single" w:sz="4" w:space="0" w:color="auto"/>
              <w:right w:val="single" w:sz="4" w:space="0" w:color="auto"/>
            </w:tcBorders>
            <w:vAlign w:val="bottom"/>
          </w:tcPr>
          <w:p w14:paraId="2632F1B9" w14:textId="404E1D4E" w:rsidR="0016589E" w:rsidRPr="00E3613D" w:rsidRDefault="0016589E" w:rsidP="0016589E">
            <w:pPr>
              <w:jc w:val="center"/>
              <w:rPr>
                <w:rFonts w:cs="Arial"/>
                <w:szCs w:val="20"/>
              </w:rPr>
            </w:pPr>
            <w:r>
              <w:rPr>
                <w:rFonts w:cs="Arial"/>
                <w:szCs w:val="20"/>
              </w:rPr>
              <w:t>$552,533.80</w:t>
            </w:r>
          </w:p>
        </w:tc>
      </w:tr>
      <w:tr w:rsidR="00C602FF" w:rsidRPr="00E3613D" w14:paraId="35849C31"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61ECFEB1" w14:textId="77777777" w:rsidR="00C602FF" w:rsidRPr="00E3613D" w:rsidRDefault="00C602FF" w:rsidP="00C602FF">
            <w:pPr>
              <w:rPr>
                <w:rFonts w:cs="Arial"/>
                <w:caps/>
                <w:spacing w:val="-3"/>
                <w:szCs w:val="20"/>
              </w:rPr>
            </w:pPr>
            <w:r w:rsidRPr="00E3613D">
              <w:rPr>
                <w:rFonts w:cs="Arial"/>
                <w:caps/>
                <w:spacing w:val="-3"/>
                <w:szCs w:val="20"/>
              </w:rPr>
              <w:t xml:space="preserve">Kymriah </w:t>
            </w:r>
            <w:r w:rsidRPr="00E3613D">
              <w:rPr>
                <w:rFonts w:cs="Arial"/>
                <w:caps/>
                <w:spacing w:val="-3"/>
                <w:sz w:val="16"/>
                <w:szCs w:val="16"/>
              </w:rPr>
              <w:t>– DLBCL</w:t>
            </w:r>
          </w:p>
        </w:tc>
        <w:tc>
          <w:tcPr>
            <w:tcW w:w="1668" w:type="dxa"/>
            <w:tcBorders>
              <w:top w:val="single" w:sz="4" w:space="0" w:color="auto"/>
              <w:left w:val="single" w:sz="4" w:space="0" w:color="auto"/>
              <w:bottom w:val="single" w:sz="4" w:space="0" w:color="auto"/>
              <w:right w:val="single" w:sz="4" w:space="0" w:color="auto"/>
            </w:tcBorders>
            <w:vAlign w:val="center"/>
          </w:tcPr>
          <w:p w14:paraId="5BF3C0F6" w14:textId="2C6FDACA" w:rsidR="00C602FF" w:rsidRPr="00E3613D" w:rsidRDefault="00F4136C" w:rsidP="00C602FF">
            <w:pPr>
              <w:jc w:val="center"/>
              <w:rPr>
                <w:rFonts w:cs="Arial"/>
                <w:caps/>
                <w:spacing w:val="-3"/>
                <w:szCs w:val="20"/>
              </w:rPr>
            </w:pPr>
            <w:r>
              <w:rPr>
                <w:rFonts w:cs="Arial"/>
                <w:caps/>
                <w:spacing w:val="-3"/>
                <w:szCs w:val="20"/>
              </w:rPr>
              <w:t>0</w:t>
            </w:r>
          </w:p>
        </w:tc>
        <w:tc>
          <w:tcPr>
            <w:tcW w:w="1446" w:type="dxa"/>
            <w:tcBorders>
              <w:top w:val="single" w:sz="4" w:space="0" w:color="auto"/>
              <w:left w:val="single" w:sz="4" w:space="0" w:color="auto"/>
              <w:bottom w:val="single" w:sz="4" w:space="0" w:color="auto"/>
              <w:right w:val="single" w:sz="4" w:space="0" w:color="auto"/>
            </w:tcBorders>
            <w:vAlign w:val="bottom"/>
          </w:tcPr>
          <w:p w14:paraId="313E9674" w14:textId="5A295245" w:rsidR="00C602FF" w:rsidRPr="00E3613D" w:rsidRDefault="00F4136C" w:rsidP="00C602FF">
            <w:pPr>
              <w:jc w:val="center"/>
              <w:rPr>
                <w:rFonts w:cs="Arial"/>
                <w:spacing w:val="-3"/>
                <w:szCs w:val="20"/>
              </w:rPr>
            </w:pPr>
            <w:r>
              <w:rPr>
                <w:rFonts w:cs="Arial"/>
                <w:spacing w:val="-3"/>
                <w:szCs w:val="20"/>
              </w:rPr>
              <w:t>-</w:t>
            </w:r>
          </w:p>
        </w:tc>
        <w:tc>
          <w:tcPr>
            <w:tcW w:w="2002" w:type="dxa"/>
            <w:tcBorders>
              <w:top w:val="single" w:sz="4" w:space="0" w:color="auto"/>
              <w:left w:val="single" w:sz="4" w:space="0" w:color="auto"/>
              <w:bottom w:val="single" w:sz="4" w:space="0" w:color="auto"/>
              <w:right w:val="single" w:sz="4" w:space="0" w:color="auto"/>
            </w:tcBorders>
            <w:vAlign w:val="bottom"/>
          </w:tcPr>
          <w:p w14:paraId="491EA7FF" w14:textId="7E460791" w:rsidR="00C602FF" w:rsidRPr="00E3613D" w:rsidRDefault="00F4136C" w:rsidP="00C602FF">
            <w:pPr>
              <w:jc w:val="center"/>
              <w:rPr>
                <w:rFonts w:cs="Arial"/>
                <w:spacing w:val="-3"/>
                <w:szCs w:val="20"/>
              </w:rPr>
            </w:pPr>
            <w:r>
              <w:rPr>
                <w:rFonts w:cs="Arial"/>
                <w:spacing w:val="-3"/>
                <w:szCs w:val="20"/>
              </w:rPr>
              <w:t>-</w:t>
            </w:r>
          </w:p>
        </w:tc>
        <w:tc>
          <w:tcPr>
            <w:tcW w:w="2218" w:type="dxa"/>
            <w:tcBorders>
              <w:top w:val="single" w:sz="4" w:space="0" w:color="auto"/>
              <w:left w:val="single" w:sz="4" w:space="0" w:color="auto"/>
              <w:bottom w:val="single" w:sz="4" w:space="0" w:color="auto"/>
              <w:right w:val="single" w:sz="4" w:space="0" w:color="auto"/>
            </w:tcBorders>
            <w:vAlign w:val="bottom"/>
          </w:tcPr>
          <w:p w14:paraId="381FC2E5" w14:textId="5F9D3218" w:rsidR="00C602FF" w:rsidRPr="00E3613D" w:rsidRDefault="00F4136C" w:rsidP="00C602FF">
            <w:pPr>
              <w:jc w:val="center"/>
              <w:rPr>
                <w:rFonts w:cs="Arial"/>
                <w:spacing w:val="-3"/>
                <w:szCs w:val="20"/>
              </w:rPr>
            </w:pPr>
            <w:r>
              <w:rPr>
                <w:rFonts w:cs="Arial"/>
                <w:spacing w:val="-3"/>
                <w:szCs w:val="20"/>
              </w:rPr>
              <w:t>-</w:t>
            </w:r>
          </w:p>
        </w:tc>
      </w:tr>
      <w:tr w:rsidR="00F4136C" w:rsidRPr="00E3613D" w14:paraId="0D7513CE" w14:textId="77777777" w:rsidTr="006504F3">
        <w:tc>
          <w:tcPr>
            <w:tcW w:w="2566" w:type="dxa"/>
            <w:tcBorders>
              <w:top w:val="single" w:sz="4" w:space="0" w:color="auto"/>
              <w:left w:val="single" w:sz="4" w:space="0" w:color="auto"/>
              <w:bottom w:val="single" w:sz="4" w:space="0" w:color="auto"/>
              <w:right w:val="single" w:sz="4" w:space="0" w:color="auto"/>
            </w:tcBorders>
            <w:vAlign w:val="center"/>
          </w:tcPr>
          <w:p w14:paraId="3B68C4D7" w14:textId="77777777" w:rsidR="00F4136C" w:rsidRPr="00E3613D" w:rsidRDefault="00F4136C" w:rsidP="00F4136C">
            <w:pPr>
              <w:rPr>
                <w:rFonts w:cs="Arial"/>
                <w:bCs/>
                <w:caps/>
                <w:spacing w:val="-3"/>
                <w:szCs w:val="20"/>
              </w:rPr>
            </w:pPr>
            <w:r w:rsidRPr="00E3613D">
              <w:rPr>
                <w:rFonts w:cs="Arial"/>
                <w:bCs/>
                <w:caps/>
                <w:spacing w:val="-3"/>
                <w:szCs w:val="20"/>
              </w:rPr>
              <w:t xml:space="preserve">Kymriah </w:t>
            </w:r>
            <w:r w:rsidRPr="00E3613D">
              <w:rPr>
                <w:rFonts w:cs="Arial"/>
                <w:bCs/>
                <w:caps/>
                <w:spacing w:val="-3"/>
                <w:sz w:val="16"/>
                <w:szCs w:val="16"/>
              </w:rPr>
              <w:t>– pED ALL</w:t>
            </w:r>
          </w:p>
        </w:tc>
        <w:tc>
          <w:tcPr>
            <w:tcW w:w="1668" w:type="dxa"/>
            <w:tcBorders>
              <w:top w:val="single" w:sz="4" w:space="0" w:color="auto"/>
              <w:left w:val="single" w:sz="4" w:space="0" w:color="auto"/>
              <w:bottom w:val="single" w:sz="4" w:space="0" w:color="auto"/>
              <w:right w:val="single" w:sz="4" w:space="0" w:color="auto"/>
            </w:tcBorders>
            <w:vAlign w:val="center"/>
          </w:tcPr>
          <w:p w14:paraId="3D54390F" w14:textId="41E526F8" w:rsidR="00F4136C" w:rsidRPr="00E3613D" w:rsidRDefault="00F4136C" w:rsidP="00F4136C">
            <w:pPr>
              <w:jc w:val="center"/>
              <w:rPr>
                <w:rFonts w:cs="Arial"/>
                <w:bCs/>
                <w:caps/>
                <w:spacing w:val="-3"/>
                <w:szCs w:val="20"/>
              </w:rPr>
            </w:pPr>
            <w:r>
              <w:rPr>
                <w:rFonts w:cs="Arial"/>
                <w:caps/>
                <w:spacing w:val="-3"/>
                <w:szCs w:val="20"/>
              </w:rPr>
              <w:t>3</w:t>
            </w:r>
          </w:p>
        </w:tc>
        <w:tc>
          <w:tcPr>
            <w:tcW w:w="1446" w:type="dxa"/>
            <w:tcBorders>
              <w:top w:val="single" w:sz="4" w:space="0" w:color="auto"/>
              <w:left w:val="single" w:sz="4" w:space="0" w:color="auto"/>
              <w:bottom w:val="single" w:sz="4" w:space="0" w:color="auto"/>
              <w:right w:val="single" w:sz="4" w:space="0" w:color="auto"/>
            </w:tcBorders>
            <w:vAlign w:val="bottom"/>
          </w:tcPr>
          <w:p w14:paraId="631DBCD4" w14:textId="2A036F50" w:rsidR="00F4136C" w:rsidRPr="00E3613D" w:rsidRDefault="00F4136C" w:rsidP="00F4136C">
            <w:pPr>
              <w:jc w:val="center"/>
              <w:rPr>
                <w:rFonts w:cs="Arial"/>
                <w:bCs/>
                <w:sz w:val="16"/>
                <w:szCs w:val="16"/>
              </w:rPr>
            </w:pPr>
            <w:r>
              <w:rPr>
                <w:rFonts w:cs="Arial"/>
                <w:szCs w:val="20"/>
              </w:rPr>
              <w:t>3</w:t>
            </w:r>
          </w:p>
        </w:tc>
        <w:tc>
          <w:tcPr>
            <w:tcW w:w="2002" w:type="dxa"/>
            <w:tcBorders>
              <w:top w:val="single" w:sz="4" w:space="0" w:color="auto"/>
              <w:left w:val="single" w:sz="4" w:space="0" w:color="auto"/>
              <w:bottom w:val="single" w:sz="4" w:space="0" w:color="auto"/>
              <w:right w:val="single" w:sz="4" w:space="0" w:color="auto"/>
            </w:tcBorders>
            <w:vAlign w:val="bottom"/>
          </w:tcPr>
          <w:p w14:paraId="06E1FCB1" w14:textId="0F9BE70D" w:rsidR="00F4136C" w:rsidRPr="00E3613D" w:rsidRDefault="00F4136C" w:rsidP="00F4136C">
            <w:pPr>
              <w:jc w:val="center"/>
              <w:rPr>
                <w:rFonts w:cs="Arial"/>
                <w:bCs/>
                <w:sz w:val="16"/>
                <w:szCs w:val="16"/>
              </w:rPr>
            </w:pPr>
            <w:r>
              <w:rPr>
                <w:rFonts w:cs="Arial"/>
                <w:szCs w:val="20"/>
              </w:rPr>
              <w:t>$1,771,696.80</w:t>
            </w:r>
          </w:p>
        </w:tc>
        <w:tc>
          <w:tcPr>
            <w:tcW w:w="2218" w:type="dxa"/>
            <w:tcBorders>
              <w:top w:val="single" w:sz="4" w:space="0" w:color="auto"/>
              <w:left w:val="single" w:sz="4" w:space="0" w:color="auto"/>
              <w:bottom w:val="single" w:sz="4" w:space="0" w:color="auto"/>
              <w:right w:val="single" w:sz="4" w:space="0" w:color="auto"/>
            </w:tcBorders>
            <w:vAlign w:val="bottom"/>
          </w:tcPr>
          <w:p w14:paraId="26A7C674" w14:textId="4EAAF276" w:rsidR="00F4136C" w:rsidRPr="00E3613D" w:rsidRDefault="00F4136C" w:rsidP="00F4136C">
            <w:pPr>
              <w:jc w:val="center"/>
              <w:rPr>
                <w:rFonts w:cs="Arial"/>
                <w:bCs/>
                <w:sz w:val="16"/>
                <w:szCs w:val="16"/>
              </w:rPr>
            </w:pPr>
            <w:r>
              <w:rPr>
                <w:rFonts w:cs="Arial"/>
                <w:szCs w:val="20"/>
              </w:rPr>
              <w:t>$590,565.60</w:t>
            </w:r>
          </w:p>
        </w:tc>
      </w:tr>
      <w:tr w:rsidR="008C77B0" w:rsidRPr="00E3613D" w14:paraId="31C8E40A"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5F857A22" w14:textId="77777777" w:rsidR="008C77B0" w:rsidRPr="00E3613D" w:rsidRDefault="008C77B0" w:rsidP="00166317">
            <w:pPr>
              <w:rPr>
                <w:rFonts w:cs="Arial"/>
                <w:bCs/>
                <w:caps/>
                <w:spacing w:val="-3"/>
                <w:szCs w:val="20"/>
              </w:rPr>
            </w:pPr>
            <w:r w:rsidRPr="00E3613D">
              <w:rPr>
                <w:rFonts w:cs="Arial"/>
                <w:caps/>
                <w:spacing w:val="-3"/>
                <w:szCs w:val="20"/>
              </w:rPr>
              <w:t>Tecartus</w:t>
            </w:r>
            <w:r w:rsidRPr="00E3613D">
              <w:rPr>
                <w:rFonts w:cs="Arial"/>
                <w:caps/>
                <w:spacing w:val="-3"/>
                <w:sz w:val="16"/>
                <w:szCs w:val="16"/>
              </w:rPr>
              <w:t xml:space="preserve"> </w:t>
            </w:r>
          </w:p>
        </w:tc>
        <w:tc>
          <w:tcPr>
            <w:tcW w:w="1668" w:type="dxa"/>
            <w:tcBorders>
              <w:top w:val="single" w:sz="4" w:space="0" w:color="auto"/>
              <w:left w:val="single" w:sz="4" w:space="0" w:color="auto"/>
              <w:bottom w:val="single" w:sz="4" w:space="0" w:color="auto"/>
              <w:right w:val="single" w:sz="4" w:space="0" w:color="auto"/>
            </w:tcBorders>
            <w:vAlign w:val="center"/>
          </w:tcPr>
          <w:p w14:paraId="1EAB6250" w14:textId="77777777" w:rsidR="008C77B0" w:rsidRPr="00E3613D" w:rsidRDefault="008C77B0" w:rsidP="00166317">
            <w:pPr>
              <w:jc w:val="center"/>
              <w:rPr>
                <w:rFonts w:cs="Arial"/>
                <w:bCs/>
                <w:caps/>
                <w:spacing w:val="-3"/>
                <w:szCs w:val="20"/>
              </w:rPr>
            </w:pPr>
            <w:r>
              <w:rPr>
                <w:rFonts w:cs="Arial"/>
                <w:bCs/>
                <w:caps/>
                <w:spacing w:val="-3"/>
                <w:szCs w:val="20"/>
              </w:rPr>
              <w:t>2</w:t>
            </w:r>
          </w:p>
        </w:tc>
        <w:tc>
          <w:tcPr>
            <w:tcW w:w="1446" w:type="dxa"/>
            <w:tcBorders>
              <w:top w:val="single" w:sz="4" w:space="0" w:color="auto"/>
              <w:left w:val="single" w:sz="4" w:space="0" w:color="auto"/>
              <w:bottom w:val="single" w:sz="4" w:space="0" w:color="auto"/>
              <w:right w:val="single" w:sz="4" w:space="0" w:color="auto"/>
            </w:tcBorders>
            <w:vAlign w:val="bottom"/>
          </w:tcPr>
          <w:p w14:paraId="2FE7697C" w14:textId="77777777" w:rsidR="008C77B0" w:rsidRPr="00E3613D" w:rsidRDefault="008C77B0" w:rsidP="00166317">
            <w:pPr>
              <w:jc w:val="center"/>
              <w:rPr>
                <w:rFonts w:cs="Arial"/>
                <w:bCs/>
                <w:szCs w:val="20"/>
              </w:rPr>
            </w:pPr>
            <w:r>
              <w:rPr>
                <w:rFonts w:cs="Arial"/>
                <w:szCs w:val="20"/>
              </w:rPr>
              <w:t>2</w:t>
            </w:r>
          </w:p>
        </w:tc>
        <w:tc>
          <w:tcPr>
            <w:tcW w:w="2002" w:type="dxa"/>
            <w:tcBorders>
              <w:top w:val="single" w:sz="4" w:space="0" w:color="auto"/>
              <w:left w:val="single" w:sz="4" w:space="0" w:color="auto"/>
              <w:bottom w:val="single" w:sz="4" w:space="0" w:color="auto"/>
              <w:right w:val="single" w:sz="4" w:space="0" w:color="auto"/>
            </w:tcBorders>
            <w:vAlign w:val="center"/>
          </w:tcPr>
          <w:p w14:paraId="5BC68C64" w14:textId="77777777" w:rsidR="008C77B0" w:rsidRPr="00E3613D" w:rsidRDefault="008C77B0" w:rsidP="00166317">
            <w:pPr>
              <w:jc w:val="center"/>
              <w:rPr>
                <w:rFonts w:cs="Arial"/>
                <w:bCs/>
                <w:szCs w:val="20"/>
              </w:rPr>
            </w:pPr>
            <w:r>
              <w:rPr>
                <w:rFonts w:cs="Arial"/>
                <w:szCs w:val="20"/>
              </w:rPr>
              <w:t>$796,199</w:t>
            </w:r>
          </w:p>
        </w:tc>
        <w:tc>
          <w:tcPr>
            <w:tcW w:w="2218" w:type="dxa"/>
            <w:tcBorders>
              <w:top w:val="single" w:sz="4" w:space="0" w:color="auto"/>
              <w:left w:val="single" w:sz="4" w:space="0" w:color="auto"/>
              <w:bottom w:val="single" w:sz="4" w:space="0" w:color="auto"/>
              <w:right w:val="single" w:sz="4" w:space="0" w:color="auto"/>
            </w:tcBorders>
            <w:vAlign w:val="center"/>
          </w:tcPr>
          <w:p w14:paraId="6B04CA11" w14:textId="77777777" w:rsidR="008C77B0" w:rsidRPr="00E3613D" w:rsidRDefault="008C77B0" w:rsidP="00166317">
            <w:pPr>
              <w:jc w:val="center"/>
              <w:rPr>
                <w:rFonts w:cs="Arial"/>
                <w:bCs/>
                <w:szCs w:val="20"/>
              </w:rPr>
            </w:pPr>
            <w:r>
              <w:rPr>
                <w:rFonts w:cs="Arial"/>
                <w:szCs w:val="20"/>
              </w:rPr>
              <w:t>$398,099</w:t>
            </w:r>
          </w:p>
        </w:tc>
      </w:tr>
      <w:tr w:rsidR="008C77B0" w:rsidRPr="00E3613D" w14:paraId="1C30A99E"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02E122D6" w14:textId="77777777" w:rsidR="008C77B0" w:rsidRPr="00E3613D" w:rsidRDefault="008C77B0" w:rsidP="00166317">
            <w:pPr>
              <w:rPr>
                <w:rFonts w:cs="Arial"/>
                <w:caps/>
                <w:spacing w:val="-3"/>
                <w:szCs w:val="20"/>
              </w:rPr>
            </w:pPr>
            <w:r>
              <w:rPr>
                <w:rFonts w:cs="Arial"/>
                <w:caps/>
                <w:spacing w:val="-3"/>
                <w:szCs w:val="20"/>
              </w:rPr>
              <w:t>TECELRA</w:t>
            </w:r>
          </w:p>
        </w:tc>
        <w:tc>
          <w:tcPr>
            <w:tcW w:w="1668" w:type="dxa"/>
            <w:tcBorders>
              <w:top w:val="single" w:sz="4" w:space="0" w:color="auto"/>
              <w:left w:val="single" w:sz="4" w:space="0" w:color="auto"/>
              <w:bottom w:val="single" w:sz="4" w:space="0" w:color="auto"/>
              <w:right w:val="single" w:sz="4" w:space="0" w:color="auto"/>
            </w:tcBorders>
            <w:vAlign w:val="center"/>
          </w:tcPr>
          <w:p w14:paraId="12021EFF" w14:textId="77777777" w:rsidR="008C77B0" w:rsidRPr="00E3613D" w:rsidRDefault="008C77B0" w:rsidP="00166317">
            <w:pPr>
              <w:jc w:val="center"/>
              <w:rPr>
                <w:rFonts w:cs="Arial"/>
                <w:bCs/>
                <w:caps/>
                <w:spacing w:val="-3"/>
                <w:szCs w:val="20"/>
              </w:rPr>
            </w:pPr>
            <w:r w:rsidRPr="00E3613D">
              <w:rPr>
                <w:rFonts w:cs="Arial"/>
                <w:caps/>
                <w:spacing w:val="-3"/>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766BD967" w14:textId="77777777" w:rsidR="008C77B0" w:rsidRDefault="008C77B0" w:rsidP="00166317">
            <w:pPr>
              <w:jc w:val="center"/>
              <w:rPr>
                <w:rFonts w:cs="Arial"/>
                <w:szCs w:val="20"/>
              </w:rPr>
            </w:pPr>
            <w:r>
              <w:rPr>
                <w:rFonts w:cs="Arial"/>
                <w:spacing w:val="-3"/>
                <w:szCs w:val="20"/>
              </w:rPr>
              <w:t>-</w:t>
            </w:r>
          </w:p>
        </w:tc>
        <w:tc>
          <w:tcPr>
            <w:tcW w:w="2002" w:type="dxa"/>
            <w:tcBorders>
              <w:top w:val="single" w:sz="4" w:space="0" w:color="auto"/>
              <w:left w:val="single" w:sz="4" w:space="0" w:color="auto"/>
              <w:bottom w:val="single" w:sz="4" w:space="0" w:color="auto"/>
              <w:right w:val="single" w:sz="4" w:space="0" w:color="auto"/>
            </w:tcBorders>
            <w:vAlign w:val="center"/>
          </w:tcPr>
          <w:p w14:paraId="2280412D" w14:textId="77777777" w:rsidR="008C77B0" w:rsidRPr="00E3613D" w:rsidRDefault="008C77B0" w:rsidP="00166317">
            <w:pPr>
              <w:jc w:val="center"/>
              <w:rPr>
                <w:rFonts w:cs="Arial"/>
                <w:szCs w:val="20"/>
              </w:rPr>
            </w:pPr>
            <w:r w:rsidRPr="00E3613D">
              <w:rPr>
                <w:rFonts w:cs="Arial"/>
                <w:spacing w:val="-3"/>
                <w:szCs w:val="20"/>
              </w:rPr>
              <w:t>-</w:t>
            </w:r>
          </w:p>
        </w:tc>
        <w:tc>
          <w:tcPr>
            <w:tcW w:w="2218" w:type="dxa"/>
            <w:tcBorders>
              <w:top w:val="single" w:sz="4" w:space="0" w:color="auto"/>
              <w:left w:val="single" w:sz="4" w:space="0" w:color="auto"/>
              <w:bottom w:val="single" w:sz="4" w:space="0" w:color="auto"/>
              <w:right w:val="single" w:sz="4" w:space="0" w:color="auto"/>
            </w:tcBorders>
            <w:vAlign w:val="center"/>
          </w:tcPr>
          <w:p w14:paraId="2D511F75" w14:textId="77777777" w:rsidR="008C77B0" w:rsidRPr="00E3613D" w:rsidRDefault="008C77B0" w:rsidP="00166317">
            <w:pPr>
              <w:jc w:val="center"/>
              <w:rPr>
                <w:rFonts w:cs="Arial"/>
                <w:szCs w:val="20"/>
              </w:rPr>
            </w:pPr>
            <w:r w:rsidRPr="00E3613D">
              <w:rPr>
                <w:rFonts w:cs="Arial"/>
                <w:szCs w:val="20"/>
              </w:rPr>
              <w:t>-</w:t>
            </w:r>
          </w:p>
        </w:tc>
      </w:tr>
      <w:tr w:rsidR="00FA74E2" w:rsidRPr="00E3613D" w14:paraId="614176A4" w14:textId="77777777" w:rsidTr="00D62D83">
        <w:tc>
          <w:tcPr>
            <w:tcW w:w="2566" w:type="dxa"/>
            <w:tcBorders>
              <w:top w:val="single" w:sz="4" w:space="0" w:color="auto"/>
              <w:left w:val="single" w:sz="4" w:space="0" w:color="auto"/>
              <w:bottom w:val="single" w:sz="4" w:space="0" w:color="auto"/>
              <w:right w:val="single" w:sz="4" w:space="0" w:color="auto"/>
            </w:tcBorders>
            <w:vAlign w:val="center"/>
          </w:tcPr>
          <w:p w14:paraId="11E7CB46" w14:textId="77777777" w:rsidR="00FA74E2" w:rsidRPr="00E3613D" w:rsidRDefault="00FA74E2" w:rsidP="00FA74E2">
            <w:pPr>
              <w:rPr>
                <w:rFonts w:cs="Arial"/>
                <w:bCs/>
                <w:caps/>
                <w:spacing w:val="-3"/>
                <w:szCs w:val="20"/>
              </w:rPr>
            </w:pPr>
            <w:r w:rsidRPr="00E3613D">
              <w:rPr>
                <w:rFonts w:cs="Arial"/>
                <w:caps/>
                <w:spacing w:val="-3"/>
                <w:szCs w:val="20"/>
              </w:rPr>
              <w:t>Yescarta</w:t>
            </w:r>
          </w:p>
        </w:tc>
        <w:tc>
          <w:tcPr>
            <w:tcW w:w="1668" w:type="dxa"/>
            <w:tcBorders>
              <w:top w:val="single" w:sz="4" w:space="0" w:color="auto"/>
              <w:left w:val="single" w:sz="4" w:space="0" w:color="auto"/>
              <w:bottom w:val="single" w:sz="4" w:space="0" w:color="auto"/>
              <w:right w:val="single" w:sz="4" w:space="0" w:color="auto"/>
            </w:tcBorders>
            <w:vAlign w:val="center"/>
          </w:tcPr>
          <w:p w14:paraId="046DEABD" w14:textId="589BA922" w:rsidR="00FA74E2" w:rsidRPr="00E3613D" w:rsidRDefault="007C66DC" w:rsidP="00FA74E2">
            <w:pPr>
              <w:jc w:val="center"/>
              <w:rPr>
                <w:rFonts w:cs="Arial"/>
                <w:bCs/>
                <w:caps/>
                <w:spacing w:val="-3"/>
                <w:szCs w:val="20"/>
              </w:rPr>
            </w:pPr>
            <w:r>
              <w:rPr>
                <w:rFonts w:cs="Arial"/>
                <w:bCs/>
                <w:caps/>
                <w:spacing w:val="-3"/>
                <w:szCs w:val="20"/>
              </w:rPr>
              <w:t>7</w:t>
            </w:r>
          </w:p>
        </w:tc>
        <w:tc>
          <w:tcPr>
            <w:tcW w:w="1446" w:type="dxa"/>
            <w:tcBorders>
              <w:top w:val="single" w:sz="4" w:space="0" w:color="auto"/>
              <w:left w:val="single" w:sz="4" w:space="0" w:color="999999"/>
              <w:bottom w:val="single" w:sz="4" w:space="0" w:color="auto"/>
              <w:right w:val="single" w:sz="4" w:space="0" w:color="auto"/>
            </w:tcBorders>
            <w:vAlign w:val="bottom"/>
          </w:tcPr>
          <w:p w14:paraId="07D311E1" w14:textId="4924CC38" w:rsidR="00FA74E2" w:rsidRPr="00E3613D" w:rsidRDefault="00FA74E2" w:rsidP="00FA74E2">
            <w:pPr>
              <w:jc w:val="center"/>
              <w:rPr>
                <w:rFonts w:cs="Arial"/>
                <w:bCs/>
                <w:szCs w:val="20"/>
              </w:rPr>
            </w:pPr>
            <w:r>
              <w:rPr>
                <w:rFonts w:cs="Arial"/>
                <w:szCs w:val="20"/>
              </w:rPr>
              <w:t>7</w:t>
            </w:r>
          </w:p>
        </w:tc>
        <w:tc>
          <w:tcPr>
            <w:tcW w:w="2002" w:type="dxa"/>
            <w:tcBorders>
              <w:top w:val="single" w:sz="4" w:space="0" w:color="auto"/>
              <w:left w:val="single" w:sz="4" w:space="0" w:color="auto"/>
              <w:bottom w:val="single" w:sz="4" w:space="0" w:color="auto"/>
              <w:right w:val="single" w:sz="4" w:space="0" w:color="auto"/>
            </w:tcBorders>
            <w:vAlign w:val="bottom"/>
          </w:tcPr>
          <w:p w14:paraId="4761A793" w14:textId="64771AA4" w:rsidR="00FA74E2" w:rsidRPr="00E3613D" w:rsidRDefault="00FA74E2" w:rsidP="00FA74E2">
            <w:pPr>
              <w:jc w:val="center"/>
              <w:rPr>
                <w:rFonts w:cs="Arial"/>
                <w:bCs/>
                <w:szCs w:val="20"/>
              </w:rPr>
            </w:pPr>
            <w:r>
              <w:rPr>
                <w:rFonts w:cs="Arial"/>
                <w:szCs w:val="20"/>
              </w:rPr>
              <w:t>$3,507,434.70</w:t>
            </w:r>
          </w:p>
        </w:tc>
        <w:tc>
          <w:tcPr>
            <w:tcW w:w="2218" w:type="dxa"/>
            <w:tcBorders>
              <w:top w:val="single" w:sz="4" w:space="0" w:color="auto"/>
              <w:left w:val="single" w:sz="4" w:space="0" w:color="auto"/>
              <w:bottom w:val="single" w:sz="4" w:space="0" w:color="auto"/>
              <w:right w:val="single" w:sz="4" w:space="0" w:color="auto"/>
            </w:tcBorders>
            <w:vAlign w:val="bottom"/>
          </w:tcPr>
          <w:p w14:paraId="08668D25" w14:textId="409AE3DD" w:rsidR="00FA74E2" w:rsidRPr="00E3613D" w:rsidRDefault="00FA74E2" w:rsidP="00FA74E2">
            <w:pPr>
              <w:jc w:val="center"/>
              <w:rPr>
                <w:rFonts w:cs="Arial"/>
                <w:bCs/>
                <w:szCs w:val="20"/>
              </w:rPr>
            </w:pPr>
            <w:r>
              <w:rPr>
                <w:rFonts w:cs="Arial"/>
                <w:szCs w:val="20"/>
              </w:rPr>
              <w:t>$501,062.10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3334A74" w:rsidR="0097028A" w:rsidRPr="0079438F" w:rsidRDefault="0097028A" w:rsidP="00696E3A">
      <w:pPr>
        <w:rPr>
          <w:b/>
        </w:rPr>
      </w:pPr>
      <w:r w:rsidRPr="00696E3A">
        <w:rPr>
          <w:b/>
          <w:bCs/>
        </w:rPr>
        <w:t>Drug class for review:</w:t>
      </w:r>
      <w:r w:rsidRPr="00C02553">
        <w:t xml:space="preserve"> </w:t>
      </w:r>
      <w:r w:rsidR="006A116D" w:rsidRPr="00BC6397">
        <w:rPr>
          <w:rFonts w:cs="Arial"/>
          <w:szCs w:val="20"/>
        </w:rPr>
        <w:t>T</w:t>
      </w:r>
      <w:r w:rsidR="006A116D">
        <w:rPr>
          <w:rFonts w:cs="Arial"/>
          <w:szCs w:val="20"/>
        </w:rPr>
        <w:t>-</w:t>
      </w:r>
      <w:r w:rsidR="006A116D" w:rsidRPr="00BC6397">
        <w:rPr>
          <w:rFonts w:cs="Arial"/>
          <w:szCs w:val="20"/>
        </w:rPr>
        <w:t>Cell</w:t>
      </w:r>
      <w:r w:rsidR="006A116D">
        <w:rPr>
          <w:rFonts w:cs="Arial"/>
          <w:szCs w:val="20"/>
        </w:rPr>
        <w:t xml:space="preserve"> Immunotherapies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110AEBD0" w14:textId="77777777" w:rsidR="008C3E6E" w:rsidRDefault="008C3E6E" w:rsidP="008C3E6E">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6B0547C7" w14:textId="77777777" w:rsidR="008C3E6E" w:rsidRPr="00EF67C4" w:rsidRDefault="008C3E6E" w:rsidP="008C3E6E">
      <w:pPr>
        <w:pStyle w:val="ListParagraph"/>
        <w:numPr>
          <w:ilvl w:val="1"/>
          <w:numId w:val="16"/>
        </w:numPr>
        <w:rPr>
          <w:rFonts w:cs="Arial"/>
          <w:bCs/>
          <w:szCs w:val="20"/>
        </w:rPr>
      </w:pPr>
      <w:r>
        <w:rPr>
          <w:rFonts w:cs="Arial"/>
          <w:bCs/>
          <w:szCs w:val="20"/>
        </w:rPr>
        <w:t xml:space="preserve">Prescribed by or in consultation with an appropriate specialist in the treated disease state; </w:t>
      </w:r>
      <w:r w:rsidRPr="00EF67C4">
        <w:rPr>
          <w:rFonts w:cs="Arial"/>
          <w:b/>
          <w:szCs w:val="20"/>
        </w:rPr>
        <w:t>AND</w:t>
      </w:r>
    </w:p>
    <w:p w14:paraId="449F867E" w14:textId="77777777" w:rsidR="008C3E6E" w:rsidRPr="00487940" w:rsidRDefault="008C3E6E" w:rsidP="008C3E6E">
      <w:pPr>
        <w:pStyle w:val="ListParagraph"/>
        <w:numPr>
          <w:ilvl w:val="1"/>
          <w:numId w:val="16"/>
        </w:numPr>
        <w:rPr>
          <w:rFonts w:cs="Arial"/>
          <w:bCs/>
          <w:szCs w:val="20"/>
        </w:rPr>
      </w:pPr>
      <w:r w:rsidRPr="00487940">
        <w:rPr>
          <w:rFonts w:cs="Arial"/>
          <w:bCs/>
          <w:szCs w:val="20"/>
        </w:rPr>
        <w:t>Documentation of appropriate diagnosis for requested agent - see below criteria and Appendix A</w:t>
      </w:r>
      <w:r>
        <w:rPr>
          <w:rFonts w:cs="Arial"/>
          <w:bCs/>
          <w:szCs w:val="20"/>
        </w:rPr>
        <w:t>.</w:t>
      </w:r>
    </w:p>
    <w:p w14:paraId="36F76A83" w14:textId="77777777" w:rsidR="008C3E6E" w:rsidRDefault="008C3E6E" w:rsidP="008C3E6E">
      <w:pPr>
        <w:pStyle w:val="NoSpacing"/>
        <w:numPr>
          <w:ilvl w:val="0"/>
          <w:numId w:val="16"/>
        </w:numPr>
        <w:rPr>
          <w:bCs/>
          <w:sz w:val="20"/>
          <w:szCs w:val="20"/>
        </w:rPr>
      </w:pPr>
      <w:r>
        <w:rPr>
          <w:bCs/>
          <w:sz w:val="20"/>
          <w:szCs w:val="20"/>
        </w:rPr>
        <w:lastRenderedPageBreak/>
        <w:t xml:space="preserve">For a documented diagnosis </w:t>
      </w:r>
      <w:r w:rsidRPr="00F427F1">
        <w:rPr>
          <w:bCs/>
          <w:sz w:val="20"/>
          <w:szCs w:val="20"/>
        </w:rPr>
        <w:t>of relapsed or refractory large B-cell lymphoma</w:t>
      </w:r>
      <w:r>
        <w:rPr>
          <w:bCs/>
          <w:sz w:val="20"/>
          <w:szCs w:val="20"/>
        </w:rPr>
        <w:t xml:space="preserve"> (LBCL)</w:t>
      </w:r>
      <w:r w:rsidRPr="00F427F1">
        <w:rPr>
          <w:bCs/>
          <w:sz w:val="20"/>
          <w:szCs w:val="20"/>
        </w:rPr>
        <w:t>, including</w:t>
      </w:r>
      <w:r>
        <w:rPr>
          <w:bCs/>
          <w:sz w:val="20"/>
          <w:szCs w:val="20"/>
        </w:rPr>
        <w:t xml:space="preserve"> diffuse large B-cell lymphoma</w:t>
      </w:r>
      <w:r w:rsidRPr="00F427F1">
        <w:rPr>
          <w:bCs/>
          <w:sz w:val="20"/>
          <w:szCs w:val="20"/>
        </w:rPr>
        <w:t xml:space="preserve"> </w:t>
      </w:r>
      <w:r>
        <w:rPr>
          <w:bCs/>
          <w:sz w:val="20"/>
          <w:szCs w:val="20"/>
        </w:rPr>
        <w:t>(</w:t>
      </w:r>
      <w:r w:rsidRPr="00F427F1">
        <w:rPr>
          <w:bCs/>
          <w:sz w:val="20"/>
          <w:szCs w:val="20"/>
        </w:rPr>
        <w:t>DLBCL</w:t>
      </w:r>
      <w:r>
        <w:rPr>
          <w:bCs/>
          <w:sz w:val="20"/>
          <w:szCs w:val="20"/>
        </w:rPr>
        <w:t>)</w:t>
      </w:r>
      <w:r w:rsidRPr="00F427F1">
        <w:rPr>
          <w:bCs/>
          <w:sz w:val="20"/>
          <w:szCs w:val="20"/>
        </w:rPr>
        <w:t xml:space="preserve"> not otherwise specified (including DLBCL arising from indolent lymphoma), high-grade B-cell lymphoma, primary mediastinal large B-cell lymphoma, and </w:t>
      </w:r>
      <w:r>
        <w:rPr>
          <w:bCs/>
          <w:sz w:val="20"/>
          <w:szCs w:val="20"/>
        </w:rPr>
        <w:t>follicular lymphoma (</w:t>
      </w:r>
      <w:r w:rsidRPr="00F427F1">
        <w:rPr>
          <w:bCs/>
          <w:sz w:val="20"/>
          <w:szCs w:val="20"/>
        </w:rPr>
        <w:t>FL</w:t>
      </w:r>
      <w:r>
        <w:rPr>
          <w:bCs/>
          <w:sz w:val="20"/>
          <w:szCs w:val="20"/>
        </w:rPr>
        <w:t>)</w:t>
      </w:r>
      <w:r w:rsidRPr="00F427F1">
        <w:rPr>
          <w:bCs/>
          <w:sz w:val="20"/>
          <w:szCs w:val="20"/>
        </w:rPr>
        <w:t xml:space="preserve"> grade 3B</w:t>
      </w:r>
      <w:r>
        <w:rPr>
          <w:bCs/>
          <w:sz w:val="20"/>
          <w:szCs w:val="20"/>
        </w:rPr>
        <w:t>:</w:t>
      </w:r>
    </w:p>
    <w:p w14:paraId="4CBDFC28" w14:textId="77777777" w:rsidR="008C3E6E" w:rsidRDefault="008C3E6E" w:rsidP="008C3E6E">
      <w:pPr>
        <w:pStyle w:val="NoSpacing"/>
        <w:numPr>
          <w:ilvl w:val="1"/>
          <w:numId w:val="16"/>
        </w:numPr>
        <w:rPr>
          <w:bCs/>
          <w:sz w:val="20"/>
          <w:szCs w:val="20"/>
        </w:rPr>
      </w:pPr>
      <w:r>
        <w:rPr>
          <w:bCs/>
          <w:sz w:val="20"/>
          <w:szCs w:val="20"/>
        </w:rPr>
        <w:t xml:space="preserve">Claim is for Breyanzi, </w:t>
      </w:r>
      <w:r>
        <w:rPr>
          <w:sz w:val="20"/>
          <w:szCs w:val="20"/>
        </w:rPr>
        <w:t>Kymriah</w:t>
      </w:r>
      <w:r>
        <w:rPr>
          <w:bCs/>
          <w:sz w:val="20"/>
          <w:szCs w:val="20"/>
        </w:rPr>
        <w:t>, or Yescarta;</w:t>
      </w:r>
    </w:p>
    <w:p w14:paraId="2F7F58D5" w14:textId="77777777" w:rsidR="008C3E6E" w:rsidRDefault="008C3E6E" w:rsidP="008C3E6E">
      <w:pPr>
        <w:pStyle w:val="ListParagraph"/>
        <w:numPr>
          <w:ilvl w:val="1"/>
          <w:numId w:val="16"/>
        </w:numPr>
        <w:rPr>
          <w:rFonts w:cs="Arial"/>
          <w:szCs w:val="20"/>
        </w:rPr>
      </w:pPr>
      <w:r w:rsidRPr="002232A0">
        <w:rPr>
          <w:rFonts w:cs="Arial"/>
          <w:szCs w:val="20"/>
        </w:rPr>
        <w:t>Participant is aged ≥ 18 years</w:t>
      </w:r>
      <w:r>
        <w:rPr>
          <w:rFonts w:cs="Arial"/>
          <w:szCs w:val="20"/>
        </w:rPr>
        <w:t>;</w:t>
      </w:r>
    </w:p>
    <w:p w14:paraId="437FB61A" w14:textId="77777777" w:rsidR="008C3E6E" w:rsidRDefault="008C3E6E" w:rsidP="008C3E6E">
      <w:pPr>
        <w:pStyle w:val="ListParagraph"/>
        <w:numPr>
          <w:ilvl w:val="1"/>
          <w:numId w:val="16"/>
        </w:numPr>
        <w:rPr>
          <w:rFonts w:cs="Arial"/>
          <w:szCs w:val="20"/>
        </w:rPr>
      </w:pPr>
      <w:r>
        <w:rPr>
          <w:rFonts w:cs="Arial"/>
          <w:bCs/>
          <w:szCs w:val="20"/>
        </w:rPr>
        <w:t>If c</w:t>
      </w:r>
      <w:r w:rsidRPr="005C311E">
        <w:rPr>
          <w:rFonts w:cs="Arial"/>
          <w:bCs/>
          <w:szCs w:val="20"/>
        </w:rPr>
        <w:t xml:space="preserve">laim is </w:t>
      </w:r>
      <w:r>
        <w:rPr>
          <w:rFonts w:cs="Arial"/>
          <w:szCs w:val="20"/>
        </w:rPr>
        <w:t>for Kymriah or Yescarta: must meet the following:</w:t>
      </w:r>
    </w:p>
    <w:p w14:paraId="1579CB4E" w14:textId="77777777" w:rsidR="008C3E6E" w:rsidRPr="008B1DE3" w:rsidRDefault="008C3E6E" w:rsidP="002D0F39">
      <w:pPr>
        <w:pStyle w:val="ListParagraph"/>
        <w:numPr>
          <w:ilvl w:val="2"/>
          <w:numId w:val="16"/>
        </w:numPr>
        <w:ind w:left="1080"/>
        <w:rPr>
          <w:rFonts w:cs="Arial"/>
          <w:szCs w:val="20"/>
        </w:rPr>
      </w:pPr>
      <w:r>
        <w:rPr>
          <w:rFonts w:cs="Arial"/>
          <w:szCs w:val="20"/>
        </w:rPr>
        <w:t>Documentation of two</w:t>
      </w:r>
      <w:r w:rsidRPr="00B13C07">
        <w:rPr>
          <w:rFonts w:cs="Arial"/>
          <w:szCs w:val="20"/>
        </w:rPr>
        <w:t xml:space="preserve"> or more</w:t>
      </w:r>
      <w:r>
        <w:rPr>
          <w:rFonts w:cs="Arial"/>
          <w:szCs w:val="20"/>
        </w:rPr>
        <w:t xml:space="preserve"> previous</w:t>
      </w:r>
      <w:r w:rsidRPr="00B13C07">
        <w:rPr>
          <w:rFonts w:cs="Arial"/>
          <w:szCs w:val="20"/>
        </w:rPr>
        <w:t xml:space="preserve"> lines of systemic therap</w:t>
      </w:r>
      <w:r>
        <w:rPr>
          <w:rFonts w:cs="Arial"/>
          <w:szCs w:val="20"/>
        </w:rPr>
        <w:t>y.</w:t>
      </w:r>
    </w:p>
    <w:p w14:paraId="7C792A3A" w14:textId="77777777" w:rsidR="008C3E6E" w:rsidRDefault="008C3E6E" w:rsidP="008C3E6E">
      <w:pPr>
        <w:pStyle w:val="ListParagraph"/>
        <w:numPr>
          <w:ilvl w:val="1"/>
          <w:numId w:val="16"/>
        </w:numPr>
        <w:rPr>
          <w:rFonts w:cs="Arial"/>
          <w:szCs w:val="20"/>
        </w:rPr>
      </w:pPr>
      <w:r>
        <w:rPr>
          <w:rFonts w:cs="Arial"/>
          <w:bCs/>
          <w:szCs w:val="20"/>
        </w:rPr>
        <w:t>If c</w:t>
      </w:r>
      <w:r w:rsidRPr="005C311E">
        <w:rPr>
          <w:rFonts w:cs="Arial"/>
          <w:bCs/>
          <w:szCs w:val="20"/>
        </w:rPr>
        <w:t xml:space="preserve">laim is for </w:t>
      </w:r>
      <w:r>
        <w:rPr>
          <w:rFonts w:cs="Arial"/>
          <w:szCs w:val="20"/>
        </w:rPr>
        <w:t>Breyanzi: must meet one of the following:</w:t>
      </w:r>
    </w:p>
    <w:p w14:paraId="4F55EA6E" w14:textId="77777777" w:rsidR="008C3E6E" w:rsidRDefault="008C3E6E" w:rsidP="002D0F39">
      <w:pPr>
        <w:pStyle w:val="ListParagraph"/>
        <w:numPr>
          <w:ilvl w:val="2"/>
          <w:numId w:val="16"/>
        </w:numPr>
        <w:ind w:left="1080"/>
        <w:rPr>
          <w:rFonts w:cs="Arial"/>
          <w:szCs w:val="20"/>
        </w:rPr>
      </w:pPr>
      <w:r>
        <w:rPr>
          <w:rFonts w:cs="Arial"/>
          <w:szCs w:val="20"/>
        </w:rPr>
        <w:t>R</w:t>
      </w:r>
      <w:r w:rsidRPr="00B13C07">
        <w:rPr>
          <w:rFonts w:cs="Arial"/>
          <w:szCs w:val="20"/>
        </w:rPr>
        <w:t>efractory disease to first-line chemoimmunotherapy or relapse within 12 months of first-line chemoimmunotherap</w:t>
      </w:r>
      <w:r>
        <w:rPr>
          <w:rFonts w:cs="Arial"/>
          <w:szCs w:val="20"/>
        </w:rPr>
        <w:t>y;</w:t>
      </w:r>
    </w:p>
    <w:p w14:paraId="2E0F6570" w14:textId="77777777" w:rsidR="008C3E6E" w:rsidRDefault="008C3E6E" w:rsidP="002D0F39">
      <w:pPr>
        <w:pStyle w:val="ListParagraph"/>
        <w:numPr>
          <w:ilvl w:val="2"/>
          <w:numId w:val="16"/>
        </w:numPr>
        <w:ind w:left="1080"/>
        <w:rPr>
          <w:rFonts w:cs="Arial"/>
          <w:szCs w:val="20"/>
        </w:rPr>
      </w:pPr>
      <w:r>
        <w:rPr>
          <w:rFonts w:cs="Arial"/>
          <w:szCs w:val="20"/>
        </w:rPr>
        <w:t>R</w:t>
      </w:r>
      <w:r w:rsidRPr="00B13C07">
        <w:rPr>
          <w:rFonts w:cs="Arial"/>
          <w:szCs w:val="20"/>
        </w:rPr>
        <w:t>efractory disease to first-line chemoimmunotherapy or relapse after first-line chemoimmunotherapy and are not eligible for hematopoietic stem cell transplantation (HSCT) due to comorbidities or age</w:t>
      </w:r>
      <w:r>
        <w:rPr>
          <w:rFonts w:cs="Arial"/>
          <w:szCs w:val="20"/>
        </w:rPr>
        <w:t xml:space="preserve">; </w:t>
      </w:r>
      <w:r w:rsidRPr="00B13C07">
        <w:rPr>
          <w:rFonts w:cs="Arial"/>
          <w:b/>
          <w:bCs/>
          <w:szCs w:val="20"/>
        </w:rPr>
        <w:t>OR</w:t>
      </w:r>
    </w:p>
    <w:p w14:paraId="1FB34D9C" w14:textId="77777777" w:rsidR="008C3E6E" w:rsidRDefault="008C3E6E" w:rsidP="002D0F39">
      <w:pPr>
        <w:pStyle w:val="ListParagraph"/>
        <w:numPr>
          <w:ilvl w:val="2"/>
          <w:numId w:val="16"/>
        </w:numPr>
        <w:ind w:left="1080"/>
        <w:rPr>
          <w:rFonts w:cs="Arial"/>
          <w:szCs w:val="20"/>
        </w:rPr>
      </w:pPr>
      <w:r>
        <w:rPr>
          <w:rFonts w:cs="Arial"/>
          <w:szCs w:val="20"/>
        </w:rPr>
        <w:t>Documentation of two</w:t>
      </w:r>
      <w:r w:rsidRPr="00B13C07">
        <w:rPr>
          <w:rFonts w:cs="Arial"/>
          <w:szCs w:val="20"/>
        </w:rPr>
        <w:t xml:space="preserve"> or more</w:t>
      </w:r>
      <w:r>
        <w:rPr>
          <w:rFonts w:cs="Arial"/>
          <w:szCs w:val="20"/>
        </w:rPr>
        <w:t xml:space="preserve"> previous</w:t>
      </w:r>
      <w:r w:rsidRPr="00B13C07">
        <w:rPr>
          <w:rFonts w:cs="Arial"/>
          <w:szCs w:val="20"/>
        </w:rPr>
        <w:t xml:space="preserve"> lines of systemic therap</w:t>
      </w:r>
      <w:r>
        <w:rPr>
          <w:rFonts w:cs="Arial"/>
          <w:szCs w:val="20"/>
        </w:rPr>
        <w:t>y.</w:t>
      </w:r>
    </w:p>
    <w:p w14:paraId="0C6C09B2" w14:textId="77777777" w:rsidR="006811A1" w:rsidRDefault="006811A1" w:rsidP="006811A1">
      <w:pPr>
        <w:pStyle w:val="ListParagraph"/>
        <w:numPr>
          <w:ilvl w:val="0"/>
          <w:numId w:val="0"/>
        </w:numPr>
        <w:ind w:left="1080"/>
        <w:rPr>
          <w:rFonts w:cs="Arial"/>
          <w:szCs w:val="20"/>
        </w:rPr>
      </w:pPr>
    </w:p>
    <w:p w14:paraId="3CB51DEF" w14:textId="77777777" w:rsidR="008C3E6E" w:rsidRPr="000F2B50" w:rsidRDefault="008C3E6E" w:rsidP="008C3E6E">
      <w:pPr>
        <w:pStyle w:val="NoSpacing"/>
        <w:numPr>
          <w:ilvl w:val="0"/>
          <w:numId w:val="17"/>
        </w:numPr>
        <w:rPr>
          <w:bCs/>
          <w:color w:val="000000" w:themeColor="text1"/>
          <w:sz w:val="20"/>
          <w:szCs w:val="20"/>
        </w:rPr>
      </w:pPr>
      <w:r w:rsidRPr="000F2B50">
        <w:rPr>
          <w:bCs/>
          <w:color w:val="000000" w:themeColor="text1"/>
          <w:sz w:val="20"/>
          <w:szCs w:val="20"/>
        </w:rPr>
        <w:t>For a documented diagnosis of relapsed or refractory</w:t>
      </w:r>
      <w:r w:rsidRPr="000F2B50">
        <w:rPr>
          <w:rFonts w:ascii="Times New Roman" w:hAnsi="Times New Roman"/>
          <w:bCs/>
          <w:color w:val="000000" w:themeColor="text1"/>
        </w:rPr>
        <w:t xml:space="preserve"> </w:t>
      </w:r>
      <w:r w:rsidRPr="000F2B50">
        <w:rPr>
          <w:bCs/>
          <w:color w:val="000000" w:themeColor="text1"/>
          <w:sz w:val="20"/>
          <w:szCs w:val="20"/>
        </w:rPr>
        <w:t>chronic lymphocytic leukemia (CLL) or small lymphocytic lymphoma (SLL):</w:t>
      </w:r>
    </w:p>
    <w:p w14:paraId="0B4A1F83" w14:textId="77777777" w:rsidR="008C3E6E" w:rsidRPr="000F2B50" w:rsidRDefault="008C3E6E" w:rsidP="002D0F39">
      <w:pPr>
        <w:pStyle w:val="NoSpacing"/>
        <w:numPr>
          <w:ilvl w:val="1"/>
          <w:numId w:val="17"/>
        </w:numPr>
        <w:ind w:left="720"/>
        <w:rPr>
          <w:bCs/>
          <w:color w:val="000000" w:themeColor="text1"/>
          <w:sz w:val="20"/>
          <w:szCs w:val="20"/>
        </w:rPr>
      </w:pPr>
      <w:r w:rsidRPr="000F2B50">
        <w:rPr>
          <w:bCs/>
          <w:color w:val="000000" w:themeColor="text1"/>
          <w:sz w:val="20"/>
          <w:szCs w:val="20"/>
        </w:rPr>
        <w:t>Claim is for Breyanzi;</w:t>
      </w:r>
    </w:p>
    <w:p w14:paraId="35A79538" w14:textId="77777777" w:rsidR="008C3E6E" w:rsidRPr="000F2B50" w:rsidRDefault="008C3E6E" w:rsidP="002D0F39">
      <w:pPr>
        <w:pStyle w:val="ListParagraph"/>
        <w:numPr>
          <w:ilvl w:val="1"/>
          <w:numId w:val="17"/>
        </w:numPr>
        <w:ind w:left="720"/>
        <w:rPr>
          <w:rFonts w:cs="Arial"/>
          <w:bCs/>
          <w:color w:val="000000" w:themeColor="text1"/>
          <w:szCs w:val="20"/>
        </w:rPr>
      </w:pPr>
      <w:r w:rsidRPr="000F2B50">
        <w:rPr>
          <w:rFonts w:cs="Arial"/>
          <w:bCs/>
          <w:color w:val="000000" w:themeColor="text1"/>
          <w:szCs w:val="20"/>
        </w:rPr>
        <w:t>Participant is aged ≥ 18 years;</w:t>
      </w:r>
      <w:r>
        <w:rPr>
          <w:rFonts w:cs="Arial"/>
          <w:bCs/>
          <w:color w:val="000000" w:themeColor="text1"/>
          <w:szCs w:val="20"/>
        </w:rPr>
        <w:t xml:space="preserve"> </w:t>
      </w:r>
      <w:r w:rsidRPr="000F2B50">
        <w:rPr>
          <w:rFonts w:cs="Arial"/>
          <w:b/>
          <w:color w:val="000000" w:themeColor="text1"/>
          <w:szCs w:val="20"/>
        </w:rPr>
        <w:t>AND</w:t>
      </w:r>
    </w:p>
    <w:p w14:paraId="79145AC2" w14:textId="77777777" w:rsidR="008C3E6E" w:rsidRDefault="008C3E6E" w:rsidP="002D0F39">
      <w:pPr>
        <w:pStyle w:val="NoSpacing"/>
        <w:numPr>
          <w:ilvl w:val="1"/>
          <w:numId w:val="17"/>
        </w:numPr>
        <w:ind w:left="720"/>
        <w:rPr>
          <w:bCs/>
          <w:color w:val="000000" w:themeColor="text1"/>
          <w:sz w:val="20"/>
          <w:szCs w:val="20"/>
        </w:rPr>
      </w:pPr>
      <w:r w:rsidRPr="000F2B50">
        <w:rPr>
          <w:bCs/>
          <w:color w:val="000000" w:themeColor="text1"/>
          <w:sz w:val="20"/>
          <w:szCs w:val="20"/>
        </w:rPr>
        <w:t>Documentation of two or more previous lines of systemic therapy, including a</w:t>
      </w:r>
      <w:r w:rsidRPr="000F2B50">
        <w:rPr>
          <w:rFonts w:ascii="Times New Roman" w:hAnsi="Times New Roman"/>
          <w:bCs/>
          <w:color w:val="000000" w:themeColor="text1"/>
        </w:rPr>
        <w:t xml:space="preserve"> </w:t>
      </w:r>
      <w:r w:rsidRPr="000F2B50">
        <w:rPr>
          <w:bCs/>
          <w:color w:val="000000" w:themeColor="text1"/>
          <w:sz w:val="20"/>
          <w:szCs w:val="20"/>
        </w:rPr>
        <w:t>Bruton tyrosine kinase (BTK) inhibitor and a B-cell lymphoma 2 (BCL-2) inhibitor.</w:t>
      </w:r>
    </w:p>
    <w:p w14:paraId="1F481CE0" w14:textId="77777777" w:rsidR="006811A1" w:rsidRPr="000F2B50" w:rsidRDefault="006811A1" w:rsidP="006811A1">
      <w:pPr>
        <w:pStyle w:val="NoSpacing"/>
        <w:ind w:left="720"/>
        <w:rPr>
          <w:bCs/>
          <w:color w:val="000000" w:themeColor="text1"/>
          <w:sz w:val="20"/>
          <w:szCs w:val="20"/>
        </w:rPr>
      </w:pPr>
    </w:p>
    <w:p w14:paraId="1CEAC761" w14:textId="77777777" w:rsidR="008C3E6E" w:rsidRPr="000F2B50" w:rsidRDefault="008C3E6E" w:rsidP="008C3E6E">
      <w:pPr>
        <w:pStyle w:val="ListParagraph"/>
        <w:numPr>
          <w:ilvl w:val="0"/>
          <w:numId w:val="17"/>
        </w:numPr>
        <w:rPr>
          <w:rFonts w:eastAsia="Arial" w:cs="Arial"/>
          <w:bCs/>
          <w:color w:val="000000" w:themeColor="text1"/>
          <w:szCs w:val="20"/>
        </w:rPr>
      </w:pPr>
      <w:r w:rsidRPr="000F2B50">
        <w:rPr>
          <w:rFonts w:eastAsia="Arial" w:cs="Arial"/>
          <w:bCs/>
          <w:color w:val="000000" w:themeColor="text1"/>
          <w:szCs w:val="20"/>
        </w:rPr>
        <w:t>For a documented diagnosis of relapsed or refractory mantle cell lymphoma (MCL):</w:t>
      </w:r>
    </w:p>
    <w:p w14:paraId="75EF944D" w14:textId="77777777" w:rsidR="008C3E6E" w:rsidRPr="000F2B50" w:rsidRDefault="008C3E6E" w:rsidP="002D0F39">
      <w:pPr>
        <w:pStyle w:val="NoSpacing"/>
        <w:numPr>
          <w:ilvl w:val="1"/>
          <w:numId w:val="17"/>
        </w:numPr>
        <w:ind w:left="720"/>
        <w:rPr>
          <w:bCs/>
          <w:color w:val="000000" w:themeColor="text1"/>
          <w:sz w:val="20"/>
          <w:szCs w:val="20"/>
        </w:rPr>
      </w:pPr>
      <w:r w:rsidRPr="000F2B50">
        <w:rPr>
          <w:bCs/>
          <w:color w:val="000000" w:themeColor="text1"/>
          <w:sz w:val="20"/>
          <w:szCs w:val="20"/>
        </w:rPr>
        <w:t xml:space="preserve">Claim is for Breyanzi or Tecartus; </w:t>
      </w:r>
    </w:p>
    <w:p w14:paraId="0319336E" w14:textId="77777777" w:rsidR="008C3E6E" w:rsidRPr="000F2B50" w:rsidRDefault="008C3E6E" w:rsidP="002D0F39">
      <w:pPr>
        <w:pStyle w:val="ListParagraph"/>
        <w:numPr>
          <w:ilvl w:val="1"/>
          <w:numId w:val="17"/>
        </w:numPr>
        <w:ind w:left="720"/>
        <w:rPr>
          <w:rFonts w:cs="Arial"/>
          <w:bCs/>
          <w:color w:val="000000" w:themeColor="text1"/>
          <w:szCs w:val="20"/>
        </w:rPr>
      </w:pPr>
      <w:r w:rsidRPr="000F2B50">
        <w:rPr>
          <w:rFonts w:cs="Arial"/>
          <w:bCs/>
          <w:color w:val="000000" w:themeColor="text1"/>
          <w:szCs w:val="20"/>
        </w:rPr>
        <w:t xml:space="preserve">Participant is aged ≥ 18 years; </w:t>
      </w:r>
      <w:r w:rsidRPr="000F2B50">
        <w:rPr>
          <w:rFonts w:eastAsia="Arial" w:cs="Arial"/>
          <w:b/>
          <w:color w:val="000000" w:themeColor="text1"/>
          <w:szCs w:val="20"/>
        </w:rPr>
        <w:t>AND</w:t>
      </w:r>
    </w:p>
    <w:p w14:paraId="78D6B456" w14:textId="0889BB82" w:rsidR="008C3E6E" w:rsidRDefault="008C3E6E" w:rsidP="002D0F39">
      <w:pPr>
        <w:pStyle w:val="NoSpacing"/>
        <w:numPr>
          <w:ilvl w:val="1"/>
          <w:numId w:val="17"/>
        </w:numPr>
        <w:ind w:left="720"/>
        <w:rPr>
          <w:bCs/>
          <w:color w:val="000000" w:themeColor="text1"/>
          <w:sz w:val="20"/>
          <w:szCs w:val="20"/>
        </w:rPr>
      </w:pPr>
      <w:r w:rsidRPr="000F2B50">
        <w:rPr>
          <w:bCs/>
          <w:color w:val="000000" w:themeColor="text1"/>
          <w:sz w:val="20"/>
          <w:szCs w:val="20"/>
        </w:rPr>
        <w:t>Documentation of two or more previous lines of systemic therapy, including a BTK inhibitor.</w:t>
      </w:r>
    </w:p>
    <w:p w14:paraId="24275C57" w14:textId="77777777" w:rsidR="006811A1" w:rsidRPr="000F2B50" w:rsidRDefault="006811A1" w:rsidP="006811A1">
      <w:pPr>
        <w:pStyle w:val="NoSpacing"/>
        <w:ind w:left="720"/>
        <w:rPr>
          <w:bCs/>
          <w:color w:val="000000" w:themeColor="text1"/>
          <w:sz w:val="20"/>
          <w:szCs w:val="20"/>
        </w:rPr>
      </w:pPr>
    </w:p>
    <w:p w14:paraId="5FD13BFB" w14:textId="77777777" w:rsidR="008C3E6E" w:rsidRPr="00F52D19" w:rsidRDefault="008C3E6E" w:rsidP="008C3E6E">
      <w:pPr>
        <w:pStyle w:val="NoSpacing"/>
        <w:numPr>
          <w:ilvl w:val="0"/>
          <w:numId w:val="17"/>
        </w:numPr>
        <w:rPr>
          <w:bCs/>
          <w:sz w:val="20"/>
          <w:szCs w:val="20"/>
        </w:rPr>
      </w:pPr>
      <w:r w:rsidRPr="000F2B50">
        <w:rPr>
          <w:bCs/>
          <w:color w:val="000000" w:themeColor="text1"/>
          <w:sz w:val="20"/>
          <w:szCs w:val="20"/>
        </w:rPr>
        <w:t xml:space="preserve">For a documented diagnosis </w:t>
      </w:r>
      <w:r w:rsidRPr="00F52D19">
        <w:rPr>
          <w:bCs/>
          <w:sz w:val="20"/>
          <w:szCs w:val="20"/>
        </w:rPr>
        <w:t>of B-cell precursor acute lymphoblastic leukemia (ALL) that is refractory or in second or later relapse:</w:t>
      </w:r>
    </w:p>
    <w:p w14:paraId="78F6FCF3" w14:textId="77777777" w:rsidR="008C3E6E" w:rsidRPr="00F52D19" w:rsidRDefault="008C3E6E" w:rsidP="002D0F39">
      <w:pPr>
        <w:pStyle w:val="NoSpacing"/>
        <w:numPr>
          <w:ilvl w:val="1"/>
          <w:numId w:val="17"/>
        </w:numPr>
        <w:ind w:left="720"/>
        <w:rPr>
          <w:bCs/>
          <w:sz w:val="20"/>
          <w:szCs w:val="20"/>
        </w:rPr>
      </w:pPr>
      <w:r w:rsidRPr="00F52D19">
        <w:rPr>
          <w:bCs/>
          <w:sz w:val="20"/>
          <w:szCs w:val="20"/>
        </w:rPr>
        <w:t>Claim is for Kymriah and participant is aged ≤</w:t>
      </w:r>
      <w:r w:rsidRPr="00F52D19">
        <w:rPr>
          <w:b/>
          <w:sz w:val="20"/>
          <w:szCs w:val="20"/>
        </w:rPr>
        <w:t xml:space="preserve"> </w:t>
      </w:r>
      <w:r w:rsidRPr="00F52D19">
        <w:rPr>
          <w:bCs/>
          <w:sz w:val="20"/>
          <w:szCs w:val="20"/>
        </w:rPr>
        <w:t xml:space="preserve">25 years; </w:t>
      </w:r>
      <w:r w:rsidRPr="00F52D19">
        <w:rPr>
          <w:b/>
          <w:sz w:val="20"/>
          <w:szCs w:val="20"/>
        </w:rPr>
        <w:t>OR</w:t>
      </w:r>
    </w:p>
    <w:p w14:paraId="3652DE47" w14:textId="77777777" w:rsidR="008C3E6E" w:rsidRDefault="008C3E6E" w:rsidP="002D0F39">
      <w:pPr>
        <w:pStyle w:val="NoSpacing"/>
        <w:numPr>
          <w:ilvl w:val="1"/>
          <w:numId w:val="17"/>
        </w:numPr>
        <w:ind w:left="720"/>
        <w:rPr>
          <w:bCs/>
          <w:sz w:val="20"/>
          <w:szCs w:val="20"/>
        </w:rPr>
      </w:pPr>
      <w:r w:rsidRPr="00F52D19">
        <w:rPr>
          <w:bCs/>
          <w:sz w:val="20"/>
          <w:szCs w:val="20"/>
        </w:rPr>
        <w:t>Claim is for</w:t>
      </w:r>
      <w:r>
        <w:rPr>
          <w:bCs/>
          <w:sz w:val="20"/>
          <w:szCs w:val="20"/>
        </w:rPr>
        <w:t xml:space="preserve"> </w:t>
      </w:r>
      <w:r w:rsidRPr="00AD1C66">
        <w:rPr>
          <w:bCs/>
          <w:sz w:val="20"/>
          <w:szCs w:val="20"/>
        </w:rPr>
        <w:t xml:space="preserve">Aucatzyl or </w:t>
      </w:r>
      <w:r w:rsidRPr="00F52D19">
        <w:rPr>
          <w:bCs/>
          <w:sz w:val="20"/>
          <w:szCs w:val="20"/>
        </w:rPr>
        <w:t>Tecartus and participant is aged ≥ 18 years.</w:t>
      </w:r>
    </w:p>
    <w:p w14:paraId="15D3BE69" w14:textId="65F7A0BE" w:rsidR="006811A1" w:rsidRPr="00F52D19" w:rsidRDefault="006811A1" w:rsidP="006811A1">
      <w:pPr>
        <w:pStyle w:val="NoSpacing"/>
        <w:ind w:left="720"/>
        <w:rPr>
          <w:bCs/>
          <w:sz w:val="20"/>
          <w:szCs w:val="20"/>
        </w:rPr>
      </w:pPr>
    </w:p>
    <w:p w14:paraId="24262821" w14:textId="77777777" w:rsidR="008C3E6E" w:rsidRPr="00471B6A" w:rsidRDefault="008C3E6E" w:rsidP="008C3E6E">
      <w:pPr>
        <w:pStyle w:val="NoSpacing"/>
        <w:numPr>
          <w:ilvl w:val="0"/>
          <w:numId w:val="17"/>
        </w:numPr>
        <w:rPr>
          <w:b/>
          <w:sz w:val="20"/>
          <w:szCs w:val="20"/>
        </w:rPr>
      </w:pPr>
      <w:r>
        <w:rPr>
          <w:bCs/>
          <w:sz w:val="20"/>
          <w:szCs w:val="20"/>
        </w:rPr>
        <w:t>For</w:t>
      </w:r>
      <w:r w:rsidRPr="00471B6A">
        <w:rPr>
          <w:bCs/>
          <w:sz w:val="20"/>
          <w:szCs w:val="20"/>
        </w:rPr>
        <w:t xml:space="preserve"> a documented diagnosis of</w:t>
      </w:r>
      <w:r w:rsidRPr="00471B6A">
        <w:rPr>
          <w:rFonts w:ascii="Times New Roman" w:hAnsi="Times New Roman"/>
        </w:rPr>
        <w:t xml:space="preserve"> </w:t>
      </w:r>
      <w:r w:rsidRPr="00471B6A">
        <w:rPr>
          <w:bCs/>
          <w:sz w:val="20"/>
          <w:szCs w:val="20"/>
        </w:rPr>
        <w:t>relapsed or refractory multiple myeloma</w:t>
      </w:r>
      <w:r>
        <w:rPr>
          <w:bCs/>
          <w:sz w:val="20"/>
          <w:szCs w:val="20"/>
        </w:rPr>
        <w:t xml:space="preserve"> (MM)</w:t>
      </w:r>
      <w:r w:rsidRPr="00471B6A">
        <w:rPr>
          <w:bCs/>
          <w:sz w:val="20"/>
          <w:szCs w:val="20"/>
        </w:rPr>
        <w:t>:</w:t>
      </w:r>
    </w:p>
    <w:p w14:paraId="66DE47C3" w14:textId="77777777" w:rsidR="008C3E6E" w:rsidRPr="00471B6A" w:rsidRDefault="008C3E6E" w:rsidP="002D0F39">
      <w:pPr>
        <w:pStyle w:val="NoSpacing"/>
        <w:numPr>
          <w:ilvl w:val="1"/>
          <w:numId w:val="17"/>
        </w:numPr>
        <w:ind w:left="720"/>
        <w:rPr>
          <w:b/>
          <w:sz w:val="20"/>
          <w:szCs w:val="20"/>
        </w:rPr>
      </w:pPr>
      <w:r w:rsidRPr="00471B6A">
        <w:rPr>
          <w:bCs/>
          <w:sz w:val="20"/>
          <w:szCs w:val="20"/>
        </w:rPr>
        <w:t>Claim is for Abecma</w:t>
      </w:r>
      <w:r>
        <w:rPr>
          <w:bCs/>
          <w:sz w:val="20"/>
          <w:szCs w:val="20"/>
        </w:rPr>
        <w:t xml:space="preserve"> or Carvykti</w:t>
      </w:r>
      <w:r w:rsidRPr="00471B6A">
        <w:rPr>
          <w:bCs/>
          <w:sz w:val="20"/>
          <w:szCs w:val="20"/>
        </w:rPr>
        <w:t>;</w:t>
      </w:r>
    </w:p>
    <w:p w14:paraId="7873F281" w14:textId="77777777" w:rsidR="008C3E6E" w:rsidRPr="00471B6A" w:rsidRDefault="008C3E6E" w:rsidP="002D0F39">
      <w:pPr>
        <w:pStyle w:val="ListParagraph"/>
        <w:numPr>
          <w:ilvl w:val="1"/>
          <w:numId w:val="17"/>
        </w:numPr>
        <w:ind w:left="720"/>
        <w:rPr>
          <w:rFonts w:cs="Arial"/>
          <w:szCs w:val="20"/>
        </w:rPr>
      </w:pPr>
      <w:r w:rsidRPr="00471B6A">
        <w:rPr>
          <w:rFonts w:cs="Arial"/>
          <w:szCs w:val="20"/>
        </w:rPr>
        <w:t>Participant is aged ≥ 18 years.</w:t>
      </w:r>
    </w:p>
    <w:p w14:paraId="132B49EF" w14:textId="77777777" w:rsidR="008C3E6E" w:rsidRPr="002F0300" w:rsidRDefault="008C3E6E" w:rsidP="002D0F39">
      <w:pPr>
        <w:pStyle w:val="NoSpacing"/>
        <w:numPr>
          <w:ilvl w:val="1"/>
          <w:numId w:val="17"/>
        </w:numPr>
        <w:ind w:left="720"/>
        <w:rPr>
          <w:b/>
          <w:sz w:val="20"/>
          <w:szCs w:val="20"/>
        </w:rPr>
      </w:pPr>
      <w:r w:rsidRPr="00471B6A">
        <w:rPr>
          <w:bCs/>
          <w:sz w:val="20"/>
          <w:szCs w:val="20"/>
        </w:rPr>
        <w:t xml:space="preserve">Documentation of </w:t>
      </w:r>
      <w:r>
        <w:rPr>
          <w:bCs/>
          <w:sz w:val="20"/>
          <w:szCs w:val="20"/>
        </w:rPr>
        <w:t>four</w:t>
      </w:r>
      <w:r w:rsidRPr="00471B6A">
        <w:rPr>
          <w:bCs/>
          <w:sz w:val="20"/>
          <w:szCs w:val="20"/>
        </w:rPr>
        <w:t xml:space="preserve"> or more </w:t>
      </w:r>
      <w:r>
        <w:rPr>
          <w:bCs/>
          <w:sz w:val="20"/>
          <w:szCs w:val="20"/>
        </w:rPr>
        <w:t>previous systemic</w:t>
      </w:r>
      <w:r w:rsidRPr="00471B6A">
        <w:rPr>
          <w:bCs/>
          <w:sz w:val="20"/>
          <w:szCs w:val="20"/>
        </w:rPr>
        <w:t xml:space="preserve"> lines of therapy, including an immunomodulatory agent, a proteasome inhibitor, and an anti-CD38 monoclonal antibody.</w:t>
      </w:r>
    </w:p>
    <w:p w14:paraId="7EC00E18" w14:textId="77777777" w:rsidR="008C3E6E" w:rsidRPr="002F0300" w:rsidRDefault="008C3E6E" w:rsidP="002D0F39">
      <w:pPr>
        <w:pStyle w:val="NoSpacing"/>
        <w:numPr>
          <w:ilvl w:val="1"/>
          <w:numId w:val="17"/>
        </w:numPr>
        <w:ind w:left="720"/>
        <w:rPr>
          <w:bCs/>
          <w:sz w:val="20"/>
          <w:szCs w:val="20"/>
        </w:rPr>
      </w:pPr>
      <w:r>
        <w:rPr>
          <w:bCs/>
          <w:sz w:val="20"/>
          <w:szCs w:val="20"/>
        </w:rPr>
        <w:t>If c</w:t>
      </w:r>
      <w:r w:rsidRPr="002F0300">
        <w:rPr>
          <w:bCs/>
          <w:sz w:val="20"/>
          <w:szCs w:val="20"/>
        </w:rPr>
        <w:t xml:space="preserve">laim is for </w:t>
      </w:r>
      <w:r>
        <w:rPr>
          <w:bCs/>
          <w:sz w:val="20"/>
          <w:szCs w:val="20"/>
        </w:rPr>
        <w:t>Carvykti, must meet the following</w:t>
      </w:r>
      <w:r w:rsidRPr="002F0300">
        <w:rPr>
          <w:bCs/>
          <w:sz w:val="20"/>
          <w:szCs w:val="20"/>
        </w:rPr>
        <w:t>:</w:t>
      </w:r>
    </w:p>
    <w:p w14:paraId="28E9985F" w14:textId="77777777" w:rsidR="008C3E6E" w:rsidRPr="006811A1" w:rsidRDefault="008C3E6E" w:rsidP="002D0F39">
      <w:pPr>
        <w:pStyle w:val="NoSpacing"/>
        <w:numPr>
          <w:ilvl w:val="2"/>
          <w:numId w:val="17"/>
        </w:numPr>
        <w:ind w:left="1080"/>
        <w:rPr>
          <w:b/>
          <w:sz w:val="20"/>
          <w:szCs w:val="20"/>
        </w:rPr>
      </w:pPr>
      <w:r>
        <w:rPr>
          <w:bCs/>
          <w:sz w:val="20"/>
          <w:szCs w:val="20"/>
        </w:rPr>
        <w:t>MM is</w:t>
      </w:r>
      <w:r w:rsidRPr="00F62534">
        <w:rPr>
          <w:bCs/>
          <w:sz w:val="20"/>
          <w:szCs w:val="20"/>
        </w:rPr>
        <w:t xml:space="preserve"> refractory to lenalidomide.</w:t>
      </w:r>
    </w:p>
    <w:p w14:paraId="1E1732BB" w14:textId="77777777" w:rsidR="006811A1" w:rsidRPr="003518B6" w:rsidRDefault="006811A1" w:rsidP="006811A1">
      <w:pPr>
        <w:pStyle w:val="NoSpacing"/>
        <w:ind w:left="1080"/>
        <w:rPr>
          <w:b/>
          <w:sz w:val="20"/>
          <w:szCs w:val="20"/>
        </w:rPr>
      </w:pPr>
    </w:p>
    <w:p w14:paraId="24872C7C" w14:textId="77777777" w:rsidR="008C3E6E" w:rsidRPr="00AD1C66" w:rsidRDefault="008C3E6E" w:rsidP="008C3E6E">
      <w:pPr>
        <w:pStyle w:val="NoSpacing"/>
        <w:numPr>
          <w:ilvl w:val="0"/>
          <w:numId w:val="17"/>
        </w:numPr>
        <w:rPr>
          <w:bCs/>
          <w:sz w:val="20"/>
          <w:szCs w:val="20"/>
        </w:rPr>
      </w:pPr>
      <w:r w:rsidRPr="00AD1C66">
        <w:rPr>
          <w:bCs/>
          <w:sz w:val="20"/>
          <w:szCs w:val="20"/>
        </w:rPr>
        <w:t>For a documented diagnosis of</w:t>
      </w:r>
      <w:r w:rsidRPr="00AD1C66">
        <w:rPr>
          <w:rFonts w:ascii="Times New Roman" w:hAnsi="Times New Roman"/>
          <w:bCs/>
        </w:rPr>
        <w:t xml:space="preserve"> </w:t>
      </w:r>
      <w:r w:rsidRPr="00AD1C66">
        <w:rPr>
          <w:bCs/>
          <w:sz w:val="20"/>
          <w:szCs w:val="20"/>
        </w:rPr>
        <w:t>unresectable or metastatic synovial sarcoma:</w:t>
      </w:r>
    </w:p>
    <w:p w14:paraId="70C25ED2" w14:textId="77777777" w:rsidR="008C3E6E" w:rsidRPr="00AD1C66" w:rsidRDefault="008C3E6E" w:rsidP="002D0F39">
      <w:pPr>
        <w:pStyle w:val="NoSpacing"/>
        <w:numPr>
          <w:ilvl w:val="1"/>
          <w:numId w:val="17"/>
        </w:numPr>
        <w:ind w:left="720"/>
        <w:rPr>
          <w:bCs/>
          <w:sz w:val="20"/>
          <w:szCs w:val="20"/>
        </w:rPr>
      </w:pPr>
      <w:r w:rsidRPr="00AD1C66">
        <w:rPr>
          <w:bCs/>
          <w:sz w:val="20"/>
          <w:szCs w:val="20"/>
        </w:rPr>
        <w:t>Claim is for Tecelra;</w:t>
      </w:r>
    </w:p>
    <w:p w14:paraId="6BBC8CF5" w14:textId="77777777" w:rsidR="008C3E6E" w:rsidRPr="00AD1C66" w:rsidRDefault="008C3E6E" w:rsidP="002D0F39">
      <w:pPr>
        <w:pStyle w:val="ListParagraph"/>
        <w:numPr>
          <w:ilvl w:val="1"/>
          <w:numId w:val="17"/>
        </w:numPr>
        <w:ind w:left="720"/>
        <w:rPr>
          <w:rFonts w:cs="Arial"/>
          <w:bCs/>
          <w:szCs w:val="20"/>
        </w:rPr>
      </w:pPr>
      <w:r w:rsidRPr="00AD1C66">
        <w:rPr>
          <w:rFonts w:cs="Arial"/>
          <w:bCs/>
          <w:szCs w:val="20"/>
        </w:rPr>
        <w:t>Participant is aged ≥ 18 years;</w:t>
      </w:r>
    </w:p>
    <w:p w14:paraId="3B7877C8" w14:textId="77777777" w:rsidR="008C3E6E" w:rsidRPr="00AD1C66" w:rsidRDefault="008C3E6E" w:rsidP="002D0F39">
      <w:pPr>
        <w:pStyle w:val="NoSpacing"/>
        <w:numPr>
          <w:ilvl w:val="1"/>
          <w:numId w:val="17"/>
        </w:numPr>
        <w:ind w:left="720"/>
        <w:rPr>
          <w:bCs/>
          <w:sz w:val="20"/>
          <w:szCs w:val="20"/>
        </w:rPr>
      </w:pPr>
      <w:r w:rsidRPr="00AD1C66">
        <w:rPr>
          <w:bCs/>
          <w:sz w:val="20"/>
          <w:szCs w:val="20"/>
        </w:rPr>
        <w:t>Participant is HLA-A*02:01P, -A*02:02P, -A*02:03P, or -A*02:06P positive and the tumor expresses the MAGE-A4 antigen as determined by FDA-approved or cleared companion diagnostic devices; AND</w:t>
      </w:r>
    </w:p>
    <w:p w14:paraId="40EF4F38" w14:textId="4DA15034" w:rsidR="006811A1" w:rsidRDefault="008C3E6E" w:rsidP="006811A1">
      <w:pPr>
        <w:pStyle w:val="NoSpacing"/>
        <w:numPr>
          <w:ilvl w:val="1"/>
          <w:numId w:val="17"/>
        </w:numPr>
        <w:ind w:left="720"/>
        <w:rPr>
          <w:bCs/>
          <w:sz w:val="20"/>
          <w:szCs w:val="20"/>
        </w:rPr>
      </w:pPr>
      <w:r w:rsidRPr="00AD1C66">
        <w:rPr>
          <w:bCs/>
          <w:sz w:val="20"/>
          <w:szCs w:val="20"/>
        </w:rPr>
        <w:t>Documentation of prior systemic chemotherapy with either doxorubicin or ifosfamide.</w:t>
      </w:r>
    </w:p>
    <w:p w14:paraId="7F190A9B" w14:textId="77777777" w:rsidR="006811A1" w:rsidRDefault="006811A1" w:rsidP="006811A1">
      <w:pPr>
        <w:pStyle w:val="NoSpacing"/>
        <w:ind w:left="720"/>
        <w:rPr>
          <w:bCs/>
          <w:sz w:val="20"/>
          <w:szCs w:val="20"/>
        </w:rPr>
      </w:pPr>
    </w:p>
    <w:p w14:paraId="7D1B9D45" w14:textId="28206159" w:rsidR="006811A1" w:rsidRPr="006811A1" w:rsidRDefault="006811A1" w:rsidP="006811A1">
      <w:pPr>
        <w:pStyle w:val="NoSpacing"/>
        <w:numPr>
          <w:ilvl w:val="0"/>
          <w:numId w:val="17"/>
        </w:numPr>
        <w:rPr>
          <w:b/>
          <w:color w:val="1F497D" w:themeColor="text2"/>
          <w:sz w:val="20"/>
          <w:szCs w:val="20"/>
        </w:rPr>
      </w:pPr>
      <w:r w:rsidRPr="006811A1">
        <w:rPr>
          <w:b/>
          <w:color w:val="1F497D" w:themeColor="text2"/>
          <w:sz w:val="20"/>
          <w:szCs w:val="20"/>
        </w:rPr>
        <w:t>For a documented diagnosis of relapsed or refractory marginal zone lymphoma (MZL):</w:t>
      </w:r>
    </w:p>
    <w:p w14:paraId="276D4E70" w14:textId="0160E12D" w:rsidR="006811A1" w:rsidRPr="006811A1" w:rsidRDefault="006811A1" w:rsidP="006811A1">
      <w:pPr>
        <w:pStyle w:val="NoSpacing"/>
        <w:numPr>
          <w:ilvl w:val="1"/>
          <w:numId w:val="17"/>
        </w:numPr>
        <w:ind w:left="720"/>
        <w:rPr>
          <w:b/>
          <w:color w:val="1F497D" w:themeColor="text2"/>
          <w:sz w:val="20"/>
          <w:szCs w:val="20"/>
        </w:rPr>
      </w:pPr>
      <w:r w:rsidRPr="006811A1">
        <w:rPr>
          <w:b/>
          <w:color w:val="1F497D" w:themeColor="text2"/>
          <w:sz w:val="20"/>
          <w:szCs w:val="20"/>
        </w:rPr>
        <w:t xml:space="preserve">Claim is for Breyanzi; </w:t>
      </w:r>
    </w:p>
    <w:p w14:paraId="2766E798" w14:textId="32688A96" w:rsidR="006811A1" w:rsidRPr="006811A1" w:rsidRDefault="006811A1" w:rsidP="006811A1">
      <w:pPr>
        <w:pStyle w:val="NoSpacing"/>
        <w:numPr>
          <w:ilvl w:val="1"/>
          <w:numId w:val="17"/>
        </w:numPr>
        <w:ind w:left="720"/>
        <w:rPr>
          <w:b/>
          <w:color w:val="1F497D" w:themeColor="text2"/>
          <w:sz w:val="20"/>
          <w:szCs w:val="20"/>
        </w:rPr>
      </w:pPr>
      <w:r w:rsidRPr="006811A1">
        <w:rPr>
          <w:b/>
          <w:color w:val="1F497D" w:themeColor="text2"/>
          <w:sz w:val="20"/>
          <w:szCs w:val="20"/>
        </w:rPr>
        <w:t>Participant is aged ≥ 18 years; AND</w:t>
      </w:r>
    </w:p>
    <w:p w14:paraId="3DA13CA4" w14:textId="6C3E118E" w:rsidR="006811A1" w:rsidRPr="006811A1" w:rsidRDefault="006811A1" w:rsidP="006811A1">
      <w:pPr>
        <w:pStyle w:val="NoSpacing"/>
        <w:numPr>
          <w:ilvl w:val="1"/>
          <w:numId w:val="17"/>
        </w:numPr>
        <w:ind w:left="720"/>
        <w:rPr>
          <w:b/>
          <w:color w:val="1F497D" w:themeColor="text2"/>
          <w:sz w:val="20"/>
          <w:szCs w:val="20"/>
        </w:rPr>
      </w:pPr>
      <w:r w:rsidRPr="006811A1">
        <w:rPr>
          <w:b/>
          <w:color w:val="1F497D" w:themeColor="text2"/>
          <w:sz w:val="20"/>
          <w:szCs w:val="20"/>
        </w:rPr>
        <w:t>Documentation of two or more previous lines of systemic therapy.</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lastRenderedPageBreak/>
        <w:t>Denial Criteria</w:t>
      </w:r>
    </w:p>
    <w:p w14:paraId="5FF112EB" w14:textId="77777777" w:rsidR="00EF6098" w:rsidRDefault="00EF6098" w:rsidP="00EF6098">
      <w:pPr>
        <w:pStyle w:val="ListParagraph"/>
        <w:numPr>
          <w:ilvl w:val="0"/>
          <w:numId w:val="18"/>
        </w:numPr>
        <w:rPr>
          <w:rFonts w:cs="Arial"/>
          <w:noProof/>
          <w:szCs w:val="20"/>
        </w:rPr>
      </w:pPr>
      <w:bookmarkStart w:id="1" w:name="_Hlk67065115"/>
      <w:r>
        <w:rPr>
          <w:rFonts w:cs="Arial"/>
          <w:noProof/>
          <w:szCs w:val="20"/>
        </w:rPr>
        <w:t>Therapy will deny with presence of one of the following:</w:t>
      </w:r>
    </w:p>
    <w:p w14:paraId="3E6F9990" w14:textId="77777777" w:rsidR="00EF6098" w:rsidRDefault="00EF6098" w:rsidP="00EF6098">
      <w:pPr>
        <w:pStyle w:val="ListParagraph"/>
        <w:numPr>
          <w:ilvl w:val="1"/>
          <w:numId w:val="18"/>
        </w:numPr>
        <w:tabs>
          <w:tab w:val="left" w:pos="720"/>
        </w:tabs>
        <w:rPr>
          <w:rFonts w:cs="Arial"/>
          <w:noProof/>
          <w:szCs w:val="20"/>
        </w:rPr>
      </w:pPr>
      <w:r>
        <w:rPr>
          <w:rFonts w:cs="Arial"/>
          <w:noProof/>
          <w:szCs w:val="20"/>
        </w:rPr>
        <w:t>If any approval criteria are not met;</w:t>
      </w:r>
    </w:p>
    <w:p w14:paraId="5A62FB22" w14:textId="77777777" w:rsidR="00EF6098" w:rsidRPr="00C61996" w:rsidRDefault="00EF6098" w:rsidP="00EF6098">
      <w:pPr>
        <w:pStyle w:val="ListParagraph"/>
        <w:numPr>
          <w:ilvl w:val="1"/>
          <w:numId w:val="18"/>
        </w:numPr>
        <w:tabs>
          <w:tab w:val="left" w:pos="720"/>
        </w:tabs>
        <w:rPr>
          <w:rFonts w:cs="Arial"/>
          <w:noProof/>
          <w:szCs w:val="20"/>
        </w:rPr>
      </w:pPr>
      <w:r w:rsidRPr="00C61996">
        <w:rPr>
          <w:rFonts w:cs="Arial"/>
          <w:noProof/>
          <w:szCs w:val="20"/>
        </w:rPr>
        <w:t>Participant is currently pregnant</w:t>
      </w:r>
      <w:r>
        <w:rPr>
          <w:rFonts w:cs="Arial"/>
          <w:noProof/>
          <w:szCs w:val="20"/>
        </w:rPr>
        <w:t>;</w:t>
      </w:r>
    </w:p>
    <w:p w14:paraId="22492EAE" w14:textId="77777777" w:rsidR="00EF6098" w:rsidRDefault="00EF6098" w:rsidP="00EF6098">
      <w:pPr>
        <w:pStyle w:val="ListParagraph"/>
        <w:numPr>
          <w:ilvl w:val="1"/>
          <w:numId w:val="18"/>
        </w:numPr>
        <w:tabs>
          <w:tab w:val="left" w:pos="720"/>
        </w:tabs>
        <w:rPr>
          <w:rFonts w:cs="Arial"/>
          <w:noProof/>
          <w:szCs w:val="20"/>
        </w:rPr>
      </w:pPr>
      <w:r>
        <w:rPr>
          <w:rFonts w:cs="Arial"/>
          <w:noProof/>
          <w:szCs w:val="20"/>
        </w:rPr>
        <w:t xml:space="preserve">Previous </w:t>
      </w:r>
      <w:r w:rsidRPr="00EF6098">
        <w:rPr>
          <w:rFonts w:cs="Arial"/>
          <w:noProof/>
          <w:szCs w:val="20"/>
        </w:rPr>
        <w:t>T-Cell Immunotherapy</w:t>
      </w:r>
      <w:r>
        <w:rPr>
          <w:rFonts w:cs="Arial"/>
          <w:noProof/>
          <w:szCs w:val="20"/>
        </w:rPr>
        <w:t xml:space="preserve">; </w:t>
      </w:r>
      <w:r w:rsidRPr="005E3BF2">
        <w:rPr>
          <w:rFonts w:cs="Arial"/>
          <w:b/>
          <w:bCs/>
          <w:noProof/>
          <w:szCs w:val="20"/>
        </w:rPr>
        <w:t>OR</w:t>
      </w:r>
    </w:p>
    <w:p w14:paraId="6C908F31" w14:textId="77777777" w:rsidR="00EF6098" w:rsidRDefault="00EF6098" w:rsidP="00EF6098">
      <w:pPr>
        <w:pStyle w:val="ListParagraph"/>
        <w:numPr>
          <w:ilvl w:val="1"/>
          <w:numId w:val="18"/>
        </w:numPr>
        <w:tabs>
          <w:tab w:val="left" w:pos="720"/>
        </w:tabs>
        <w:rPr>
          <w:rFonts w:cs="Arial"/>
          <w:bCs/>
          <w:noProof/>
          <w:szCs w:val="20"/>
        </w:rPr>
      </w:pPr>
      <w:r w:rsidRPr="00264F7A">
        <w:rPr>
          <w:rFonts w:cs="Arial"/>
          <w:bCs/>
          <w:noProof/>
          <w:szCs w:val="20"/>
        </w:rPr>
        <w:t>Participant has an active infection or inflammatory disorder</w:t>
      </w:r>
      <w:r>
        <w:rPr>
          <w:rFonts w:cs="Arial"/>
          <w:bCs/>
          <w:noProof/>
          <w:szCs w:val="20"/>
        </w:rPr>
        <w:t>.</w:t>
      </w:r>
    </w:p>
    <w:p w14:paraId="00D23DAC" w14:textId="77777777" w:rsidR="00EF6098" w:rsidRPr="00EF6098" w:rsidRDefault="00EF6098" w:rsidP="00EF6098">
      <w:pPr>
        <w:pStyle w:val="ListParagraph"/>
        <w:numPr>
          <w:ilvl w:val="0"/>
          <w:numId w:val="18"/>
        </w:numPr>
        <w:tabs>
          <w:tab w:val="left" w:pos="720"/>
        </w:tabs>
        <w:rPr>
          <w:rFonts w:cs="Arial"/>
          <w:bCs/>
          <w:noProof/>
          <w:szCs w:val="20"/>
        </w:rPr>
      </w:pPr>
      <w:r w:rsidRPr="00EF6098">
        <w:rPr>
          <w:rFonts w:cs="Arial"/>
          <w:bCs/>
          <w:noProof/>
          <w:szCs w:val="20"/>
        </w:rPr>
        <w:t>Additional denial criteria for Tecelra:</w:t>
      </w:r>
    </w:p>
    <w:p w14:paraId="1C948E22" w14:textId="77777777" w:rsidR="00EF6098" w:rsidRDefault="00EF6098" w:rsidP="00EF6098">
      <w:pPr>
        <w:pStyle w:val="ListParagraph"/>
        <w:numPr>
          <w:ilvl w:val="1"/>
          <w:numId w:val="18"/>
        </w:numPr>
        <w:tabs>
          <w:tab w:val="left" w:pos="720"/>
        </w:tabs>
        <w:rPr>
          <w:rFonts w:cs="Arial"/>
          <w:bCs/>
          <w:noProof/>
          <w:szCs w:val="20"/>
        </w:rPr>
      </w:pPr>
      <w:r w:rsidRPr="00EF6098">
        <w:rPr>
          <w:rFonts w:cs="Arial"/>
          <w:bCs/>
          <w:noProof/>
          <w:szCs w:val="20"/>
        </w:rPr>
        <w:t>Participant is heterozygous or homozygous for HLA-A*02:05P.</w:t>
      </w:r>
    </w:p>
    <w:p w14:paraId="6B510D03" w14:textId="77777777" w:rsidR="00E61C78" w:rsidRPr="00EF6098" w:rsidRDefault="00E61C78" w:rsidP="00E61C78">
      <w:pPr>
        <w:pStyle w:val="ListParagraph"/>
        <w:numPr>
          <w:ilvl w:val="0"/>
          <w:numId w:val="0"/>
        </w:numPr>
        <w:tabs>
          <w:tab w:val="left" w:pos="720"/>
        </w:tabs>
        <w:ind w:left="720"/>
        <w:rPr>
          <w:rFonts w:cs="Arial"/>
          <w:bCs/>
          <w:noProof/>
          <w:szCs w:val="20"/>
        </w:rPr>
      </w:pPr>
    </w:p>
    <w:bookmarkEnd w:id="1"/>
    <w:p w14:paraId="536A79B8" w14:textId="40FE1729" w:rsidR="00E61C78" w:rsidRDefault="00E61C78" w:rsidP="00E61C78">
      <w:pPr>
        <w:pStyle w:val="Heading1"/>
        <w:rPr>
          <w:lang w:val="en-US"/>
        </w:rPr>
      </w:pPr>
      <w:r>
        <w:rPr>
          <w:lang w:val="en-US"/>
        </w:rPr>
        <w:t>Appendix A</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520"/>
        <w:gridCol w:w="3690"/>
      </w:tblGrid>
      <w:tr w:rsidR="003209D7" w:rsidRPr="008037BE" w14:paraId="6DDE5192" w14:textId="77777777" w:rsidTr="00166317">
        <w:trPr>
          <w:cantSplit/>
          <w:trHeight w:val="20"/>
          <w:jc w:val="center"/>
        </w:trPr>
        <w:tc>
          <w:tcPr>
            <w:tcW w:w="3145" w:type="dxa"/>
            <w:shd w:val="clear" w:color="auto" w:fill="FABF8F" w:themeFill="accent6" w:themeFillTint="99"/>
            <w:vAlign w:val="center"/>
            <w:hideMark/>
          </w:tcPr>
          <w:p w14:paraId="6EED231A" w14:textId="77777777" w:rsidR="003209D7" w:rsidRPr="008037BE" w:rsidRDefault="003209D7" w:rsidP="00166317">
            <w:pPr>
              <w:jc w:val="center"/>
              <w:rPr>
                <w:rFonts w:cs="Arial"/>
                <w:b/>
                <w:bCs/>
                <w:szCs w:val="20"/>
              </w:rPr>
            </w:pPr>
            <w:r>
              <w:rPr>
                <w:rFonts w:cs="Arial"/>
                <w:b/>
                <w:bCs/>
                <w:szCs w:val="20"/>
              </w:rPr>
              <w:t>T-cell Immunotherapy</w:t>
            </w:r>
          </w:p>
        </w:tc>
        <w:tc>
          <w:tcPr>
            <w:tcW w:w="2520" w:type="dxa"/>
            <w:shd w:val="clear" w:color="auto" w:fill="FABF8F" w:themeFill="accent6" w:themeFillTint="99"/>
            <w:vAlign w:val="center"/>
            <w:hideMark/>
          </w:tcPr>
          <w:p w14:paraId="1A688BDE" w14:textId="77777777" w:rsidR="003209D7" w:rsidRPr="008037BE" w:rsidRDefault="003209D7" w:rsidP="00166317">
            <w:pPr>
              <w:jc w:val="center"/>
              <w:rPr>
                <w:rFonts w:cs="Arial"/>
                <w:b/>
                <w:bCs/>
                <w:szCs w:val="20"/>
              </w:rPr>
            </w:pPr>
            <w:r w:rsidRPr="008037BE">
              <w:rPr>
                <w:rFonts w:cs="Arial"/>
                <w:b/>
                <w:bCs/>
                <w:szCs w:val="20"/>
              </w:rPr>
              <w:t>Brand</w:t>
            </w:r>
          </w:p>
        </w:tc>
        <w:tc>
          <w:tcPr>
            <w:tcW w:w="3690" w:type="dxa"/>
            <w:shd w:val="clear" w:color="auto" w:fill="FABF8F" w:themeFill="accent6" w:themeFillTint="99"/>
            <w:vAlign w:val="center"/>
            <w:hideMark/>
          </w:tcPr>
          <w:p w14:paraId="37CA7B05" w14:textId="77777777" w:rsidR="003209D7" w:rsidRPr="008037BE" w:rsidRDefault="003209D7" w:rsidP="00166317">
            <w:pPr>
              <w:jc w:val="center"/>
              <w:rPr>
                <w:rFonts w:cs="Arial"/>
                <w:b/>
                <w:bCs/>
                <w:szCs w:val="20"/>
              </w:rPr>
            </w:pPr>
            <w:r w:rsidRPr="008037BE">
              <w:rPr>
                <w:rFonts w:cs="Arial"/>
                <w:b/>
                <w:bCs/>
                <w:szCs w:val="20"/>
              </w:rPr>
              <w:t>Indication</w:t>
            </w:r>
          </w:p>
        </w:tc>
      </w:tr>
      <w:tr w:rsidR="003209D7" w:rsidRPr="008037BE" w14:paraId="6E13BEA7" w14:textId="77777777" w:rsidTr="00166317">
        <w:trPr>
          <w:cantSplit/>
          <w:trHeight w:val="20"/>
          <w:jc w:val="center"/>
        </w:trPr>
        <w:tc>
          <w:tcPr>
            <w:tcW w:w="3145" w:type="dxa"/>
            <w:noWrap/>
            <w:vAlign w:val="center"/>
          </w:tcPr>
          <w:p w14:paraId="04EC3751" w14:textId="77777777" w:rsidR="003209D7" w:rsidRPr="003209D7" w:rsidRDefault="003209D7" w:rsidP="00166317">
            <w:pPr>
              <w:jc w:val="center"/>
              <w:rPr>
                <w:rFonts w:cs="Arial"/>
                <w:szCs w:val="20"/>
              </w:rPr>
            </w:pPr>
            <w:r w:rsidRPr="003209D7">
              <w:rPr>
                <w:rFonts w:cs="Arial"/>
                <w:szCs w:val="20"/>
              </w:rPr>
              <w:t>afamitresgene autoleucel</w:t>
            </w:r>
          </w:p>
        </w:tc>
        <w:tc>
          <w:tcPr>
            <w:tcW w:w="2520" w:type="dxa"/>
            <w:noWrap/>
            <w:vAlign w:val="center"/>
          </w:tcPr>
          <w:p w14:paraId="7512D9D7" w14:textId="77777777" w:rsidR="003209D7" w:rsidRPr="003209D7" w:rsidRDefault="003209D7" w:rsidP="00166317">
            <w:pPr>
              <w:jc w:val="center"/>
              <w:rPr>
                <w:rFonts w:cs="Arial"/>
                <w:szCs w:val="20"/>
              </w:rPr>
            </w:pPr>
            <w:r w:rsidRPr="003209D7">
              <w:rPr>
                <w:rFonts w:cs="Arial"/>
                <w:szCs w:val="20"/>
              </w:rPr>
              <w:t>Tecelra</w:t>
            </w:r>
            <w:r w:rsidRPr="003209D7">
              <w:rPr>
                <w:rFonts w:cs="Arial"/>
                <w:szCs w:val="20"/>
                <w:vertAlign w:val="superscript"/>
              </w:rPr>
              <w:t>®</w:t>
            </w:r>
          </w:p>
        </w:tc>
        <w:tc>
          <w:tcPr>
            <w:tcW w:w="3690" w:type="dxa"/>
            <w:vAlign w:val="center"/>
          </w:tcPr>
          <w:p w14:paraId="6F3C0EE1" w14:textId="77777777" w:rsidR="003209D7" w:rsidRPr="003209D7" w:rsidRDefault="003209D7" w:rsidP="00166317">
            <w:pPr>
              <w:pStyle w:val="ListParagraph"/>
              <w:numPr>
                <w:ilvl w:val="0"/>
                <w:numId w:val="19"/>
              </w:numPr>
              <w:ind w:left="159" w:hanging="159"/>
              <w:rPr>
                <w:rFonts w:cs="Arial"/>
                <w:szCs w:val="20"/>
              </w:rPr>
            </w:pPr>
            <w:r w:rsidRPr="003209D7">
              <w:rPr>
                <w:rFonts w:cs="Arial"/>
                <w:szCs w:val="20"/>
              </w:rPr>
              <w:t>Synovial sarcoma</w:t>
            </w:r>
          </w:p>
        </w:tc>
      </w:tr>
      <w:tr w:rsidR="003209D7" w:rsidRPr="008037BE" w14:paraId="542C6FC6" w14:textId="77777777" w:rsidTr="00166317">
        <w:trPr>
          <w:cantSplit/>
          <w:trHeight w:val="20"/>
          <w:jc w:val="center"/>
        </w:trPr>
        <w:tc>
          <w:tcPr>
            <w:tcW w:w="3145" w:type="dxa"/>
            <w:noWrap/>
            <w:vAlign w:val="center"/>
          </w:tcPr>
          <w:p w14:paraId="068602AF" w14:textId="77777777" w:rsidR="003209D7" w:rsidRPr="00F41F2A" w:rsidRDefault="003209D7" w:rsidP="00166317">
            <w:pPr>
              <w:jc w:val="center"/>
              <w:rPr>
                <w:rFonts w:cs="Arial"/>
                <w:caps/>
                <w:spacing w:val="-3"/>
                <w:szCs w:val="20"/>
              </w:rPr>
            </w:pPr>
            <w:r w:rsidRPr="00F41F2A">
              <w:rPr>
                <w:rFonts w:cs="Arial"/>
                <w:szCs w:val="20"/>
              </w:rPr>
              <w:t>axicabtagene ciloleucel</w:t>
            </w:r>
          </w:p>
        </w:tc>
        <w:tc>
          <w:tcPr>
            <w:tcW w:w="2520" w:type="dxa"/>
            <w:noWrap/>
            <w:vAlign w:val="center"/>
          </w:tcPr>
          <w:p w14:paraId="5E21AA58" w14:textId="77777777" w:rsidR="003209D7" w:rsidRPr="00AF227C" w:rsidRDefault="003209D7" w:rsidP="00166317">
            <w:pPr>
              <w:jc w:val="center"/>
              <w:rPr>
                <w:rFonts w:cs="Arial"/>
                <w:color w:val="000000"/>
                <w:szCs w:val="20"/>
              </w:rPr>
            </w:pPr>
            <w:r w:rsidRPr="00AF227C">
              <w:rPr>
                <w:rFonts w:cs="Arial"/>
                <w:szCs w:val="20"/>
              </w:rPr>
              <w:t>Yescarta</w:t>
            </w:r>
            <w:r w:rsidRPr="00AF227C">
              <w:rPr>
                <w:rFonts w:cs="Arial"/>
                <w:szCs w:val="20"/>
                <w:vertAlign w:val="superscript"/>
              </w:rPr>
              <w:t>®</w:t>
            </w:r>
          </w:p>
        </w:tc>
        <w:tc>
          <w:tcPr>
            <w:tcW w:w="3690" w:type="dxa"/>
            <w:vAlign w:val="center"/>
          </w:tcPr>
          <w:p w14:paraId="4C90E9B4" w14:textId="77777777" w:rsidR="003209D7" w:rsidRPr="0080215D" w:rsidRDefault="003209D7" w:rsidP="00166317">
            <w:pPr>
              <w:pStyle w:val="ListParagraph"/>
              <w:numPr>
                <w:ilvl w:val="0"/>
                <w:numId w:val="19"/>
              </w:numPr>
              <w:ind w:left="159" w:hanging="159"/>
              <w:rPr>
                <w:rFonts w:cs="Arial"/>
                <w:color w:val="000000"/>
                <w:szCs w:val="20"/>
              </w:rPr>
            </w:pPr>
            <w:r>
              <w:rPr>
                <w:rFonts w:cs="Arial"/>
                <w:color w:val="000000"/>
                <w:szCs w:val="20"/>
              </w:rPr>
              <w:t>F</w:t>
            </w:r>
            <w:r w:rsidRPr="00E146DC">
              <w:rPr>
                <w:rFonts w:cs="Arial"/>
                <w:color w:val="000000"/>
                <w:szCs w:val="20"/>
              </w:rPr>
              <w:t>ollicular lymphoma</w:t>
            </w:r>
          </w:p>
          <w:p w14:paraId="6E628244" w14:textId="77777777" w:rsidR="003209D7" w:rsidRPr="0080215D" w:rsidRDefault="003209D7" w:rsidP="00166317">
            <w:pPr>
              <w:pStyle w:val="ListParagraph"/>
              <w:numPr>
                <w:ilvl w:val="0"/>
                <w:numId w:val="19"/>
              </w:numPr>
              <w:ind w:left="159" w:hanging="159"/>
              <w:rPr>
                <w:rFonts w:cs="Arial"/>
                <w:color w:val="000000"/>
                <w:szCs w:val="20"/>
              </w:rPr>
            </w:pPr>
            <w:r>
              <w:rPr>
                <w:rFonts w:cs="Arial"/>
                <w:color w:val="000000"/>
                <w:szCs w:val="20"/>
              </w:rPr>
              <w:t>Large B-cell lymphoma</w:t>
            </w:r>
          </w:p>
        </w:tc>
      </w:tr>
      <w:tr w:rsidR="003209D7" w:rsidRPr="008037BE" w14:paraId="5CA461B4" w14:textId="77777777" w:rsidTr="00166317">
        <w:trPr>
          <w:cantSplit/>
          <w:trHeight w:val="20"/>
          <w:jc w:val="center"/>
        </w:trPr>
        <w:tc>
          <w:tcPr>
            <w:tcW w:w="3145" w:type="dxa"/>
            <w:noWrap/>
            <w:vAlign w:val="center"/>
          </w:tcPr>
          <w:p w14:paraId="47C8EF8C" w14:textId="77777777" w:rsidR="003209D7" w:rsidRPr="00F41F2A" w:rsidRDefault="003209D7" w:rsidP="00166317">
            <w:pPr>
              <w:jc w:val="center"/>
              <w:rPr>
                <w:rFonts w:cs="Arial"/>
                <w:bCs/>
                <w:caps/>
                <w:spacing w:val="-3"/>
                <w:szCs w:val="20"/>
              </w:rPr>
            </w:pPr>
            <w:r w:rsidRPr="00F41F2A">
              <w:rPr>
                <w:rFonts w:cs="Arial"/>
                <w:szCs w:val="20"/>
              </w:rPr>
              <w:t>brexucabtagene autoleucel</w:t>
            </w:r>
          </w:p>
        </w:tc>
        <w:tc>
          <w:tcPr>
            <w:tcW w:w="2520" w:type="dxa"/>
            <w:noWrap/>
            <w:vAlign w:val="center"/>
          </w:tcPr>
          <w:p w14:paraId="029AA7ED" w14:textId="77777777" w:rsidR="003209D7" w:rsidRPr="00AF227C" w:rsidRDefault="003209D7" w:rsidP="00166317">
            <w:pPr>
              <w:jc w:val="center"/>
              <w:rPr>
                <w:rFonts w:cs="Arial"/>
                <w:color w:val="000000"/>
                <w:szCs w:val="20"/>
              </w:rPr>
            </w:pPr>
            <w:r w:rsidRPr="00AF227C">
              <w:rPr>
                <w:rFonts w:cs="Arial"/>
                <w:szCs w:val="20"/>
              </w:rPr>
              <w:t>Tecartus</w:t>
            </w:r>
            <w:r w:rsidRPr="00AF227C">
              <w:rPr>
                <w:rFonts w:cs="Arial"/>
                <w:szCs w:val="20"/>
                <w:vertAlign w:val="superscript"/>
              </w:rPr>
              <w:t>®</w:t>
            </w:r>
          </w:p>
        </w:tc>
        <w:tc>
          <w:tcPr>
            <w:tcW w:w="3690" w:type="dxa"/>
            <w:vAlign w:val="center"/>
          </w:tcPr>
          <w:p w14:paraId="0228EF51" w14:textId="77777777" w:rsidR="003209D7" w:rsidRDefault="003209D7" w:rsidP="00166317">
            <w:pPr>
              <w:pStyle w:val="ListParagraph"/>
              <w:numPr>
                <w:ilvl w:val="0"/>
                <w:numId w:val="19"/>
              </w:numPr>
              <w:ind w:left="159" w:hanging="159"/>
              <w:rPr>
                <w:rFonts w:cs="Arial"/>
                <w:color w:val="000000"/>
                <w:szCs w:val="20"/>
              </w:rPr>
            </w:pPr>
            <w:r w:rsidRPr="007008EC">
              <w:rPr>
                <w:rFonts w:cs="Arial"/>
                <w:color w:val="000000"/>
                <w:szCs w:val="20"/>
              </w:rPr>
              <w:t>B-cell precursor acute lymphoblastic leukemia</w:t>
            </w:r>
          </w:p>
          <w:p w14:paraId="77719D17" w14:textId="77777777" w:rsidR="003209D7" w:rsidRPr="00DD4020" w:rsidRDefault="003209D7" w:rsidP="00166317">
            <w:pPr>
              <w:pStyle w:val="ListParagraph"/>
              <w:numPr>
                <w:ilvl w:val="0"/>
                <w:numId w:val="19"/>
              </w:numPr>
              <w:ind w:left="159" w:hanging="159"/>
              <w:rPr>
                <w:rFonts w:cs="Arial"/>
                <w:color w:val="000000"/>
                <w:szCs w:val="20"/>
              </w:rPr>
            </w:pPr>
            <w:r>
              <w:rPr>
                <w:rFonts w:cs="Arial"/>
                <w:color w:val="000000"/>
                <w:szCs w:val="20"/>
              </w:rPr>
              <w:t>M</w:t>
            </w:r>
            <w:r w:rsidRPr="00E146DC">
              <w:rPr>
                <w:rFonts w:cs="Arial"/>
                <w:color w:val="000000"/>
                <w:szCs w:val="20"/>
              </w:rPr>
              <w:t>antle cell lymphoma</w:t>
            </w:r>
          </w:p>
        </w:tc>
      </w:tr>
      <w:tr w:rsidR="003209D7" w:rsidRPr="008037BE" w14:paraId="4081BD0C" w14:textId="77777777" w:rsidTr="00166317">
        <w:trPr>
          <w:cantSplit/>
          <w:trHeight w:val="20"/>
          <w:jc w:val="center"/>
        </w:trPr>
        <w:tc>
          <w:tcPr>
            <w:tcW w:w="3145" w:type="dxa"/>
            <w:noWrap/>
            <w:vAlign w:val="center"/>
          </w:tcPr>
          <w:p w14:paraId="29450D62" w14:textId="77777777" w:rsidR="003209D7" w:rsidRPr="00F41F2A" w:rsidRDefault="003209D7" w:rsidP="00166317">
            <w:pPr>
              <w:jc w:val="center"/>
              <w:rPr>
                <w:rFonts w:cs="Arial"/>
                <w:caps/>
                <w:spacing w:val="-3"/>
                <w:szCs w:val="20"/>
              </w:rPr>
            </w:pPr>
            <w:r w:rsidRPr="00F41F2A">
              <w:rPr>
                <w:rFonts w:cs="Arial"/>
                <w:szCs w:val="20"/>
              </w:rPr>
              <w:t>ciltacabtagene autoleucel</w:t>
            </w:r>
          </w:p>
        </w:tc>
        <w:tc>
          <w:tcPr>
            <w:tcW w:w="2520" w:type="dxa"/>
            <w:noWrap/>
            <w:vAlign w:val="center"/>
          </w:tcPr>
          <w:p w14:paraId="591F3E05" w14:textId="77777777" w:rsidR="003209D7" w:rsidRPr="00AF227C" w:rsidRDefault="003209D7" w:rsidP="00166317">
            <w:pPr>
              <w:jc w:val="center"/>
              <w:rPr>
                <w:rFonts w:cs="Arial"/>
                <w:color w:val="000000"/>
                <w:szCs w:val="20"/>
              </w:rPr>
            </w:pPr>
            <w:r w:rsidRPr="00AF227C">
              <w:rPr>
                <w:rFonts w:cs="Arial"/>
                <w:szCs w:val="20"/>
              </w:rPr>
              <w:t>Carvykti</w:t>
            </w:r>
            <w:r w:rsidRPr="00AF227C">
              <w:rPr>
                <w:rFonts w:cs="Arial"/>
                <w:szCs w:val="20"/>
                <w:vertAlign w:val="superscript"/>
              </w:rPr>
              <w:t>®</w:t>
            </w:r>
          </w:p>
        </w:tc>
        <w:tc>
          <w:tcPr>
            <w:tcW w:w="3690" w:type="dxa"/>
            <w:vAlign w:val="center"/>
          </w:tcPr>
          <w:p w14:paraId="1E9B225B" w14:textId="77777777" w:rsidR="003209D7" w:rsidRPr="008037BE" w:rsidRDefault="003209D7" w:rsidP="00166317">
            <w:pPr>
              <w:pStyle w:val="ListParagraph"/>
              <w:numPr>
                <w:ilvl w:val="0"/>
                <w:numId w:val="19"/>
              </w:numPr>
              <w:ind w:left="159" w:hanging="159"/>
              <w:rPr>
                <w:rFonts w:cs="Arial"/>
                <w:color w:val="000000"/>
                <w:szCs w:val="20"/>
              </w:rPr>
            </w:pPr>
            <w:r>
              <w:rPr>
                <w:rFonts w:cs="Arial"/>
                <w:color w:val="000000"/>
                <w:szCs w:val="20"/>
              </w:rPr>
              <w:t>Multiple myeloma</w:t>
            </w:r>
          </w:p>
        </w:tc>
      </w:tr>
      <w:tr w:rsidR="003209D7" w:rsidRPr="008037BE" w14:paraId="78C90C2A" w14:textId="77777777" w:rsidTr="00166317">
        <w:trPr>
          <w:cantSplit/>
          <w:trHeight w:val="20"/>
          <w:jc w:val="center"/>
        </w:trPr>
        <w:tc>
          <w:tcPr>
            <w:tcW w:w="3145" w:type="dxa"/>
            <w:noWrap/>
            <w:vAlign w:val="center"/>
          </w:tcPr>
          <w:p w14:paraId="4C3E53D8" w14:textId="77777777" w:rsidR="003209D7" w:rsidRPr="00F41F2A" w:rsidRDefault="003209D7" w:rsidP="00166317">
            <w:pPr>
              <w:jc w:val="center"/>
              <w:rPr>
                <w:rFonts w:cs="Arial"/>
                <w:color w:val="000000"/>
                <w:szCs w:val="20"/>
              </w:rPr>
            </w:pPr>
            <w:r w:rsidRPr="00F41F2A">
              <w:rPr>
                <w:rFonts w:cs="Arial"/>
                <w:color w:val="000000"/>
                <w:szCs w:val="20"/>
              </w:rPr>
              <w:t>idecabtagene vicleucel</w:t>
            </w:r>
          </w:p>
        </w:tc>
        <w:tc>
          <w:tcPr>
            <w:tcW w:w="2520" w:type="dxa"/>
            <w:noWrap/>
            <w:vAlign w:val="center"/>
            <w:hideMark/>
          </w:tcPr>
          <w:p w14:paraId="0E23612F" w14:textId="77777777" w:rsidR="003209D7" w:rsidRPr="008037BE" w:rsidRDefault="003209D7" w:rsidP="00166317">
            <w:pPr>
              <w:jc w:val="center"/>
              <w:rPr>
                <w:rFonts w:cs="Arial"/>
                <w:color w:val="000000"/>
                <w:szCs w:val="20"/>
              </w:rPr>
            </w:pPr>
            <w:r w:rsidRPr="00C858B0">
              <w:rPr>
                <w:rFonts w:cs="Arial"/>
                <w:szCs w:val="20"/>
              </w:rPr>
              <w:t>Abecma</w:t>
            </w:r>
            <w:r w:rsidRPr="00C858B0">
              <w:rPr>
                <w:rFonts w:cs="Arial"/>
                <w:b/>
                <w:bCs/>
                <w:szCs w:val="20"/>
                <w:vertAlign w:val="superscript"/>
              </w:rPr>
              <w:t>®</w:t>
            </w:r>
          </w:p>
        </w:tc>
        <w:tc>
          <w:tcPr>
            <w:tcW w:w="3690" w:type="dxa"/>
            <w:vAlign w:val="center"/>
            <w:hideMark/>
          </w:tcPr>
          <w:p w14:paraId="7E540822" w14:textId="77777777" w:rsidR="003209D7" w:rsidRPr="008037BE" w:rsidRDefault="003209D7" w:rsidP="00166317">
            <w:pPr>
              <w:pStyle w:val="ListParagraph"/>
              <w:numPr>
                <w:ilvl w:val="0"/>
                <w:numId w:val="19"/>
              </w:numPr>
              <w:ind w:left="159" w:hanging="159"/>
              <w:rPr>
                <w:rFonts w:cs="Arial"/>
                <w:color w:val="000000"/>
                <w:szCs w:val="20"/>
              </w:rPr>
            </w:pPr>
            <w:r>
              <w:rPr>
                <w:rFonts w:cs="Arial"/>
                <w:color w:val="000000"/>
                <w:szCs w:val="20"/>
              </w:rPr>
              <w:t>Multiple myeloma</w:t>
            </w:r>
          </w:p>
        </w:tc>
      </w:tr>
      <w:tr w:rsidR="003209D7" w:rsidRPr="008037BE" w14:paraId="31BD2A65" w14:textId="77777777" w:rsidTr="00166317">
        <w:trPr>
          <w:cantSplit/>
          <w:trHeight w:val="20"/>
          <w:jc w:val="center"/>
        </w:trPr>
        <w:tc>
          <w:tcPr>
            <w:tcW w:w="3145" w:type="dxa"/>
            <w:noWrap/>
            <w:vAlign w:val="center"/>
          </w:tcPr>
          <w:p w14:paraId="53E4A55C" w14:textId="77777777" w:rsidR="003209D7" w:rsidRPr="00F41F2A" w:rsidRDefault="003209D7" w:rsidP="00166317">
            <w:pPr>
              <w:jc w:val="center"/>
              <w:rPr>
                <w:rFonts w:cs="Arial"/>
                <w:caps/>
                <w:spacing w:val="-3"/>
                <w:szCs w:val="20"/>
              </w:rPr>
            </w:pPr>
            <w:r w:rsidRPr="00F41F2A">
              <w:rPr>
                <w:rFonts w:cs="Arial"/>
                <w:szCs w:val="20"/>
              </w:rPr>
              <w:t>lisocabtagene maraleucel</w:t>
            </w:r>
          </w:p>
        </w:tc>
        <w:tc>
          <w:tcPr>
            <w:tcW w:w="2520" w:type="dxa"/>
            <w:noWrap/>
            <w:vAlign w:val="center"/>
          </w:tcPr>
          <w:p w14:paraId="05A8AF3D" w14:textId="77777777" w:rsidR="003209D7" w:rsidRPr="00C858B0" w:rsidRDefault="003209D7" w:rsidP="00166317">
            <w:pPr>
              <w:jc w:val="center"/>
              <w:rPr>
                <w:rFonts w:cs="Arial"/>
                <w:color w:val="000000"/>
                <w:szCs w:val="20"/>
              </w:rPr>
            </w:pPr>
            <w:r w:rsidRPr="00C858B0">
              <w:rPr>
                <w:rFonts w:cs="Arial"/>
                <w:szCs w:val="20"/>
              </w:rPr>
              <w:t>Breyanzi</w:t>
            </w:r>
            <w:r w:rsidRPr="00C858B0">
              <w:rPr>
                <w:rFonts w:cs="Arial"/>
                <w:szCs w:val="20"/>
                <w:vertAlign w:val="superscript"/>
              </w:rPr>
              <w:t>®</w:t>
            </w:r>
          </w:p>
        </w:tc>
        <w:tc>
          <w:tcPr>
            <w:tcW w:w="3690" w:type="dxa"/>
            <w:vAlign w:val="center"/>
          </w:tcPr>
          <w:p w14:paraId="33577175" w14:textId="77777777" w:rsidR="003209D7" w:rsidRPr="0040088F" w:rsidRDefault="003209D7" w:rsidP="00166317">
            <w:pPr>
              <w:pStyle w:val="ListParagraph"/>
              <w:numPr>
                <w:ilvl w:val="0"/>
                <w:numId w:val="19"/>
              </w:numPr>
              <w:ind w:left="159" w:hanging="159"/>
              <w:rPr>
                <w:rFonts w:cs="Arial"/>
                <w:color w:val="000000"/>
                <w:szCs w:val="20"/>
              </w:rPr>
            </w:pPr>
            <w:r w:rsidRPr="0040088F">
              <w:rPr>
                <w:rFonts w:cs="Arial"/>
                <w:color w:val="000000"/>
                <w:szCs w:val="20"/>
              </w:rPr>
              <w:t>Chronic lymphocytic leukemia</w:t>
            </w:r>
          </w:p>
          <w:p w14:paraId="3CA8551E" w14:textId="77777777" w:rsidR="003209D7" w:rsidRPr="0040088F" w:rsidRDefault="003209D7" w:rsidP="00166317">
            <w:pPr>
              <w:pStyle w:val="ListParagraph"/>
              <w:numPr>
                <w:ilvl w:val="0"/>
                <w:numId w:val="19"/>
              </w:numPr>
              <w:ind w:left="159" w:hanging="159"/>
              <w:rPr>
                <w:rFonts w:cs="Arial"/>
                <w:color w:val="000000"/>
                <w:szCs w:val="20"/>
              </w:rPr>
            </w:pPr>
            <w:r w:rsidRPr="0040088F">
              <w:rPr>
                <w:rFonts w:cs="Arial"/>
                <w:color w:val="000000"/>
                <w:szCs w:val="20"/>
              </w:rPr>
              <w:t>Follicular lymphoma</w:t>
            </w:r>
          </w:p>
          <w:p w14:paraId="20D641E8" w14:textId="77777777" w:rsidR="003209D7" w:rsidRPr="0040088F" w:rsidRDefault="003209D7" w:rsidP="00166317">
            <w:pPr>
              <w:pStyle w:val="ListParagraph"/>
              <w:numPr>
                <w:ilvl w:val="0"/>
                <w:numId w:val="19"/>
              </w:numPr>
              <w:ind w:left="159" w:hanging="159"/>
              <w:rPr>
                <w:rFonts w:cs="Arial"/>
                <w:color w:val="000000"/>
                <w:szCs w:val="20"/>
              </w:rPr>
            </w:pPr>
            <w:r w:rsidRPr="0040088F">
              <w:rPr>
                <w:rFonts w:cs="Arial"/>
                <w:color w:val="000000"/>
                <w:szCs w:val="20"/>
              </w:rPr>
              <w:t>Mantle cell lymphoma</w:t>
            </w:r>
          </w:p>
          <w:p w14:paraId="56AB2B3C" w14:textId="77777777" w:rsidR="003209D7" w:rsidRPr="0040088F" w:rsidRDefault="003209D7" w:rsidP="00166317">
            <w:pPr>
              <w:pStyle w:val="ListParagraph"/>
              <w:numPr>
                <w:ilvl w:val="0"/>
                <w:numId w:val="19"/>
              </w:numPr>
              <w:ind w:left="159" w:hanging="159"/>
              <w:rPr>
                <w:rFonts w:cs="Arial"/>
                <w:color w:val="000000"/>
                <w:szCs w:val="20"/>
              </w:rPr>
            </w:pPr>
            <w:r w:rsidRPr="0040088F">
              <w:rPr>
                <w:rFonts w:cs="Arial"/>
                <w:color w:val="000000"/>
                <w:szCs w:val="20"/>
              </w:rPr>
              <w:t>Large B-cell lymphoma</w:t>
            </w:r>
          </w:p>
          <w:p w14:paraId="5384E377" w14:textId="77777777" w:rsidR="003209D7" w:rsidRPr="0040088F" w:rsidRDefault="003209D7" w:rsidP="00166317">
            <w:pPr>
              <w:pStyle w:val="ListParagraph"/>
              <w:numPr>
                <w:ilvl w:val="0"/>
                <w:numId w:val="19"/>
              </w:numPr>
              <w:ind w:left="159" w:hanging="159"/>
              <w:rPr>
                <w:rFonts w:cs="Arial"/>
                <w:color w:val="000000"/>
                <w:szCs w:val="20"/>
              </w:rPr>
            </w:pPr>
            <w:r w:rsidRPr="0040088F">
              <w:rPr>
                <w:rFonts w:cs="Arial"/>
                <w:color w:val="000000"/>
                <w:szCs w:val="20"/>
              </w:rPr>
              <w:t>Small lymphocytic lymphoma</w:t>
            </w:r>
          </w:p>
          <w:p w14:paraId="7FA68159" w14:textId="6C0176C1" w:rsidR="0040088F" w:rsidRPr="0040088F" w:rsidRDefault="0040088F" w:rsidP="00166317">
            <w:pPr>
              <w:pStyle w:val="ListParagraph"/>
              <w:numPr>
                <w:ilvl w:val="0"/>
                <w:numId w:val="19"/>
              </w:numPr>
              <w:ind w:left="159" w:hanging="159"/>
              <w:rPr>
                <w:rFonts w:cs="Arial"/>
                <w:b/>
                <w:bCs/>
                <w:color w:val="000000"/>
                <w:szCs w:val="20"/>
              </w:rPr>
            </w:pPr>
            <w:r w:rsidRPr="0040088F">
              <w:rPr>
                <w:rFonts w:cs="Arial"/>
                <w:b/>
                <w:bCs/>
                <w:color w:val="1F497D" w:themeColor="text2"/>
                <w:szCs w:val="20"/>
              </w:rPr>
              <w:t>Marginal zone lymphoma</w:t>
            </w:r>
          </w:p>
        </w:tc>
      </w:tr>
      <w:tr w:rsidR="003209D7" w:rsidRPr="008037BE" w14:paraId="43CD2DBB" w14:textId="77777777" w:rsidTr="00166317">
        <w:trPr>
          <w:cantSplit/>
          <w:trHeight w:val="20"/>
          <w:jc w:val="center"/>
        </w:trPr>
        <w:tc>
          <w:tcPr>
            <w:tcW w:w="3145" w:type="dxa"/>
            <w:noWrap/>
            <w:vAlign w:val="center"/>
          </w:tcPr>
          <w:p w14:paraId="4110304B" w14:textId="77777777" w:rsidR="003209D7" w:rsidRPr="003209D7" w:rsidRDefault="003209D7" w:rsidP="00166317">
            <w:pPr>
              <w:jc w:val="center"/>
              <w:rPr>
                <w:rFonts w:cs="Arial"/>
                <w:szCs w:val="20"/>
              </w:rPr>
            </w:pPr>
            <w:r w:rsidRPr="003209D7">
              <w:rPr>
                <w:rFonts w:cs="Arial"/>
                <w:szCs w:val="20"/>
              </w:rPr>
              <w:t>obecabtagene autoleucel</w:t>
            </w:r>
          </w:p>
        </w:tc>
        <w:tc>
          <w:tcPr>
            <w:tcW w:w="2520" w:type="dxa"/>
            <w:noWrap/>
            <w:vAlign w:val="center"/>
          </w:tcPr>
          <w:p w14:paraId="251991A7" w14:textId="77777777" w:rsidR="003209D7" w:rsidRPr="003209D7" w:rsidRDefault="003209D7" w:rsidP="00166317">
            <w:pPr>
              <w:jc w:val="center"/>
              <w:rPr>
                <w:rFonts w:cs="Arial"/>
                <w:szCs w:val="20"/>
              </w:rPr>
            </w:pPr>
            <w:r w:rsidRPr="003209D7">
              <w:rPr>
                <w:rFonts w:cs="Arial"/>
                <w:szCs w:val="20"/>
              </w:rPr>
              <w:t>Aucatzyl</w:t>
            </w:r>
            <w:r w:rsidRPr="003209D7">
              <w:rPr>
                <w:rFonts w:cs="Arial"/>
                <w:szCs w:val="20"/>
                <w:vertAlign w:val="superscript"/>
              </w:rPr>
              <w:t>®</w:t>
            </w:r>
          </w:p>
        </w:tc>
        <w:tc>
          <w:tcPr>
            <w:tcW w:w="3690" w:type="dxa"/>
            <w:vAlign w:val="center"/>
          </w:tcPr>
          <w:p w14:paraId="60F5766D" w14:textId="77777777" w:rsidR="003209D7" w:rsidRPr="003209D7" w:rsidRDefault="003209D7" w:rsidP="00166317">
            <w:pPr>
              <w:pStyle w:val="ListParagraph"/>
              <w:numPr>
                <w:ilvl w:val="0"/>
                <w:numId w:val="19"/>
              </w:numPr>
              <w:ind w:left="159" w:hanging="159"/>
              <w:rPr>
                <w:rFonts w:cs="Arial"/>
                <w:szCs w:val="20"/>
              </w:rPr>
            </w:pPr>
            <w:r w:rsidRPr="003209D7">
              <w:rPr>
                <w:rFonts w:cs="Arial"/>
                <w:szCs w:val="20"/>
              </w:rPr>
              <w:t>B-cell precursor acute lymphoblastic leukemia</w:t>
            </w:r>
          </w:p>
        </w:tc>
      </w:tr>
      <w:tr w:rsidR="003209D7" w:rsidRPr="008037BE" w14:paraId="58E3DAC1" w14:textId="77777777" w:rsidTr="00166317">
        <w:trPr>
          <w:cantSplit/>
          <w:trHeight w:val="20"/>
          <w:jc w:val="center"/>
        </w:trPr>
        <w:tc>
          <w:tcPr>
            <w:tcW w:w="3145" w:type="dxa"/>
            <w:noWrap/>
            <w:vAlign w:val="center"/>
          </w:tcPr>
          <w:p w14:paraId="31603B9F" w14:textId="77777777" w:rsidR="003209D7" w:rsidRPr="00F41F2A" w:rsidRDefault="003209D7" w:rsidP="00166317">
            <w:pPr>
              <w:jc w:val="center"/>
              <w:rPr>
                <w:rFonts w:cs="Arial"/>
                <w:caps/>
                <w:spacing w:val="-3"/>
                <w:szCs w:val="20"/>
              </w:rPr>
            </w:pPr>
            <w:r w:rsidRPr="00F41F2A">
              <w:rPr>
                <w:rFonts w:cs="Arial"/>
                <w:szCs w:val="20"/>
              </w:rPr>
              <w:t>tisagenlecleucel</w:t>
            </w:r>
          </w:p>
        </w:tc>
        <w:tc>
          <w:tcPr>
            <w:tcW w:w="2520" w:type="dxa"/>
            <w:noWrap/>
            <w:vAlign w:val="center"/>
          </w:tcPr>
          <w:p w14:paraId="53DC10B0" w14:textId="77777777" w:rsidR="003209D7" w:rsidRPr="00AF227C" w:rsidRDefault="003209D7" w:rsidP="00166317">
            <w:pPr>
              <w:jc w:val="center"/>
              <w:rPr>
                <w:rFonts w:cs="Arial"/>
                <w:color w:val="000000"/>
                <w:szCs w:val="20"/>
              </w:rPr>
            </w:pPr>
            <w:r w:rsidRPr="00AF227C">
              <w:rPr>
                <w:rFonts w:cs="Arial"/>
                <w:szCs w:val="20"/>
              </w:rPr>
              <w:t>Kymriah</w:t>
            </w:r>
            <w:r w:rsidRPr="00AF227C">
              <w:rPr>
                <w:rFonts w:cs="Arial"/>
                <w:szCs w:val="20"/>
                <w:vertAlign w:val="superscript"/>
              </w:rPr>
              <w:t>®</w:t>
            </w:r>
          </w:p>
        </w:tc>
        <w:tc>
          <w:tcPr>
            <w:tcW w:w="3690" w:type="dxa"/>
            <w:vAlign w:val="center"/>
          </w:tcPr>
          <w:p w14:paraId="3C79062E" w14:textId="77777777" w:rsidR="003209D7" w:rsidRDefault="003209D7" w:rsidP="00166317">
            <w:pPr>
              <w:pStyle w:val="ListParagraph"/>
              <w:numPr>
                <w:ilvl w:val="0"/>
                <w:numId w:val="19"/>
              </w:numPr>
              <w:ind w:left="159" w:hanging="159"/>
              <w:rPr>
                <w:rFonts w:cs="Arial"/>
                <w:color w:val="000000"/>
                <w:szCs w:val="20"/>
              </w:rPr>
            </w:pPr>
            <w:r w:rsidRPr="007008EC">
              <w:rPr>
                <w:rFonts w:cs="Arial"/>
                <w:color w:val="000000"/>
                <w:szCs w:val="20"/>
              </w:rPr>
              <w:t>B-cell precursor acute lymphoblastic leukemia</w:t>
            </w:r>
            <w:r>
              <w:rPr>
                <w:rFonts w:cs="Arial"/>
                <w:color w:val="000000"/>
                <w:szCs w:val="20"/>
              </w:rPr>
              <w:t xml:space="preserve"> (up to 25 years of age)</w:t>
            </w:r>
          </w:p>
          <w:p w14:paraId="09EEEF2D" w14:textId="77777777" w:rsidR="003209D7" w:rsidRDefault="003209D7" w:rsidP="00166317">
            <w:pPr>
              <w:pStyle w:val="ListParagraph"/>
              <w:numPr>
                <w:ilvl w:val="0"/>
                <w:numId w:val="19"/>
              </w:numPr>
              <w:ind w:left="159" w:hanging="159"/>
              <w:rPr>
                <w:rFonts w:cs="Arial"/>
                <w:color w:val="000000"/>
                <w:szCs w:val="20"/>
              </w:rPr>
            </w:pPr>
            <w:r>
              <w:rPr>
                <w:rFonts w:cs="Arial"/>
                <w:color w:val="000000"/>
                <w:szCs w:val="20"/>
              </w:rPr>
              <w:t>F</w:t>
            </w:r>
            <w:r w:rsidRPr="00E146DC">
              <w:rPr>
                <w:rFonts w:cs="Arial"/>
                <w:color w:val="000000"/>
                <w:szCs w:val="20"/>
              </w:rPr>
              <w:t>ollicular lymphoma</w:t>
            </w:r>
          </w:p>
          <w:p w14:paraId="2E5A4A5F" w14:textId="77777777" w:rsidR="003209D7" w:rsidRPr="00DD4020" w:rsidRDefault="003209D7" w:rsidP="00166317">
            <w:pPr>
              <w:pStyle w:val="ListParagraph"/>
              <w:numPr>
                <w:ilvl w:val="0"/>
                <w:numId w:val="19"/>
              </w:numPr>
              <w:ind w:left="159" w:hanging="159"/>
              <w:rPr>
                <w:rFonts w:cs="Arial"/>
                <w:color w:val="000000"/>
                <w:szCs w:val="20"/>
              </w:rPr>
            </w:pPr>
            <w:r>
              <w:rPr>
                <w:rFonts w:cs="Arial"/>
                <w:color w:val="000000"/>
                <w:szCs w:val="20"/>
              </w:rPr>
              <w:t>Large B-cell lymphoma</w:t>
            </w:r>
          </w:p>
        </w:tc>
      </w:tr>
    </w:tbl>
    <w:p w14:paraId="0910808D" w14:textId="77777777" w:rsidR="00E61C78" w:rsidRPr="00E61C78" w:rsidRDefault="00E61C78" w:rsidP="00E61C78"/>
    <w:p w14:paraId="7AA29DA2" w14:textId="2A4DCC8A" w:rsidR="003209D7" w:rsidRDefault="003209D7" w:rsidP="003209D7">
      <w:pPr>
        <w:pStyle w:val="Heading1"/>
        <w:rPr>
          <w:lang w:val="en-US"/>
        </w:rPr>
      </w:pPr>
      <w:r>
        <w:rPr>
          <w:lang w:val="en-US"/>
        </w:rPr>
        <w:t>Billing Information</w:t>
      </w:r>
    </w:p>
    <w:p w14:paraId="2C4643A3" w14:textId="77777777" w:rsidR="00FC32F2" w:rsidRPr="00A1496C" w:rsidRDefault="00FC32F2" w:rsidP="00FC32F2">
      <w:pPr>
        <w:numPr>
          <w:ilvl w:val="0"/>
          <w:numId w:val="20"/>
        </w:numPr>
        <w:rPr>
          <w:rFonts w:cs="Arial"/>
          <w:szCs w:val="20"/>
        </w:rPr>
      </w:pPr>
      <w:r w:rsidRPr="00A1496C">
        <w:rPr>
          <w:rFonts w:cs="Arial"/>
          <w:szCs w:val="20"/>
        </w:rPr>
        <w:t>The treating prescriber/facility may choose the method of administration most appropriate for the participant. The options available are:</w:t>
      </w:r>
    </w:p>
    <w:p w14:paraId="1E9D887A" w14:textId="77777777" w:rsidR="00FC32F2" w:rsidRPr="00A1496C" w:rsidRDefault="00FC32F2" w:rsidP="00FC32F2">
      <w:pPr>
        <w:numPr>
          <w:ilvl w:val="1"/>
          <w:numId w:val="20"/>
        </w:numPr>
        <w:ind w:left="720"/>
        <w:rPr>
          <w:rFonts w:cs="Arial"/>
          <w:szCs w:val="20"/>
        </w:rPr>
      </w:pPr>
      <w:r w:rsidRPr="00A1496C">
        <w:rPr>
          <w:rFonts w:cs="Arial"/>
          <w:b/>
          <w:bCs/>
          <w:szCs w:val="20"/>
        </w:rPr>
        <w:t>Outpatient FFS Participant:</w:t>
      </w:r>
      <w:r w:rsidRPr="00A1496C">
        <w:rPr>
          <w:rFonts w:cs="Arial"/>
          <w:szCs w:val="20"/>
        </w:rPr>
        <w:t xml:space="preserve"> MHD FFS completes Prior Authorization for the drug, claim paid according to the current MHD drug reimbursement. All other expenses are paid for on </w:t>
      </w:r>
      <w:proofErr w:type="gramStart"/>
      <w:r w:rsidRPr="00A1496C">
        <w:rPr>
          <w:rFonts w:cs="Arial"/>
          <w:szCs w:val="20"/>
        </w:rPr>
        <w:t>a</w:t>
      </w:r>
      <w:proofErr w:type="gramEnd"/>
      <w:r w:rsidRPr="00A1496C">
        <w:rPr>
          <w:rFonts w:cs="Arial"/>
          <w:szCs w:val="20"/>
        </w:rPr>
        <w:t xml:space="preserve"> FFS basis.</w:t>
      </w:r>
    </w:p>
    <w:p w14:paraId="1C897602" w14:textId="77777777" w:rsidR="00FC32F2" w:rsidRPr="00A1496C" w:rsidRDefault="00FC32F2" w:rsidP="00FC32F2">
      <w:pPr>
        <w:numPr>
          <w:ilvl w:val="2"/>
          <w:numId w:val="21"/>
        </w:numPr>
        <w:ind w:left="1080"/>
        <w:rPr>
          <w:rFonts w:cs="Arial"/>
          <w:szCs w:val="20"/>
        </w:rPr>
      </w:pPr>
      <w:r w:rsidRPr="00A1496C">
        <w:rPr>
          <w:rFonts w:cs="Arial"/>
          <w:szCs w:val="20"/>
        </w:rPr>
        <w:t>The following are items that would be expected to be billed to MHD FFS (this list is used as an example and is not meant to be all inclusive): Apheresis, chemotherapy, cell engineering, antigen receptor T-Cell therapy (CAR-T), infusion, leukapheresis, preparative therapy.  If any of these are included in the cost of the drug, they cannot be billed separately to MHD.</w:t>
      </w:r>
    </w:p>
    <w:p w14:paraId="6080DB5A" w14:textId="77777777" w:rsidR="00FC32F2" w:rsidRPr="00A1496C" w:rsidRDefault="00FC32F2" w:rsidP="00FC32F2">
      <w:pPr>
        <w:numPr>
          <w:ilvl w:val="2"/>
          <w:numId w:val="21"/>
        </w:numPr>
        <w:ind w:left="1080"/>
        <w:rPr>
          <w:rFonts w:cs="Arial"/>
          <w:szCs w:val="20"/>
        </w:rPr>
      </w:pPr>
      <w:r w:rsidRPr="00A1496C">
        <w:rPr>
          <w:rFonts w:cs="Arial"/>
          <w:szCs w:val="20"/>
        </w:rPr>
        <w:t>If the patient should require hospitalization due to cytokine release syndrome (CRS) or neurotoxicities after the CAR-T infusion, inpatient pre-certification is required, and payment will be made at the applicable rate for the facility as determined by established MHD regulations.</w:t>
      </w:r>
    </w:p>
    <w:p w14:paraId="4A6C077A" w14:textId="77777777" w:rsidR="00FC32F2" w:rsidRPr="00A1496C" w:rsidRDefault="00FC32F2" w:rsidP="00FC32F2">
      <w:pPr>
        <w:numPr>
          <w:ilvl w:val="1"/>
          <w:numId w:val="21"/>
        </w:numPr>
        <w:ind w:left="720"/>
        <w:rPr>
          <w:rFonts w:cs="Arial"/>
          <w:szCs w:val="20"/>
        </w:rPr>
      </w:pPr>
      <w:r w:rsidRPr="00A1496C">
        <w:rPr>
          <w:rFonts w:cs="Arial"/>
          <w:b/>
          <w:bCs/>
          <w:szCs w:val="20"/>
        </w:rPr>
        <w:t>Outpatient MCO Participant:</w:t>
      </w:r>
      <w:r w:rsidRPr="00A1496C">
        <w:rPr>
          <w:rFonts w:cs="Arial"/>
          <w:szCs w:val="20"/>
        </w:rPr>
        <w:t xml:space="preserve"> MHD FFS completes Prior Authorization for the drug, drug claim paid according to the current MHD drug reimbursement. All other expenses are </w:t>
      </w:r>
      <w:proofErr w:type="gramStart"/>
      <w:r w:rsidRPr="00A1496C">
        <w:rPr>
          <w:rFonts w:cs="Arial"/>
          <w:szCs w:val="20"/>
        </w:rPr>
        <w:t>paid for</w:t>
      </w:r>
      <w:proofErr w:type="gramEnd"/>
      <w:r w:rsidRPr="00A1496C">
        <w:rPr>
          <w:rFonts w:cs="Arial"/>
          <w:szCs w:val="20"/>
        </w:rPr>
        <w:t xml:space="preserve"> by the MCO.</w:t>
      </w:r>
    </w:p>
    <w:p w14:paraId="2D67AFDC" w14:textId="77777777" w:rsidR="00FC32F2" w:rsidRPr="00A1496C" w:rsidRDefault="00FC32F2" w:rsidP="00FC32F2">
      <w:pPr>
        <w:numPr>
          <w:ilvl w:val="2"/>
          <w:numId w:val="21"/>
        </w:numPr>
        <w:ind w:left="1080"/>
        <w:rPr>
          <w:rFonts w:cs="Arial"/>
          <w:szCs w:val="20"/>
        </w:rPr>
      </w:pPr>
      <w:r w:rsidRPr="00A1496C">
        <w:rPr>
          <w:rFonts w:cs="Arial"/>
          <w:szCs w:val="20"/>
        </w:rPr>
        <w:lastRenderedPageBreak/>
        <w:t>The following are items that would be expected to be billed to the participant MCO plan (this list is used as an example and is not meant to be all inclusive): Apheresis, chemotherapy, cell engineering, antigen receptor T-Cell therapy (CAR-T), infusion, leukapheresis, preparative therapy.  If any of these are included in the cost of the drug, they cannot be billed separately to the MCO.</w:t>
      </w:r>
    </w:p>
    <w:p w14:paraId="7DD24AE8" w14:textId="77777777" w:rsidR="00FC32F2" w:rsidRPr="00A1496C" w:rsidRDefault="00FC32F2" w:rsidP="00FC32F2">
      <w:pPr>
        <w:numPr>
          <w:ilvl w:val="2"/>
          <w:numId w:val="21"/>
        </w:numPr>
        <w:ind w:left="1080"/>
        <w:rPr>
          <w:rFonts w:cs="Arial"/>
          <w:szCs w:val="20"/>
        </w:rPr>
      </w:pPr>
      <w:r w:rsidRPr="00A1496C">
        <w:rPr>
          <w:rFonts w:cs="Arial"/>
          <w:szCs w:val="20"/>
        </w:rPr>
        <w:t>If the patient should require hospitalization due to cytokine release syndrome (CRS) or neurotoxicities after the CAR-T infusion, coverage of the hospital stay is the MCO plan responsibility and payment will be made at the applicable MCO rate for the facility as determined by established MCO provider agreement.</w:t>
      </w:r>
    </w:p>
    <w:p w14:paraId="0790AB22" w14:textId="77777777" w:rsidR="00FC32F2" w:rsidRPr="00A1496C" w:rsidRDefault="00FC32F2" w:rsidP="00FC32F2">
      <w:pPr>
        <w:numPr>
          <w:ilvl w:val="1"/>
          <w:numId w:val="21"/>
        </w:numPr>
        <w:ind w:left="720"/>
        <w:rPr>
          <w:rFonts w:cs="Arial"/>
          <w:szCs w:val="20"/>
        </w:rPr>
      </w:pPr>
      <w:r w:rsidRPr="00A1496C">
        <w:rPr>
          <w:rFonts w:cs="Arial"/>
          <w:b/>
          <w:bCs/>
          <w:szCs w:val="20"/>
        </w:rPr>
        <w:t>Inpatient FFS Participant:</w:t>
      </w:r>
      <w:r w:rsidRPr="00A1496C">
        <w:rPr>
          <w:rFonts w:cs="Arial"/>
          <w:szCs w:val="20"/>
        </w:rPr>
        <w:t xml:space="preserve"> MHD FFS completes Prior Authorization of the drug, MHD FFS covers the cost of the drug according to the current MHD drug reimbursement in addition to the hospital inpatient bundled rate. Medical provider costs are billed separately to FFS.</w:t>
      </w:r>
    </w:p>
    <w:p w14:paraId="5401ECC6" w14:textId="77777777" w:rsidR="00FC32F2" w:rsidRPr="00A1496C" w:rsidRDefault="00FC32F2" w:rsidP="00FC32F2">
      <w:pPr>
        <w:numPr>
          <w:ilvl w:val="2"/>
          <w:numId w:val="21"/>
        </w:numPr>
        <w:ind w:left="1080"/>
        <w:rPr>
          <w:rFonts w:cs="Arial"/>
          <w:szCs w:val="20"/>
        </w:rPr>
      </w:pPr>
      <w:r w:rsidRPr="00A1496C">
        <w:rPr>
          <w:rFonts w:cs="Arial"/>
          <w:szCs w:val="20"/>
        </w:rPr>
        <w:t>Pre-certification of the inpatient hospitalization is required for the CAR-T infusion; should the medical provider feel it is medically necessary to administer chemotherapy inpatient prior to CAR-T infusion, pre-certification is also required for those hospital days.</w:t>
      </w:r>
    </w:p>
    <w:p w14:paraId="68E55553" w14:textId="77777777" w:rsidR="00FC32F2" w:rsidRPr="00A1496C" w:rsidRDefault="00FC32F2" w:rsidP="00FC32F2">
      <w:pPr>
        <w:numPr>
          <w:ilvl w:val="2"/>
          <w:numId w:val="21"/>
        </w:numPr>
        <w:ind w:left="1080"/>
        <w:rPr>
          <w:rFonts w:cs="Arial"/>
          <w:szCs w:val="20"/>
        </w:rPr>
      </w:pPr>
      <w:r w:rsidRPr="00A1496C">
        <w:rPr>
          <w:rFonts w:cs="Arial"/>
          <w:szCs w:val="20"/>
        </w:rPr>
        <w:t>MHD FFS will reimburse the facility at the inpatient bundled rate during the participant’s inpatient hospitalization. All other expenses will be reimbursed only if they are performed prior to the participant’s inpatient stay and if they are not included in the cost of the drug. Examples of expenses expected prior to the inpatient hospitalization include, this list is not meant to be considered all inclusive: Apheresis, chemotherapy, cell engineering, leukapheresis, and preparative therapy.</w:t>
      </w:r>
    </w:p>
    <w:p w14:paraId="4107327C" w14:textId="77777777" w:rsidR="00FC32F2" w:rsidRPr="00A1496C" w:rsidRDefault="00FC32F2" w:rsidP="00FC32F2">
      <w:pPr>
        <w:numPr>
          <w:ilvl w:val="2"/>
          <w:numId w:val="21"/>
        </w:numPr>
        <w:ind w:left="1080"/>
        <w:rPr>
          <w:rFonts w:cs="Arial"/>
          <w:szCs w:val="20"/>
        </w:rPr>
      </w:pPr>
      <w:r w:rsidRPr="00A1496C">
        <w:rPr>
          <w:rFonts w:cs="Arial"/>
          <w:szCs w:val="20"/>
        </w:rPr>
        <w:t>If the patient should require subsequent hospitalization after the initial stay involving the therapy due to cytokine release syndrome or neurotoxicities, payment will be made at the applicable rate for the facility as determined by established MHD regulations. </w:t>
      </w:r>
    </w:p>
    <w:p w14:paraId="4C289703" w14:textId="77777777" w:rsidR="00FC32F2" w:rsidRPr="00A1496C" w:rsidRDefault="00FC32F2" w:rsidP="00FC32F2">
      <w:pPr>
        <w:numPr>
          <w:ilvl w:val="1"/>
          <w:numId w:val="21"/>
        </w:numPr>
        <w:ind w:left="720"/>
        <w:rPr>
          <w:rFonts w:cs="Arial"/>
          <w:szCs w:val="20"/>
        </w:rPr>
      </w:pPr>
      <w:r w:rsidRPr="00A1496C">
        <w:rPr>
          <w:rFonts w:cs="Arial"/>
          <w:b/>
          <w:bCs/>
          <w:szCs w:val="20"/>
        </w:rPr>
        <w:t xml:space="preserve">Inpatient MCO Participant: </w:t>
      </w:r>
      <w:r w:rsidRPr="00A1496C">
        <w:rPr>
          <w:rFonts w:cs="Arial"/>
          <w:szCs w:val="20"/>
        </w:rPr>
        <w:t xml:space="preserve">MHD FFS completes Prior Authorization of the drug, MHD FFS covers the cost of the drug according to the current MHD drug reimbursement. The MCO is responsible for the hospital stay and any medical provider costs. </w:t>
      </w:r>
    </w:p>
    <w:p w14:paraId="4C36315F" w14:textId="77777777" w:rsidR="00FC32F2" w:rsidRPr="00A1496C" w:rsidRDefault="00FC32F2" w:rsidP="00FC32F2">
      <w:pPr>
        <w:numPr>
          <w:ilvl w:val="2"/>
          <w:numId w:val="21"/>
        </w:numPr>
        <w:ind w:left="1080"/>
        <w:rPr>
          <w:rFonts w:cs="Arial"/>
          <w:szCs w:val="20"/>
        </w:rPr>
      </w:pPr>
      <w:r w:rsidRPr="00A1496C">
        <w:rPr>
          <w:rFonts w:cs="Arial"/>
          <w:szCs w:val="20"/>
        </w:rPr>
        <w:t>The MCO will reimburse the facility at the inpatient bundled rate during the participant’s inpatient hospitalization. All expenses, with the exception for the cost of the drug, are the responsibility of the MCO plan.</w:t>
      </w:r>
    </w:p>
    <w:p w14:paraId="5610D6D6" w14:textId="77777777" w:rsidR="00FC32F2" w:rsidRPr="00A1496C" w:rsidRDefault="00FC32F2" w:rsidP="00FC32F2">
      <w:pPr>
        <w:numPr>
          <w:ilvl w:val="2"/>
          <w:numId w:val="21"/>
        </w:numPr>
        <w:ind w:left="1080"/>
        <w:rPr>
          <w:rFonts w:cs="Arial"/>
          <w:szCs w:val="20"/>
        </w:rPr>
      </w:pPr>
      <w:r w:rsidRPr="00A1496C">
        <w:rPr>
          <w:rFonts w:cs="Arial"/>
          <w:szCs w:val="20"/>
        </w:rPr>
        <w:t>If the patient should require subsequent hospitalization after the initial stay involving the therapy, payment will be made at the applicable MCO inpatient bundled rate for the facility as determined by established MCO provider agreement.</w:t>
      </w:r>
    </w:p>
    <w:p w14:paraId="5F0EBAF7" w14:textId="77777777" w:rsidR="00FC32F2" w:rsidRPr="00A1496C" w:rsidRDefault="00FC32F2" w:rsidP="00FC32F2">
      <w:pPr>
        <w:numPr>
          <w:ilvl w:val="0"/>
          <w:numId w:val="21"/>
        </w:numPr>
        <w:ind w:left="360"/>
        <w:rPr>
          <w:rFonts w:cs="Arial"/>
          <w:szCs w:val="20"/>
        </w:rPr>
      </w:pPr>
      <w:r w:rsidRPr="00A1496C">
        <w:rPr>
          <w:rFonts w:cs="Arial"/>
          <w:b/>
          <w:bCs/>
          <w:szCs w:val="20"/>
        </w:rPr>
        <w:t>The following apply to all scenarios above:</w:t>
      </w:r>
    </w:p>
    <w:p w14:paraId="53276CCC" w14:textId="77777777" w:rsidR="00FC32F2" w:rsidRPr="00A1496C" w:rsidRDefault="00FC32F2" w:rsidP="00FC32F2">
      <w:pPr>
        <w:numPr>
          <w:ilvl w:val="1"/>
          <w:numId w:val="21"/>
        </w:numPr>
        <w:ind w:left="720"/>
        <w:rPr>
          <w:rFonts w:cs="Arial"/>
          <w:szCs w:val="20"/>
        </w:rPr>
      </w:pPr>
      <w:r w:rsidRPr="00A1496C">
        <w:rPr>
          <w:rFonts w:cs="Arial"/>
          <w:szCs w:val="20"/>
        </w:rPr>
        <w:t>Failure to get the prior authorization for the CAR-T therapy prior to administration will result in no payment for the CAR-T therapy.</w:t>
      </w:r>
    </w:p>
    <w:p w14:paraId="2A85AA7F" w14:textId="77777777" w:rsidR="00FC32F2" w:rsidRPr="00A1496C" w:rsidRDefault="00FC32F2" w:rsidP="00FC32F2">
      <w:pPr>
        <w:numPr>
          <w:ilvl w:val="1"/>
          <w:numId w:val="21"/>
        </w:numPr>
        <w:ind w:left="720"/>
        <w:rPr>
          <w:rFonts w:cs="Arial"/>
          <w:szCs w:val="20"/>
        </w:rPr>
      </w:pPr>
      <w:r w:rsidRPr="00A1496C">
        <w:rPr>
          <w:rFonts w:cs="Arial"/>
          <w:szCs w:val="20"/>
        </w:rPr>
        <w:t>During the prior authorization for the CAR-T therapy the provider must determine if the participant will receive the CAR-T therapy as an inpatient or outpatient service.</w:t>
      </w:r>
    </w:p>
    <w:p w14:paraId="64EAA28D" w14:textId="77777777" w:rsidR="00FC32F2" w:rsidRPr="00A1496C" w:rsidRDefault="00FC32F2" w:rsidP="00FC32F2">
      <w:pPr>
        <w:numPr>
          <w:ilvl w:val="1"/>
          <w:numId w:val="21"/>
        </w:numPr>
        <w:ind w:left="720"/>
        <w:rPr>
          <w:rFonts w:cs="Arial"/>
          <w:szCs w:val="20"/>
        </w:rPr>
      </w:pPr>
      <w:r w:rsidRPr="00A1496C">
        <w:rPr>
          <w:rFonts w:cs="Arial"/>
          <w:szCs w:val="20"/>
        </w:rPr>
        <w:t>There will be no additional $100,000 reimbursement for hospitalization or treatment in any of the above scenarios. The accompanying treatment will be paid for at the agreed upon provider rates.</w:t>
      </w:r>
    </w:p>
    <w:p w14:paraId="186AE1F4" w14:textId="77777777" w:rsidR="00FC32F2" w:rsidRPr="00A1496C" w:rsidRDefault="00FC32F2" w:rsidP="00FC32F2">
      <w:pPr>
        <w:numPr>
          <w:ilvl w:val="1"/>
          <w:numId w:val="21"/>
        </w:numPr>
        <w:ind w:left="720"/>
        <w:rPr>
          <w:rFonts w:cs="Arial"/>
          <w:szCs w:val="20"/>
        </w:rPr>
      </w:pPr>
      <w:r w:rsidRPr="00A1496C">
        <w:rPr>
          <w:rFonts w:cs="Arial"/>
          <w:szCs w:val="20"/>
        </w:rPr>
        <w:t>The CAR-T Therapy will only be paid for by MHD when the facility is approved by the manufacturer to administer the CAR-T therapy.</w:t>
      </w:r>
    </w:p>
    <w:p w14:paraId="576B023D" w14:textId="77777777" w:rsidR="00FC32F2" w:rsidRPr="00A1496C" w:rsidRDefault="00FC32F2" w:rsidP="00FC32F2">
      <w:pPr>
        <w:numPr>
          <w:ilvl w:val="1"/>
          <w:numId w:val="21"/>
        </w:numPr>
        <w:ind w:left="720"/>
        <w:rPr>
          <w:rFonts w:cs="Arial"/>
          <w:szCs w:val="20"/>
        </w:rPr>
      </w:pPr>
      <w:r w:rsidRPr="00A1496C">
        <w:rPr>
          <w:rFonts w:cs="Arial"/>
          <w:szCs w:val="20"/>
        </w:rPr>
        <w:t>All pre-therapy assessment and medical services, physician’s charges, and outpatient follow-up care must be billed separately and will be reimbursed at current applicable MHD fee schedule or inpatient bundled rates.</w:t>
      </w:r>
    </w:p>
    <w:p w14:paraId="462A9208" w14:textId="7F51436F" w:rsidR="003209D7" w:rsidRPr="00FC32F2" w:rsidRDefault="00FC32F2" w:rsidP="003209D7">
      <w:pPr>
        <w:numPr>
          <w:ilvl w:val="1"/>
          <w:numId w:val="21"/>
        </w:numPr>
        <w:ind w:left="720"/>
        <w:rPr>
          <w:rFonts w:cs="Arial"/>
          <w:szCs w:val="20"/>
        </w:rPr>
      </w:pPr>
      <w:r w:rsidRPr="00A1496C">
        <w:rPr>
          <w:rFonts w:cs="Arial"/>
          <w:szCs w:val="20"/>
        </w:rPr>
        <w:t>For experimental use of CAR-T therapy, when the manufacturer has provided the CAR-T drug through compassionate use or as part of a clinical trial, the facility will not be reimbursed for the drug by MHD FFS nor the MCO. All other medically necessary covered services associated with the CAR-T therapy, which are not part of the clinical trial, may be reimbursed according to the process selected by the treating prescriber and outlined above, according to the current hospital manual.</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lastRenderedPageBreak/>
        <w:t>Rule Type:</w:t>
      </w:r>
      <w:r w:rsidRPr="00C02553">
        <w:t xml:space="preserve"> </w:t>
      </w:r>
      <w:r>
        <w:t>CE</w:t>
      </w:r>
    </w:p>
    <w:p w14:paraId="2E7039F0" w14:textId="77777777" w:rsidR="00220B36" w:rsidRPr="001432AF" w:rsidRDefault="00343D6B" w:rsidP="00220B36">
      <w:pPr>
        <w:rPr>
          <w:rFonts w:cs="Arial"/>
          <w:bCs/>
          <w:szCs w:val="20"/>
        </w:rPr>
      </w:pPr>
      <w:r w:rsidRPr="00696E3A">
        <w:rPr>
          <w:b/>
          <w:bCs/>
        </w:rPr>
        <w:t>Default Approval Period:</w:t>
      </w:r>
      <w:r w:rsidR="00973BD6">
        <w:t xml:space="preserve"> </w:t>
      </w:r>
      <w:r w:rsidR="00220B36" w:rsidRPr="001432AF">
        <w:rPr>
          <w:rFonts w:cs="Arial"/>
          <w:bCs/>
          <w:szCs w:val="20"/>
        </w:rPr>
        <w:t>2 months</w:t>
      </w:r>
    </w:p>
    <w:p w14:paraId="5D43D3D3" w14:textId="226B83B5" w:rsidR="00343D6B" w:rsidRPr="00C02553" w:rsidRDefault="00343D6B" w:rsidP="00696E3A"/>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76CDB821" w14:textId="54F314D5"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KYMRIAH</w:t>
      </w:r>
      <w:r w:rsidRPr="000B1B80">
        <w:rPr>
          <w:rStyle w:val="normaltextrun"/>
          <w:rFonts w:cs="Arial"/>
          <w:sz w:val="18"/>
          <w:szCs w:val="18"/>
          <w:shd w:val="clear" w:color="auto" w:fill="FFFFFF"/>
          <w:vertAlign w:val="superscript"/>
        </w:rPr>
        <w:t>®</w:t>
      </w:r>
      <w:r w:rsidRPr="000B1B80">
        <w:rPr>
          <w:rStyle w:val="normaltextrun"/>
          <w:rFonts w:cs="Arial"/>
          <w:sz w:val="18"/>
          <w:szCs w:val="18"/>
          <w:shd w:val="clear" w:color="auto" w:fill="FFFFFF"/>
        </w:rPr>
        <w:t xml:space="preserve"> (tisagenlecleucel) [package insert]. East Hanover, NJ: Novartis Pharmaceuticals Corporation; </w:t>
      </w:r>
      <w:r w:rsidR="00E200F1">
        <w:rPr>
          <w:rStyle w:val="normaltextrun"/>
          <w:rFonts w:cs="Arial"/>
          <w:sz w:val="18"/>
          <w:szCs w:val="18"/>
          <w:shd w:val="clear" w:color="auto" w:fill="FFFFFF"/>
        </w:rPr>
        <w:t>June 2025</w:t>
      </w:r>
      <w:r w:rsidRPr="000B1B80">
        <w:rPr>
          <w:rStyle w:val="normaltextrun"/>
          <w:rFonts w:cs="Arial"/>
          <w:sz w:val="18"/>
          <w:szCs w:val="18"/>
          <w:shd w:val="clear" w:color="auto" w:fill="FFFFFF"/>
        </w:rPr>
        <w:t>.</w:t>
      </w:r>
    </w:p>
    <w:p w14:paraId="4D1DCFA9" w14:textId="7E61FB88"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TECARTUS</w:t>
      </w:r>
      <w:r w:rsidRPr="000B1B80">
        <w:rPr>
          <w:rStyle w:val="normaltextrun"/>
          <w:rFonts w:cs="Arial"/>
          <w:sz w:val="18"/>
          <w:szCs w:val="18"/>
          <w:shd w:val="clear" w:color="auto" w:fill="FFFFFF"/>
          <w:vertAlign w:val="superscript"/>
        </w:rPr>
        <w:t>®</w:t>
      </w:r>
      <w:r w:rsidRPr="000B1B80">
        <w:rPr>
          <w:rStyle w:val="normaltextrun"/>
          <w:rFonts w:cs="Arial"/>
          <w:sz w:val="18"/>
          <w:szCs w:val="18"/>
          <w:shd w:val="clear" w:color="auto" w:fill="FFFFFF"/>
        </w:rPr>
        <w:t xml:space="preserve"> (brexucabtagene autoleucel) [package insert]. Santa Monica, CA: Kite Pharma, Inc.; </w:t>
      </w:r>
      <w:r w:rsidR="0004175B">
        <w:rPr>
          <w:rStyle w:val="normaltextrun"/>
          <w:rFonts w:cs="Arial"/>
          <w:sz w:val="18"/>
          <w:szCs w:val="18"/>
          <w:shd w:val="clear" w:color="auto" w:fill="FFFFFF"/>
        </w:rPr>
        <w:t>April</w:t>
      </w:r>
      <w:r>
        <w:rPr>
          <w:rStyle w:val="normaltextrun"/>
          <w:rFonts w:cs="Arial"/>
          <w:sz w:val="18"/>
          <w:szCs w:val="18"/>
          <w:shd w:val="clear" w:color="auto" w:fill="FFFFFF"/>
        </w:rPr>
        <w:t xml:space="preserve"> 202</w:t>
      </w:r>
      <w:r w:rsidR="0004175B">
        <w:rPr>
          <w:rStyle w:val="normaltextrun"/>
          <w:rFonts w:cs="Arial"/>
          <w:sz w:val="18"/>
          <w:szCs w:val="18"/>
          <w:shd w:val="clear" w:color="auto" w:fill="FFFFFF"/>
        </w:rPr>
        <w:t>6.</w:t>
      </w:r>
    </w:p>
    <w:p w14:paraId="0BB4706C" w14:textId="448E8B63" w:rsidR="002A3503" w:rsidRPr="008B3DCE" w:rsidRDefault="002A3503" w:rsidP="002A3503">
      <w:pPr>
        <w:pStyle w:val="paragraph"/>
        <w:numPr>
          <w:ilvl w:val="0"/>
          <w:numId w:val="22"/>
        </w:numPr>
        <w:spacing w:before="0" w:beforeAutospacing="0" w:after="0" w:afterAutospacing="0"/>
        <w:textAlignment w:val="baseline"/>
        <w:rPr>
          <w:rStyle w:val="normaltextrun"/>
          <w:rFonts w:cs="Arial"/>
          <w:sz w:val="18"/>
          <w:szCs w:val="18"/>
          <w:shd w:val="clear" w:color="auto" w:fill="FFFFFF"/>
          <w:lang w:val="it-IT"/>
        </w:rPr>
      </w:pPr>
      <w:r w:rsidRPr="008B3DCE">
        <w:rPr>
          <w:rStyle w:val="normaltextrun"/>
          <w:rFonts w:cs="Arial"/>
          <w:sz w:val="18"/>
          <w:szCs w:val="18"/>
          <w:shd w:val="clear" w:color="auto" w:fill="FFFFFF"/>
          <w:lang w:val="it-IT"/>
        </w:rPr>
        <w:t>YESCARTA</w:t>
      </w:r>
      <w:r w:rsidRPr="008B3DCE">
        <w:rPr>
          <w:rStyle w:val="normaltextrun"/>
          <w:rFonts w:cs="Arial"/>
          <w:sz w:val="18"/>
          <w:szCs w:val="18"/>
          <w:shd w:val="clear" w:color="auto" w:fill="FFFFFF"/>
          <w:vertAlign w:val="superscript"/>
          <w:lang w:val="it-IT"/>
        </w:rPr>
        <w:t>®</w:t>
      </w:r>
      <w:r w:rsidRPr="008B3DCE">
        <w:rPr>
          <w:rStyle w:val="normaltextrun"/>
          <w:rFonts w:cs="Arial"/>
          <w:sz w:val="18"/>
          <w:szCs w:val="18"/>
          <w:shd w:val="clear" w:color="auto" w:fill="FFFFFF"/>
          <w:lang w:val="it-IT"/>
        </w:rPr>
        <w:t xml:space="preserve"> (axicabtagene ciloleucel) [package insert]. Santa Monica, CA: Kite Pharma, Inc.; </w:t>
      </w:r>
      <w:r w:rsidR="007C40AF">
        <w:rPr>
          <w:rStyle w:val="normaltextrun"/>
          <w:rFonts w:cs="Arial"/>
          <w:sz w:val="18"/>
          <w:szCs w:val="18"/>
          <w:shd w:val="clear" w:color="auto" w:fill="FFFFFF"/>
          <w:lang w:val="it-IT"/>
        </w:rPr>
        <w:t>February 2026</w:t>
      </w:r>
      <w:r w:rsidRPr="008B3DCE">
        <w:rPr>
          <w:rStyle w:val="normaltextrun"/>
          <w:rFonts w:cs="Arial"/>
          <w:sz w:val="18"/>
          <w:szCs w:val="18"/>
          <w:shd w:val="clear" w:color="auto" w:fill="FFFFFF"/>
          <w:lang w:val="it-IT"/>
        </w:rPr>
        <w:t>.</w:t>
      </w:r>
    </w:p>
    <w:p w14:paraId="24499389" w14:textId="7DC78CFE" w:rsidR="002A3503" w:rsidRPr="000B1B80" w:rsidRDefault="002A3503" w:rsidP="002A3503">
      <w:pPr>
        <w:pStyle w:val="paragraph"/>
        <w:numPr>
          <w:ilvl w:val="0"/>
          <w:numId w:val="22"/>
        </w:numPr>
        <w:spacing w:before="0" w:beforeAutospacing="0" w:after="0" w:afterAutospacing="0"/>
        <w:textAlignment w:val="baseline"/>
        <w:rPr>
          <w:rStyle w:val="normaltextrun"/>
          <w:rFonts w:cs="Arial"/>
          <w:bCs/>
          <w:sz w:val="18"/>
          <w:szCs w:val="18"/>
          <w:shd w:val="clear" w:color="auto" w:fill="FFFFFF"/>
        </w:rPr>
      </w:pPr>
      <w:r w:rsidRPr="008B3DCE">
        <w:rPr>
          <w:rStyle w:val="normaltextrun"/>
          <w:rFonts w:cs="Arial"/>
          <w:bCs/>
          <w:sz w:val="18"/>
          <w:szCs w:val="18"/>
          <w:shd w:val="clear" w:color="auto" w:fill="FFFFFF"/>
          <w:lang w:val="it-IT"/>
        </w:rPr>
        <w:t>BREYANZI</w:t>
      </w:r>
      <w:r w:rsidRPr="008B3DCE">
        <w:rPr>
          <w:rStyle w:val="normaltextrun"/>
          <w:rFonts w:cs="Arial"/>
          <w:bCs/>
          <w:sz w:val="18"/>
          <w:szCs w:val="18"/>
          <w:shd w:val="clear" w:color="auto" w:fill="FFFFFF"/>
          <w:vertAlign w:val="superscript"/>
          <w:lang w:val="it-IT"/>
        </w:rPr>
        <w:t>®</w:t>
      </w:r>
      <w:r w:rsidRPr="008B3DCE">
        <w:rPr>
          <w:rStyle w:val="normaltextrun"/>
          <w:rFonts w:cs="Arial"/>
          <w:bCs/>
          <w:sz w:val="18"/>
          <w:szCs w:val="18"/>
          <w:shd w:val="clear" w:color="auto" w:fill="FFFFFF"/>
          <w:lang w:val="it-IT"/>
        </w:rPr>
        <w:t xml:space="preserve"> (lisocabtagene maraleucel) [package insert]. </w:t>
      </w:r>
      <w:r w:rsidRPr="000B1B80">
        <w:rPr>
          <w:rStyle w:val="normaltextrun"/>
          <w:rFonts w:cs="Arial"/>
          <w:bCs/>
          <w:sz w:val="18"/>
          <w:szCs w:val="18"/>
          <w:shd w:val="clear" w:color="auto" w:fill="FFFFFF"/>
        </w:rPr>
        <w:t xml:space="preserve">Bothell, WA: June Therapeutics Inc., a Bristol-Myers Squibb Company; </w:t>
      </w:r>
      <w:r w:rsidR="00380D29">
        <w:rPr>
          <w:rStyle w:val="normaltextrun"/>
          <w:rFonts w:cs="Arial"/>
          <w:sz w:val="18"/>
          <w:szCs w:val="18"/>
          <w:shd w:val="clear" w:color="auto" w:fill="FFFFFF"/>
          <w:lang w:val="it-IT"/>
        </w:rPr>
        <w:t>February 2026</w:t>
      </w:r>
      <w:r w:rsidRPr="000B1B80">
        <w:rPr>
          <w:rStyle w:val="normaltextrun"/>
          <w:rFonts w:cs="Arial"/>
          <w:bCs/>
          <w:sz w:val="18"/>
          <w:szCs w:val="18"/>
          <w:shd w:val="clear" w:color="auto" w:fill="FFFFFF"/>
        </w:rPr>
        <w:t>.</w:t>
      </w:r>
    </w:p>
    <w:p w14:paraId="35ADC05E" w14:textId="538DB430" w:rsidR="002A3503" w:rsidRPr="000B1B80" w:rsidRDefault="002A3503" w:rsidP="002A3503">
      <w:pPr>
        <w:pStyle w:val="paragraph"/>
        <w:numPr>
          <w:ilvl w:val="0"/>
          <w:numId w:val="22"/>
        </w:numPr>
        <w:spacing w:before="0" w:beforeAutospacing="0" w:after="0" w:afterAutospacing="0"/>
        <w:textAlignment w:val="baseline"/>
        <w:rPr>
          <w:rStyle w:val="normaltextrun"/>
          <w:rFonts w:cs="Arial"/>
          <w:bCs/>
          <w:sz w:val="18"/>
          <w:szCs w:val="18"/>
          <w:shd w:val="clear" w:color="auto" w:fill="FFFFFF"/>
        </w:rPr>
      </w:pPr>
      <w:r w:rsidRPr="000B1B80">
        <w:rPr>
          <w:rStyle w:val="normaltextrun"/>
          <w:rFonts w:cs="Arial"/>
          <w:bCs/>
          <w:sz w:val="18"/>
          <w:szCs w:val="18"/>
          <w:shd w:val="clear" w:color="auto" w:fill="FFFFFF"/>
        </w:rPr>
        <w:t>ABECMA</w:t>
      </w:r>
      <w:r w:rsidRPr="000B1B80">
        <w:rPr>
          <w:rStyle w:val="normaltextrun"/>
          <w:rFonts w:cs="Arial"/>
          <w:bCs/>
          <w:sz w:val="18"/>
          <w:szCs w:val="18"/>
          <w:shd w:val="clear" w:color="auto" w:fill="FFFFFF"/>
          <w:vertAlign w:val="superscript"/>
        </w:rPr>
        <w:t>®</w:t>
      </w:r>
      <w:r w:rsidRPr="000B1B80">
        <w:rPr>
          <w:rStyle w:val="normaltextrun"/>
          <w:rFonts w:cs="Arial"/>
          <w:bCs/>
          <w:sz w:val="18"/>
          <w:szCs w:val="18"/>
          <w:shd w:val="clear" w:color="auto" w:fill="FFFFFF"/>
        </w:rPr>
        <w:t xml:space="preserve"> (idecabtagene vicleucel) [package insert]. Summit, NJ: Celgene Corporation, a Bristol-Myers Squibb Company; </w:t>
      </w:r>
      <w:r w:rsidR="0030577C">
        <w:rPr>
          <w:rStyle w:val="normaltextrun"/>
          <w:rFonts w:cs="Arial"/>
          <w:bCs/>
          <w:sz w:val="18"/>
          <w:szCs w:val="18"/>
          <w:shd w:val="clear" w:color="auto" w:fill="FFFFFF"/>
        </w:rPr>
        <w:t>November</w:t>
      </w:r>
      <w:r>
        <w:rPr>
          <w:rStyle w:val="normaltextrun"/>
          <w:rFonts w:cs="Arial"/>
          <w:bCs/>
          <w:sz w:val="18"/>
          <w:szCs w:val="18"/>
          <w:shd w:val="clear" w:color="auto" w:fill="FFFFFF"/>
        </w:rPr>
        <w:t xml:space="preserve"> 2025.</w:t>
      </w:r>
      <w:r w:rsidRPr="000B1B80">
        <w:rPr>
          <w:rStyle w:val="normaltextrun"/>
          <w:rFonts w:cs="Arial"/>
          <w:bCs/>
          <w:sz w:val="18"/>
          <w:szCs w:val="18"/>
          <w:shd w:val="clear" w:color="auto" w:fill="FFFFFF"/>
        </w:rPr>
        <w:t xml:space="preserve"> </w:t>
      </w:r>
    </w:p>
    <w:p w14:paraId="65B9A891" w14:textId="46C8A65A" w:rsidR="002A3503" w:rsidRPr="000B1B80" w:rsidRDefault="002A3503" w:rsidP="002A3503">
      <w:pPr>
        <w:pStyle w:val="paragraph"/>
        <w:numPr>
          <w:ilvl w:val="0"/>
          <w:numId w:val="22"/>
        </w:numPr>
        <w:spacing w:before="0" w:beforeAutospacing="0" w:after="0" w:afterAutospacing="0"/>
        <w:textAlignment w:val="baseline"/>
        <w:rPr>
          <w:rStyle w:val="normaltextrun"/>
          <w:rFonts w:cs="Arial"/>
          <w:bCs/>
          <w:sz w:val="18"/>
          <w:szCs w:val="18"/>
          <w:shd w:val="clear" w:color="auto" w:fill="FFFFFF"/>
        </w:rPr>
      </w:pPr>
      <w:r w:rsidRPr="000B1B80">
        <w:rPr>
          <w:rStyle w:val="normaltextrun"/>
          <w:rFonts w:cs="Arial"/>
          <w:bCs/>
          <w:sz w:val="18"/>
          <w:szCs w:val="18"/>
          <w:shd w:val="clear" w:color="auto" w:fill="FFFFFF"/>
        </w:rPr>
        <w:t xml:space="preserve">CARVYKTI™ (ciltacabtagene autoleucel) [package insert]. Somerset, NJ: Janssen Biotech, Inc; </w:t>
      </w:r>
      <w:r w:rsidR="00B74C24">
        <w:rPr>
          <w:rStyle w:val="normaltextrun"/>
          <w:rFonts w:cs="Arial"/>
          <w:bCs/>
          <w:sz w:val="18"/>
          <w:szCs w:val="18"/>
          <w:shd w:val="clear" w:color="auto" w:fill="FFFFFF"/>
        </w:rPr>
        <w:t>October</w:t>
      </w:r>
      <w:r>
        <w:rPr>
          <w:rStyle w:val="normaltextrun"/>
          <w:rFonts w:cs="Arial"/>
          <w:bCs/>
          <w:sz w:val="18"/>
          <w:szCs w:val="18"/>
          <w:shd w:val="clear" w:color="auto" w:fill="FFFFFF"/>
        </w:rPr>
        <w:t xml:space="preserve"> 202</w:t>
      </w:r>
      <w:r w:rsidR="00B74C24">
        <w:rPr>
          <w:rStyle w:val="normaltextrun"/>
          <w:rFonts w:cs="Arial"/>
          <w:bCs/>
          <w:sz w:val="18"/>
          <w:szCs w:val="18"/>
          <w:shd w:val="clear" w:color="auto" w:fill="FFFFFF"/>
        </w:rPr>
        <w:t>5</w:t>
      </w:r>
      <w:r w:rsidRPr="000B1B80">
        <w:rPr>
          <w:rStyle w:val="normaltextrun"/>
          <w:rFonts w:cs="Arial"/>
          <w:bCs/>
          <w:sz w:val="18"/>
          <w:szCs w:val="18"/>
          <w:shd w:val="clear" w:color="auto" w:fill="FFFFFF"/>
        </w:rPr>
        <w:t xml:space="preserve">. </w:t>
      </w:r>
    </w:p>
    <w:p w14:paraId="1E84BB63" w14:textId="77777777" w:rsidR="002A3503" w:rsidRPr="000B1B80" w:rsidRDefault="002A3503" w:rsidP="002A3503">
      <w:pPr>
        <w:pStyle w:val="paragraph"/>
        <w:numPr>
          <w:ilvl w:val="0"/>
          <w:numId w:val="22"/>
        </w:numPr>
        <w:spacing w:before="0" w:beforeAutospacing="0" w:after="0" w:afterAutospacing="0"/>
        <w:textAlignment w:val="baseline"/>
        <w:rPr>
          <w:rStyle w:val="normaltextrun"/>
          <w:rFonts w:cs="Arial"/>
          <w:sz w:val="18"/>
          <w:szCs w:val="18"/>
          <w:shd w:val="clear" w:color="auto" w:fill="FFFFFF"/>
        </w:rPr>
      </w:pPr>
      <w:r w:rsidRPr="000B1B80">
        <w:rPr>
          <w:rStyle w:val="normaltextrun"/>
          <w:rFonts w:cs="Arial"/>
          <w:sz w:val="18"/>
          <w:szCs w:val="18"/>
          <w:shd w:val="clear" w:color="auto" w:fill="FFFFFF"/>
        </w:rPr>
        <w:t>IPD Analytics. Oncology: Chimeric Antigen Receptor (CAR) T-cell Therapy.  April 2017.</w:t>
      </w:r>
    </w:p>
    <w:p w14:paraId="65159057" w14:textId="77777777"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IPD Analytics. New Drug Review: Tecartus (brexucabtagene autoleucel).  August 2020.</w:t>
      </w:r>
    </w:p>
    <w:p w14:paraId="074F4F79" w14:textId="77777777"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IPD Analytics. New Drug Review: Breyanzi (lisocabtagene maraleucel; liso-cel).  February 2021.</w:t>
      </w:r>
    </w:p>
    <w:p w14:paraId="08A87DB9" w14:textId="77777777"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IPD Analytics. New Drug Review: Abecma (idecabtagene vicluecel). April 2021.</w:t>
      </w:r>
    </w:p>
    <w:p w14:paraId="42EBCE7D" w14:textId="77777777" w:rsidR="002A3503" w:rsidRPr="000B1B80" w:rsidRDefault="002A3503" w:rsidP="002A3503">
      <w:pPr>
        <w:pStyle w:val="ListParagraph"/>
        <w:numPr>
          <w:ilvl w:val="0"/>
          <w:numId w:val="22"/>
        </w:numPr>
        <w:rPr>
          <w:rStyle w:val="normaltextrun"/>
          <w:rFonts w:cs="Arial"/>
          <w:sz w:val="18"/>
          <w:szCs w:val="18"/>
          <w:shd w:val="clear" w:color="auto" w:fill="FFFFFF"/>
        </w:rPr>
      </w:pPr>
      <w:r w:rsidRPr="000B1B80">
        <w:rPr>
          <w:rStyle w:val="normaltextrun"/>
          <w:rFonts w:cs="Arial"/>
          <w:sz w:val="18"/>
          <w:szCs w:val="18"/>
          <w:shd w:val="clear" w:color="auto" w:fill="FFFFFF"/>
        </w:rPr>
        <w:t xml:space="preserve">IPD Analytics. New Drug Review: Carvykti (ciltacabtagene autoleucel). February 2022. </w:t>
      </w:r>
    </w:p>
    <w:p w14:paraId="6B5D78A9" w14:textId="77777777" w:rsidR="002A3503" w:rsidRPr="000B1B80" w:rsidRDefault="002A3503" w:rsidP="002A3503">
      <w:pPr>
        <w:pStyle w:val="paragraph"/>
        <w:numPr>
          <w:ilvl w:val="0"/>
          <w:numId w:val="22"/>
        </w:numPr>
        <w:spacing w:before="0" w:beforeAutospacing="0" w:after="0" w:afterAutospacing="0"/>
        <w:textAlignment w:val="baseline"/>
        <w:rPr>
          <w:rFonts w:cs="Arial"/>
          <w:sz w:val="18"/>
          <w:szCs w:val="18"/>
          <w:shd w:val="clear" w:color="auto" w:fill="FFFFFF"/>
        </w:rPr>
      </w:pPr>
      <w:r w:rsidRPr="000B1B80">
        <w:rPr>
          <w:rFonts w:cs="Arial"/>
          <w:sz w:val="18"/>
          <w:szCs w:val="18"/>
        </w:rPr>
        <w:t>Ogba N, Arwood N, Bartlett N, et al. Chimeric antigen receptor T-cell therapy. </w:t>
      </w:r>
      <w:r w:rsidRPr="000B1B80">
        <w:rPr>
          <w:rStyle w:val="Emphasis"/>
          <w:rFonts w:cs="Arial"/>
          <w:sz w:val="18"/>
          <w:szCs w:val="18"/>
        </w:rPr>
        <w:t>J Natl Compr Canc Netw. </w:t>
      </w:r>
      <w:r w:rsidRPr="000B1B80">
        <w:rPr>
          <w:rFonts w:cs="Arial"/>
          <w:sz w:val="18"/>
          <w:szCs w:val="18"/>
        </w:rPr>
        <w:t>2018; 16(9):1092-1106. doi: 10.6004/jnccn.2018.0073</w:t>
      </w:r>
    </w:p>
    <w:p w14:paraId="7BEAD0C5" w14:textId="77777777" w:rsidR="002A3503" w:rsidRPr="00A71BCC" w:rsidRDefault="002A3503" w:rsidP="002A3503">
      <w:pPr>
        <w:pStyle w:val="paragraph"/>
        <w:numPr>
          <w:ilvl w:val="0"/>
          <w:numId w:val="22"/>
        </w:numPr>
        <w:spacing w:before="0" w:beforeAutospacing="0" w:after="0" w:afterAutospacing="0"/>
        <w:textAlignment w:val="baseline"/>
        <w:rPr>
          <w:rFonts w:cs="Arial"/>
          <w:sz w:val="18"/>
          <w:szCs w:val="18"/>
          <w:shd w:val="clear" w:color="auto" w:fill="FFFFFF"/>
        </w:rPr>
      </w:pPr>
      <w:r w:rsidRPr="00A71BCC">
        <w:rPr>
          <w:rFonts w:cs="Arial"/>
          <w:sz w:val="18"/>
          <w:szCs w:val="18"/>
          <w:lang w:val="en"/>
        </w:rPr>
        <w:t xml:space="preserve">Mahadeo, K.M., Khazal, S.J., Abdel-Azim, H. </w:t>
      </w:r>
      <w:r w:rsidRPr="00A71BCC">
        <w:rPr>
          <w:rFonts w:cs="Arial"/>
          <w:i/>
          <w:iCs/>
          <w:sz w:val="18"/>
          <w:szCs w:val="18"/>
          <w:lang w:val="en"/>
        </w:rPr>
        <w:t>et al.</w:t>
      </w:r>
      <w:r w:rsidRPr="00A71BCC">
        <w:rPr>
          <w:rFonts w:cs="Arial"/>
          <w:sz w:val="18"/>
          <w:szCs w:val="18"/>
          <w:lang w:val="en"/>
        </w:rPr>
        <w:t xml:space="preserve"> Management guidelines for paediatric patients receiving chimeric antigen receptor T cell therapy. </w:t>
      </w:r>
      <w:r w:rsidRPr="00A71BCC">
        <w:rPr>
          <w:rFonts w:cs="Arial"/>
          <w:i/>
          <w:iCs/>
          <w:sz w:val="18"/>
          <w:szCs w:val="18"/>
          <w:lang w:val="en"/>
        </w:rPr>
        <w:t>Nat Rev Clin Oncol</w:t>
      </w:r>
      <w:r w:rsidRPr="00A71BCC">
        <w:rPr>
          <w:rFonts w:cs="Arial"/>
          <w:sz w:val="18"/>
          <w:szCs w:val="18"/>
          <w:lang w:val="en"/>
        </w:rPr>
        <w:t xml:space="preserve"> 16, 45–63 (2019)</w:t>
      </w:r>
    </w:p>
    <w:p w14:paraId="7A580CA0" w14:textId="77777777" w:rsidR="002A3503" w:rsidRPr="00C8051F" w:rsidRDefault="002A3503" w:rsidP="002A3503">
      <w:pPr>
        <w:pStyle w:val="ListParagraph"/>
        <w:numPr>
          <w:ilvl w:val="0"/>
          <w:numId w:val="22"/>
        </w:numPr>
        <w:rPr>
          <w:rStyle w:val="normaltextrun"/>
          <w:rFonts w:cs="Arial"/>
          <w:sz w:val="18"/>
          <w:szCs w:val="18"/>
          <w:shd w:val="clear" w:color="auto" w:fill="FFFFFF"/>
        </w:rPr>
      </w:pPr>
      <w:r w:rsidRPr="00C8051F">
        <w:rPr>
          <w:rStyle w:val="normaltextrun"/>
          <w:rFonts w:cs="Arial"/>
          <w:sz w:val="18"/>
          <w:szCs w:val="18"/>
          <w:shd w:val="clear" w:color="auto" w:fill="FFFFFF"/>
        </w:rPr>
        <w:t>National Comprehensive Cancer Network (NCCN).  NCCN Clinical Practice Guidelines in Oncology (NCCN Guidelines</w:t>
      </w:r>
      <w:r w:rsidRPr="00C8051F">
        <w:rPr>
          <w:rStyle w:val="normaltextrun"/>
          <w:rFonts w:cs="Arial"/>
          <w:sz w:val="18"/>
          <w:szCs w:val="18"/>
          <w:shd w:val="clear" w:color="auto" w:fill="FFFFFF"/>
          <w:vertAlign w:val="superscript"/>
        </w:rPr>
        <w:t>®</w:t>
      </w:r>
      <w:r w:rsidRPr="00C8051F">
        <w:rPr>
          <w:rStyle w:val="normaltextrun"/>
          <w:rFonts w:cs="Arial"/>
          <w:sz w:val="18"/>
          <w:szCs w:val="18"/>
          <w:shd w:val="clear" w:color="auto" w:fill="FFFFFF"/>
        </w:rPr>
        <w:t xml:space="preserve">).  B-Cell Lymphomas.  Version 2.2025 – February 10, 2025.  </w:t>
      </w:r>
      <w:hyperlink r:id="rId11" w:history="1">
        <w:r w:rsidRPr="00C8051F">
          <w:rPr>
            <w:rStyle w:val="Hyperlink"/>
            <w:rFonts w:cs="Arial"/>
            <w:sz w:val="18"/>
            <w:szCs w:val="18"/>
            <w:shd w:val="clear" w:color="auto" w:fill="FFFFFF"/>
          </w:rPr>
          <w:t>https://www.nccn.org/</w:t>
        </w:r>
      </w:hyperlink>
    </w:p>
    <w:p w14:paraId="1EE94818" w14:textId="77777777" w:rsidR="002A3503" w:rsidRPr="00E90140" w:rsidRDefault="002A3503" w:rsidP="002A3503">
      <w:pPr>
        <w:pStyle w:val="ListParagraph"/>
        <w:numPr>
          <w:ilvl w:val="0"/>
          <w:numId w:val="22"/>
        </w:numPr>
        <w:rPr>
          <w:rStyle w:val="normaltextrun"/>
          <w:rFonts w:cs="Arial"/>
          <w:sz w:val="18"/>
          <w:szCs w:val="18"/>
          <w:shd w:val="clear" w:color="auto" w:fill="FFFFFF"/>
        </w:rPr>
      </w:pPr>
      <w:r w:rsidRPr="00C50893">
        <w:rPr>
          <w:rStyle w:val="normaltextrun"/>
          <w:rFonts w:cs="Arial"/>
          <w:sz w:val="18"/>
          <w:szCs w:val="18"/>
          <w:shd w:val="clear" w:color="auto" w:fill="FFFFFF"/>
        </w:rPr>
        <w:t xml:space="preserve">National Comprehensive Cancer Network (NCCN). NCCN Clinical Practice Guidelines in Oncology (NCCN </w:t>
      </w:r>
      <w:r w:rsidRPr="00E90140">
        <w:rPr>
          <w:rStyle w:val="normaltextrun"/>
          <w:rFonts w:cs="Arial"/>
          <w:sz w:val="18"/>
          <w:szCs w:val="18"/>
          <w:shd w:val="clear" w:color="auto" w:fill="FFFFFF"/>
        </w:rPr>
        <w:t xml:space="preserve">Guidelines). Multiple Myeloma. Version 2.2025 – April 11, 2025. </w:t>
      </w:r>
      <w:hyperlink r:id="rId12" w:history="1">
        <w:r w:rsidRPr="00E90140">
          <w:rPr>
            <w:rStyle w:val="Hyperlink"/>
            <w:rFonts w:cs="Arial"/>
            <w:sz w:val="18"/>
            <w:szCs w:val="18"/>
            <w:shd w:val="clear" w:color="auto" w:fill="FFFFFF"/>
          </w:rPr>
          <w:t>https://www.nccn.org/</w:t>
        </w:r>
      </w:hyperlink>
      <w:r w:rsidRPr="00E90140">
        <w:rPr>
          <w:rStyle w:val="normaltextrun"/>
          <w:rFonts w:cs="Arial"/>
          <w:sz w:val="18"/>
          <w:szCs w:val="18"/>
          <w:shd w:val="clear" w:color="auto" w:fill="FFFFFF"/>
        </w:rPr>
        <w:t xml:space="preserve"> </w:t>
      </w:r>
    </w:p>
    <w:p w14:paraId="767F7ED5" w14:textId="77777777" w:rsidR="002A3503" w:rsidRPr="00E90140" w:rsidRDefault="002A3503" w:rsidP="002A3503">
      <w:pPr>
        <w:pStyle w:val="ListParagraph"/>
        <w:numPr>
          <w:ilvl w:val="0"/>
          <w:numId w:val="22"/>
        </w:numPr>
        <w:rPr>
          <w:rFonts w:cs="Arial"/>
          <w:sz w:val="18"/>
          <w:szCs w:val="18"/>
          <w:shd w:val="clear" w:color="auto" w:fill="FFFFFF"/>
        </w:rPr>
      </w:pPr>
      <w:r w:rsidRPr="00E90140">
        <w:rPr>
          <w:rStyle w:val="normaltextrun"/>
          <w:rFonts w:cs="Arial"/>
          <w:sz w:val="18"/>
          <w:szCs w:val="18"/>
          <w:shd w:val="clear" w:color="auto" w:fill="FFFFFF"/>
        </w:rPr>
        <w:t xml:space="preserve">National Comprehensive Cancer Network (NCCN). NCCN Clinical Practice Guidelines in Oncology (NCCN Guidelines). </w:t>
      </w:r>
      <w:r w:rsidRPr="00E90140">
        <w:rPr>
          <w:rFonts w:cs="Arial"/>
          <w:sz w:val="18"/>
          <w:szCs w:val="18"/>
          <w:shd w:val="clear" w:color="auto" w:fill="FFFFFF"/>
        </w:rPr>
        <w:t>Acute Lymphoblastic Leukemia</w:t>
      </w:r>
      <w:r w:rsidRPr="00E90140">
        <w:rPr>
          <w:rStyle w:val="normaltextrun"/>
          <w:rFonts w:cs="Arial"/>
          <w:sz w:val="18"/>
          <w:szCs w:val="18"/>
          <w:shd w:val="clear" w:color="auto" w:fill="FFFFFF"/>
        </w:rPr>
        <w:t xml:space="preserve">. Version 1.2025 – May 15, 2025. </w:t>
      </w:r>
      <w:hyperlink r:id="rId13" w:history="1">
        <w:r w:rsidRPr="00E90140">
          <w:rPr>
            <w:rStyle w:val="Hyperlink"/>
            <w:rFonts w:cs="Arial"/>
            <w:sz w:val="18"/>
            <w:szCs w:val="18"/>
            <w:shd w:val="clear" w:color="auto" w:fill="FFFFFF"/>
          </w:rPr>
          <w:t>https://www.nccn.org/</w:t>
        </w:r>
      </w:hyperlink>
    </w:p>
    <w:p w14:paraId="1431A17A" w14:textId="77777777" w:rsidR="002A3503" w:rsidRPr="000B1B80" w:rsidRDefault="002A3503" w:rsidP="002A3503">
      <w:pPr>
        <w:pStyle w:val="ListParagraph"/>
        <w:numPr>
          <w:ilvl w:val="0"/>
          <w:numId w:val="22"/>
        </w:numPr>
        <w:rPr>
          <w:rStyle w:val="normaltextrun"/>
          <w:rFonts w:cs="Arial"/>
          <w:sz w:val="18"/>
          <w:szCs w:val="18"/>
          <w:shd w:val="clear" w:color="auto" w:fill="FFFFFF"/>
        </w:rPr>
      </w:pPr>
      <w:r>
        <w:rPr>
          <w:rStyle w:val="normaltextrun"/>
          <w:rFonts w:cs="Arial"/>
          <w:sz w:val="18"/>
          <w:szCs w:val="18"/>
          <w:shd w:val="clear" w:color="auto" w:fill="FFFFFF"/>
        </w:rPr>
        <w:t>TECELRA</w:t>
      </w:r>
      <w:r w:rsidRPr="000B1B80">
        <w:rPr>
          <w:rStyle w:val="normaltextrun"/>
          <w:rFonts w:cs="Arial"/>
          <w:sz w:val="18"/>
          <w:szCs w:val="18"/>
          <w:shd w:val="clear" w:color="auto" w:fill="FFFFFF"/>
          <w:vertAlign w:val="superscript"/>
        </w:rPr>
        <w:t>®</w:t>
      </w:r>
      <w:r w:rsidRPr="000B1B80">
        <w:rPr>
          <w:rStyle w:val="normaltextrun"/>
          <w:rFonts w:cs="Arial"/>
          <w:sz w:val="18"/>
          <w:szCs w:val="18"/>
          <w:shd w:val="clear" w:color="auto" w:fill="FFFFFF"/>
        </w:rPr>
        <w:t xml:space="preserve"> (</w:t>
      </w:r>
      <w:r>
        <w:rPr>
          <w:rStyle w:val="normaltextrun"/>
          <w:rFonts w:cs="Arial"/>
          <w:sz w:val="18"/>
          <w:szCs w:val="18"/>
          <w:shd w:val="clear" w:color="auto" w:fill="FFFFFF"/>
        </w:rPr>
        <w:t>afamitresgene autoleucel</w:t>
      </w:r>
      <w:r w:rsidRPr="000B1B80">
        <w:rPr>
          <w:rStyle w:val="normaltextrun"/>
          <w:rFonts w:cs="Arial"/>
          <w:sz w:val="18"/>
          <w:szCs w:val="18"/>
          <w:shd w:val="clear" w:color="auto" w:fill="FFFFFF"/>
        </w:rPr>
        <w:t xml:space="preserve">) [package insert]. </w:t>
      </w:r>
      <w:r>
        <w:rPr>
          <w:rStyle w:val="normaltextrun"/>
          <w:rFonts w:cs="Arial"/>
          <w:sz w:val="18"/>
          <w:szCs w:val="18"/>
          <w:shd w:val="clear" w:color="auto" w:fill="FFFFFF"/>
        </w:rPr>
        <w:t>Philadelphia, PA:</w:t>
      </w:r>
      <w:r w:rsidRPr="000B1B80">
        <w:rPr>
          <w:rStyle w:val="normaltextrun"/>
          <w:rFonts w:cs="Arial"/>
          <w:sz w:val="18"/>
          <w:szCs w:val="18"/>
          <w:shd w:val="clear" w:color="auto" w:fill="FFFFFF"/>
        </w:rPr>
        <w:t xml:space="preserve"> </w:t>
      </w:r>
      <w:r>
        <w:rPr>
          <w:rStyle w:val="normaltextrun"/>
          <w:rFonts w:cs="Arial"/>
          <w:sz w:val="18"/>
          <w:szCs w:val="18"/>
          <w:shd w:val="clear" w:color="auto" w:fill="FFFFFF"/>
        </w:rPr>
        <w:t>Adaptimmune, LLC; August 2024.</w:t>
      </w:r>
    </w:p>
    <w:p w14:paraId="4F0C6E9B" w14:textId="36908236" w:rsidR="002A3503" w:rsidRPr="00A06505" w:rsidRDefault="002A3503" w:rsidP="002A3503">
      <w:pPr>
        <w:pStyle w:val="ListParagraph"/>
        <w:numPr>
          <w:ilvl w:val="0"/>
          <w:numId w:val="22"/>
        </w:numPr>
        <w:rPr>
          <w:rStyle w:val="normaltextrun"/>
          <w:rFonts w:cs="Arial"/>
          <w:sz w:val="18"/>
          <w:szCs w:val="18"/>
          <w:shd w:val="clear" w:color="auto" w:fill="FFFFFF"/>
        </w:rPr>
      </w:pPr>
      <w:r>
        <w:rPr>
          <w:rStyle w:val="normaltextrun"/>
          <w:rFonts w:cs="Arial"/>
          <w:sz w:val="18"/>
          <w:szCs w:val="18"/>
          <w:shd w:val="clear" w:color="auto" w:fill="FFFFFF"/>
        </w:rPr>
        <w:t>AUCATZYL (</w:t>
      </w:r>
      <w:r w:rsidRPr="00310771">
        <w:rPr>
          <w:rFonts w:cs="Arial"/>
          <w:sz w:val="18"/>
          <w:szCs w:val="18"/>
          <w:shd w:val="clear" w:color="auto" w:fill="FFFFFF"/>
        </w:rPr>
        <w:t>obecabtagene autoleucel)</w:t>
      </w:r>
      <w:r>
        <w:rPr>
          <w:rFonts w:cs="Arial"/>
          <w:sz w:val="18"/>
          <w:szCs w:val="18"/>
          <w:shd w:val="clear" w:color="auto" w:fill="FFFFFF"/>
        </w:rPr>
        <w:t xml:space="preserve"> [package insert]. Gaithersburg, MD: Autolus Inc. </w:t>
      </w:r>
      <w:r w:rsidR="00AE7FBE">
        <w:rPr>
          <w:rFonts w:cs="Arial"/>
          <w:sz w:val="18"/>
          <w:szCs w:val="18"/>
          <w:shd w:val="clear" w:color="auto" w:fill="FFFFFF"/>
        </w:rPr>
        <w:t>February</w:t>
      </w:r>
      <w:r>
        <w:rPr>
          <w:rFonts w:cs="Arial"/>
          <w:sz w:val="18"/>
          <w:szCs w:val="18"/>
          <w:shd w:val="clear" w:color="auto" w:fill="FFFFFF"/>
        </w:rPr>
        <w:t xml:space="preserve"> 202</w:t>
      </w:r>
      <w:r w:rsidR="00AE7FBE">
        <w:rPr>
          <w:rFonts w:cs="Arial"/>
          <w:sz w:val="18"/>
          <w:szCs w:val="18"/>
          <w:shd w:val="clear" w:color="auto" w:fill="FFFFFF"/>
        </w:rPr>
        <w:t>6</w:t>
      </w:r>
      <w:r>
        <w:rPr>
          <w:rFonts w:cs="Arial"/>
          <w:sz w:val="18"/>
          <w:szCs w:val="18"/>
          <w:shd w:val="clear" w:color="auto" w:fill="FFFFFF"/>
        </w:rPr>
        <w:t>.</w:t>
      </w:r>
    </w:p>
    <w:p w14:paraId="3FA1E7DB" w14:textId="0037C6AE" w:rsidR="00777CA4" w:rsidRDefault="00777CA4" w:rsidP="002A3503"/>
    <w:sectPr w:rsidR="00777CA4" w:rsidSect="00AB0B9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4855" w14:textId="77777777" w:rsidR="007924D5" w:rsidRPr="00C02553" w:rsidRDefault="007924D5" w:rsidP="00AE77DB">
      <w:r w:rsidRPr="00C02553">
        <w:separator/>
      </w:r>
    </w:p>
  </w:endnote>
  <w:endnote w:type="continuationSeparator" w:id="0">
    <w:p w14:paraId="4F8FF035" w14:textId="77777777" w:rsidR="007924D5" w:rsidRPr="00C02553" w:rsidRDefault="007924D5" w:rsidP="00AE77DB">
      <w:r w:rsidRPr="00C02553">
        <w:continuationSeparator/>
      </w:r>
    </w:p>
  </w:endnote>
  <w:endnote w:type="continuationNotice" w:id="1">
    <w:p w14:paraId="5255AC03" w14:textId="77777777" w:rsidR="007924D5" w:rsidRPr="00C02553" w:rsidRDefault="00792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9742" w14:textId="77777777" w:rsidR="007924D5" w:rsidRPr="00C02553" w:rsidRDefault="007924D5" w:rsidP="00AE77DB">
      <w:r w:rsidRPr="00C02553">
        <w:separator/>
      </w:r>
    </w:p>
  </w:footnote>
  <w:footnote w:type="continuationSeparator" w:id="0">
    <w:p w14:paraId="1496E668" w14:textId="77777777" w:rsidR="007924D5" w:rsidRPr="00C02553" w:rsidRDefault="007924D5" w:rsidP="00AE77DB">
      <w:r w:rsidRPr="00C02553">
        <w:continuationSeparator/>
      </w:r>
    </w:p>
  </w:footnote>
  <w:footnote w:type="continuationNotice" w:id="1">
    <w:p w14:paraId="569DCC91" w14:textId="77777777" w:rsidR="007924D5" w:rsidRPr="00C02553" w:rsidRDefault="00792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25256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25256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25256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B6720FE"/>
    <w:multiLevelType w:val="hybridMultilevel"/>
    <w:tmpl w:val="C6AE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B66AE"/>
    <w:multiLevelType w:val="hybridMultilevel"/>
    <w:tmpl w:val="0914B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9B2185"/>
    <w:multiLevelType w:val="hybridMultilevel"/>
    <w:tmpl w:val="40EE7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8F3737"/>
    <w:multiLevelType w:val="hybridMultilevel"/>
    <w:tmpl w:val="64D2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90380"/>
    <w:multiLevelType w:val="hybridMultilevel"/>
    <w:tmpl w:val="7E980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AB37B0"/>
    <w:multiLevelType w:val="hybridMultilevel"/>
    <w:tmpl w:val="65ECA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1"/>
  </w:num>
  <w:num w:numId="3" w16cid:durableId="1729067566">
    <w:abstractNumId w:val="4"/>
  </w:num>
  <w:num w:numId="4" w16cid:durableId="320159068">
    <w:abstractNumId w:val="9"/>
  </w:num>
  <w:num w:numId="5" w16cid:durableId="1769498754">
    <w:abstractNumId w:val="3"/>
  </w:num>
  <w:num w:numId="6" w16cid:durableId="1094596320">
    <w:abstractNumId w:val="18"/>
  </w:num>
  <w:num w:numId="7" w16cid:durableId="2110008555">
    <w:abstractNumId w:val="2"/>
  </w:num>
  <w:num w:numId="8" w16cid:durableId="489712751">
    <w:abstractNumId w:val="8"/>
  </w:num>
  <w:num w:numId="9" w16cid:durableId="1085147965">
    <w:abstractNumId w:val="14"/>
  </w:num>
  <w:num w:numId="10" w16cid:durableId="917518096">
    <w:abstractNumId w:val="10"/>
  </w:num>
  <w:num w:numId="11" w16cid:durableId="1894998475">
    <w:abstractNumId w:val="1"/>
  </w:num>
  <w:num w:numId="12" w16cid:durableId="1418215296">
    <w:abstractNumId w:val="19"/>
  </w:num>
  <w:num w:numId="13" w16cid:durableId="604729665">
    <w:abstractNumId w:val="6"/>
  </w:num>
  <w:num w:numId="14" w16cid:durableId="1805081292">
    <w:abstractNumId w:val="16"/>
  </w:num>
  <w:num w:numId="15" w16cid:durableId="1911186802">
    <w:abstractNumId w:val="7"/>
  </w:num>
  <w:num w:numId="16" w16cid:durableId="567811087">
    <w:abstractNumId w:val="17"/>
  </w:num>
  <w:num w:numId="17" w16cid:durableId="1459295140">
    <w:abstractNumId w:val="11"/>
  </w:num>
  <w:num w:numId="18" w16cid:durableId="1126391020">
    <w:abstractNumId w:val="20"/>
  </w:num>
  <w:num w:numId="19" w16cid:durableId="1785996375">
    <w:abstractNumId w:val="15"/>
  </w:num>
  <w:num w:numId="20" w16cid:durableId="821509487">
    <w:abstractNumId w:val="12"/>
  </w:num>
  <w:num w:numId="21" w16cid:durableId="23140318">
    <w:abstractNumId w:val="13"/>
  </w:num>
  <w:num w:numId="22" w16cid:durableId="7258813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WI7eLoLMTeLL/F5C7oAKAHYMyxCo4UCNxcGUhmJ5VGPil41P2rtSx2JM7MoLbuqyDLvHlFQQDan1Ss/pJtj7Hw==" w:salt="Jf53567M/AJqvg59+Encc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1FF"/>
    <w:rsid w:val="000344C5"/>
    <w:rsid w:val="00040AD3"/>
    <w:rsid w:val="0004175B"/>
    <w:rsid w:val="00051FD0"/>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A9D"/>
    <w:rsid w:val="00112FC7"/>
    <w:rsid w:val="00125F5F"/>
    <w:rsid w:val="00126951"/>
    <w:rsid w:val="00126B60"/>
    <w:rsid w:val="00127EF6"/>
    <w:rsid w:val="001310AD"/>
    <w:rsid w:val="001314A5"/>
    <w:rsid w:val="00132C7F"/>
    <w:rsid w:val="00143A11"/>
    <w:rsid w:val="00144DBE"/>
    <w:rsid w:val="00152C8B"/>
    <w:rsid w:val="0015636A"/>
    <w:rsid w:val="0016589E"/>
    <w:rsid w:val="00172053"/>
    <w:rsid w:val="00172356"/>
    <w:rsid w:val="00174D4A"/>
    <w:rsid w:val="00177A80"/>
    <w:rsid w:val="001808B8"/>
    <w:rsid w:val="001A50CB"/>
    <w:rsid w:val="001A74B7"/>
    <w:rsid w:val="001B2D47"/>
    <w:rsid w:val="001B5F66"/>
    <w:rsid w:val="001C0250"/>
    <w:rsid w:val="001C4DFC"/>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0B36"/>
    <w:rsid w:val="00222134"/>
    <w:rsid w:val="0022233F"/>
    <w:rsid w:val="00226275"/>
    <w:rsid w:val="00246564"/>
    <w:rsid w:val="00246A3B"/>
    <w:rsid w:val="00250FBF"/>
    <w:rsid w:val="00252560"/>
    <w:rsid w:val="00255404"/>
    <w:rsid w:val="0025594F"/>
    <w:rsid w:val="00270C5E"/>
    <w:rsid w:val="00290A03"/>
    <w:rsid w:val="0029159A"/>
    <w:rsid w:val="00291600"/>
    <w:rsid w:val="002929F1"/>
    <w:rsid w:val="002A02F4"/>
    <w:rsid w:val="002A3503"/>
    <w:rsid w:val="002C2C41"/>
    <w:rsid w:val="002C62E7"/>
    <w:rsid w:val="002D0F39"/>
    <w:rsid w:val="002E05E2"/>
    <w:rsid w:val="002E2DD6"/>
    <w:rsid w:val="002E3F28"/>
    <w:rsid w:val="002F0E52"/>
    <w:rsid w:val="002F2274"/>
    <w:rsid w:val="002F2405"/>
    <w:rsid w:val="002F690F"/>
    <w:rsid w:val="0030301F"/>
    <w:rsid w:val="00303B21"/>
    <w:rsid w:val="0030577C"/>
    <w:rsid w:val="003105A5"/>
    <w:rsid w:val="00313701"/>
    <w:rsid w:val="00314430"/>
    <w:rsid w:val="00316188"/>
    <w:rsid w:val="003171AF"/>
    <w:rsid w:val="00317469"/>
    <w:rsid w:val="003209D7"/>
    <w:rsid w:val="0032215C"/>
    <w:rsid w:val="0032616B"/>
    <w:rsid w:val="00326687"/>
    <w:rsid w:val="003275F9"/>
    <w:rsid w:val="00330DD4"/>
    <w:rsid w:val="003345D2"/>
    <w:rsid w:val="003355AC"/>
    <w:rsid w:val="00343D6B"/>
    <w:rsid w:val="00346090"/>
    <w:rsid w:val="00347FB5"/>
    <w:rsid w:val="00355515"/>
    <w:rsid w:val="003608B5"/>
    <w:rsid w:val="003613AF"/>
    <w:rsid w:val="00380D29"/>
    <w:rsid w:val="003878C1"/>
    <w:rsid w:val="00396C0B"/>
    <w:rsid w:val="003A630F"/>
    <w:rsid w:val="003B3958"/>
    <w:rsid w:val="003B4820"/>
    <w:rsid w:val="003B5F4B"/>
    <w:rsid w:val="003B682F"/>
    <w:rsid w:val="003C3E9F"/>
    <w:rsid w:val="003C53FC"/>
    <w:rsid w:val="003C7013"/>
    <w:rsid w:val="003D4704"/>
    <w:rsid w:val="003D641B"/>
    <w:rsid w:val="003F227C"/>
    <w:rsid w:val="003F4349"/>
    <w:rsid w:val="0040088F"/>
    <w:rsid w:val="004023CC"/>
    <w:rsid w:val="00407564"/>
    <w:rsid w:val="00411152"/>
    <w:rsid w:val="004156AA"/>
    <w:rsid w:val="004253A1"/>
    <w:rsid w:val="004313B6"/>
    <w:rsid w:val="00433339"/>
    <w:rsid w:val="00446BBC"/>
    <w:rsid w:val="004471BA"/>
    <w:rsid w:val="004472C0"/>
    <w:rsid w:val="00450705"/>
    <w:rsid w:val="00451928"/>
    <w:rsid w:val="00455138"/>
    <w:rsid w:val="00460B5D"/>
    <w:rsid w:val="0046618B"/>
    <w:rsid w:val="0048608C"/>
    <w:rsid w:val="00496E57"/>
    <w:rsid w:val="004B3E10"/>
    <w:rsid w:val="004C0F5D"/>
    <w:rsid w:val="004C375A"/>
    <w:rsid w:val="004C4954"/>
    <w:rsid w:val="004C5767"/>
    <w:rsid w:val="004D0080"/>
    <w:rsid w:val="004D2945"/>
    <w:rsid w:val="004D5322"/>
    <w:rsid w:val="004D78B0"/>
    <w:rsid w:val="004E5F23"/>
    <w:rsid w:val="004E611F"/>
    <w:rsid w:val="004F2A79"/>
    <w:rsid w:val="004F3236"/>
    <w:rsid w:val="004F4D37"/>
    <w:rsid w:val="00501A14"/>
    <w:rsid w:val="00501DE3"/>
    <w:rsid w:val="005058CB"/>
    <w:rsid w:val="0051044D"/>
    <w:rsid w:val="005139E4"/>
    <w:rsid w:val="00515075"/>
    <w:rsid w:val="00516D12"/>
    <w:rsid w:val="00520FE9"/>
    <w:rsid w:val="005233E7"/>
    <w:rsid w:val="005235C1"/>
    <w:rsid w:val="00526C8D"/>
    <w:rsid w:val="005328B2"/>
    <w:rsid w:val="00535BD5"/>
    <w:rsid w:val="00536AA6"/>
    <w:rsid w:val="00540524"/>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4BCE"/>
    <w:rsid w:val="00635DDB"/>
    <w:rsid w:val="0064149A"/>
    <w:rsid w:val="00646DFE"/>
    <w:rsid w:val="00650530"/>
    <w:rsid w:val="00650C96"/>
    <w:rsid w:val="00653788"/>
    <w:rsid w:val="0065477F"/>
    <w:rsid w:val="00656896"/>
    <w:rsid w:val="00661656"/>
    <w:rsid w:val="0066374F"/>
    <w:rsid w:val="00677C65"/>
    <w:rsid w:val="006811A1"/>
    <w:rsid w:val="00693152"/>
    <w:rsid w:val="00694FAE"/>
    <w:rsid w:val="00696E3A"/>
    <w:rsid w:val="006A0834"/>
    <w:rsid w:val="006A116D"/>
    <w:rsid w:val="006A4BBD"/>
    <w:rsid w:val="006A52F1"/>
    <w:rsid w:val="006B561D"/>
    <w:rsid w:val="006B6D5D"/>
    <w:rsid w:val="006D1693"/>
    <w:rsid w:val="006D2330"/>
    <w:rsid w:val="006E0F8B"/>
    <w:rsid w:val="006E12F7"/>
    <w:rsid w:val="006E29D7"/>
    <w:rsid w:val="007068A4"/>
    <w:rsid w:val="00706D67"/>
    <w:rsid w:val="00713052"/>
    <w:rsid w:val="00721367"/>
    <w:rsid w:val="007231FA"/>
    <w:rsid w:val="00732C67"/>
    <w:rsid w:val="00734418"/>
    <w:rsid w:val="007543E2"/>
    <w:rsid w:val="00757826"/>
    <w:rsid w:val="00761CDC"/>
    <w:rsid w:val="00762B13"/>
    <w:rsid w:val="007632B7"/>
    <w:rsid w:val="0076382F"/>
    <w:rsid w:val="00765768"/>
    <w:rsid w:val="00765D10"/>
    <w:rsid w:val="00766AC8"/>
    <w:rsid w:val="00767486"/>
    <w:rsid w:val="0077070E"/>
    <w:rsid w:val="0077296A"/>
    <w:rsid w:val="00777CA4"/>
    <w:rsid w:val="007924D5"/>
    <w:rsid w:val="00792DF0"/>
    <w:rsid w:val="0079438F"/>
    <w:rsid w:val="007A3034"/>
    <w:rsid w:val="007A527E"/>
    <w:rsid w:val="007A53E7"/>
    <w:rsid w:val="007A78F7"/>
    <w:rsid w:val="007B3333"/>
    <w:rsid w:val="007B379F"/>
    <w:rsid w:val="007B37D6"/>
    <w:rsid w:val="007B5D30"/>
    <w:rsid w:val="007C40AF"/>
    <w:rsid w:val="007C66DC"/>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C3E6E"/>
    <w:rsid w:val="008C77B0"/>
    <w:rsid w:val="008D0F2F"/>
    <w:rsid w:val="008D237F"/>
    <w:rsid w:val="008D3FD8"/>
    <w:rsid w:val="008D6B05"/>
    <w:rsid w:val="008E6208"/>
    <w:rsid w:val="008E7D2D"/>
    <w:rsid w:val="008F2B3E"/>
    <w:rsid w:val="008F44C0"/>
    <w:rsid w:val="008F5999"/>
    <w:rsid w:val="00903AD6"/>
    <w:rsid w:val="00904D7A"/>
    <w:rsid w:val="00915332"/>
    <w:rsid w:val="009204BB"/>
    <w:rsid w:val="00935918"/>
    <w:rsid w:val="00935EC3"/>
    <w:rsid w:val="00951097"/>
    <w:rsid w:val="00953C1E"/>
    <w:rsid w:val="00960CF6"/>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A70AB"/>
    <w:rsid w:val="00AB0B9F"/>
    <w:rsid w:val="00AB1713"/>
    <w:rsid w:val="00AB63BE"/>
    <w:rsid w:val="00AC1EBC"/>
    <w:rsid w:val="00AC2599"/>
    <w:rsid w:val="00AC2DE9"/>
    <w:rsid w:val="00AC3CD9"/>
    <w:rsid w:val="00AD1C66"/>
    <w:rsid w:val="00AD2C5F"/>
    <w:rsid w:val="00AE1481"/>
    <w:rsid w:val="00AE27F9"/>
    <w:rsid w:val="00AE678F"/>
    <w:rsid w:val="00AE77DB"/>
    <w:rsid w:val="00AE7FBE"/>
    <w:rsid w:val="00AF7453"/>
    <w:rsid w:val="00B00FFF"/>
    <w:rsid w:val="00B06084"/>
    <w:rsid w:val="00B16735"/>
    <w:rsid w:val="00B17EDE"/>
    <w:rsid w:val="00B22585"/>
    <w:rsid w:val="00B33693"/>
    <w:rsid w:val="00B34C53"/>
    <w:rsid w:val="00B46CD5"/>
    <w:rsid w:val="00B507A5"/>
    <w:rsid w:val="00B52475"/>
    <w:rsid w:val="00B535DA"/>
    <w:rsid w:val="00B56DCC"/>
    <w:rsid w:val="00B56F54"/>
    <w:rsid w:val="00B638C2"/>
    <w:rsid w:val="00B74C24"/>
    <w:rsid w:val="00B758AB"/>
    <w:rsid w:val="00B76277"/>
    <w:rsid w:val="00B772AB"/>
    <w:rsid w:val="00B80395"/>
    <w:rsid w:val="00B80B56"/>
    <w:rsid w:val="00B82755"/>
    <w:rsid w:val="00B86372"/>
    <w:rsid w:val="00BA1C17"/>
    <w:rsid w:val="00BA1D65"/>
    <w:rsid w:val="00BB3B4D"/>
    <w:rsid w:val="00BB50F4"/>
    <w:rsid w:val="00BC351E"/>
    <w:rsid w:val="00BC3F77"/>
    <w:rsid w:val="00BC5635"/>
    <w:rsid w:val="00BC5675"/>
    <w:rsid w:val="00BD081C"/>
    <w:rsid w:val="00BD277B"/>
    <w:rsid w:val="00BD47CA"/>
    <w:rsid w:val="00BD62C7"/>
    <w:rsid w:val="00BD64E8"/>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02F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62D83"/>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090B"/>
    <w:rsid w:val="00E02FE0"/>
    <w:rsid w:val="00E07ABE"/>
    <w:rsid w:val="00E11A3F"/>
    <w:rsid w:val="00E1386E"/>
    <w:rsid w:val="00E200F1"/>
    <w:rsid w:val="00E2369B"/>
    <w:rsid w:val="00E23EC0"/>
    <w:rsid w:val="00E354AA"/>
    <w:rsid w:val="00E43D54"/>
    <w:rsid w:val="00E442FB"/>
    <w:rsid w:val="00E529DB"/>
    <w:rsid w:val="00E53A5E"/>
    <w:rsid w:val="00E61C78"/>
    <w:rsid w:val="00E6466A"/>
    <w:rsid w:val="00E72221"/>
    <w:rsid w:val="00E81B96"/>
    <w:rsid w:val="00E83428"/>
    <w:rsid w:val="00E84C58"/>
    <w:rsid w:val="00E873A5"/>
    <w:rsid w:val="00E87A60"/>
    <w:rsid w:val="00E90D11"/>
    <w:rsid w:val="00E915E5"/>
    <w:rsid w:val="00EB0367"/>
    <w:rsid w:val="00EB4FB9"/>
    <w:rsid w:val="00EB5BC8"/>
    <w:rsid w:val="00EC2738"/>
    <w:rsid w:val="00ED760F"/>
    <w:rsid w:val="00ED7B42"/>
    <w:rsid w:val="00EE3EA5"/>
    <w:rsid w:val="00EE613F"/>
    <w:rsid w:val="00EE6BD1"/>
    <w:rsid w:val="00EF0262"/>
    <w:rsid w:val="00EF0828"/>
    <w:rsid w:val="00EF6098"/>
    <w:rsid w:val="00EF6F8B"/>
    <w:rsid w:val="00F03898"/>
    <w:rsid w:val="00F1527A"/>
    <w:rsid w:val="00F2696B"/>
    <w:rsid w:val="00F27821"/>
    <w:rsid w:val="00F4092A"/>
    <w:rsid w:val="00F4136C"/>
    <w:rsid w:val="00F41F69"/>
    <w:rsid w:val="00F439CE"/>
    <w:rsid w:val="00F43E41"/>
    <w:rsid w:val="00F4790C"/>
    <w:rsid w:val="00F50C4B"/>
    <w:rsid w:val="00F54C08"/>
    <w:rsid w:val="00F553A2"/>
    <w:rsid w:val="00F6068C"/>
    <w:rsid w:val="00F62763"/>
    <w:rsid w:val="00F62F33"/>
    <w:rsid w:val="00F634C1"/>
    <w:rsid w:val="00F63A52"/>
    <w:rsid w:val="00F730BA"/>
    <w:rsid w:val="00F833DA"/>
    <w:rsid w:val="00F87CCE"/>
    <w:rsid w:val="00F903BE"/>
    <w:rsid w:val="00F95D04"/>
    <w:rsid w:val="00FA16EC"/>
    <w:rsid w:val="00FA2811"/>
    <w:rsid w:val="00FA2AB6"/>
    <w:rsid w:val="00FA4837"/>
    <w:rsid w:val="00FA74E2"/>
    <w:rsid w:val="00FB1D33"/>
    <w:rsid w:val="00FB5E96"/>
    <w:rsid w:val="00FC05A0"/>
    <w:rsid w:val="00FC32F2"/>
    <w:rsid w:val="00FC6758"/>
    <w:rsid w:val="00FD133D"/>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8C77B0"/>
    <w:rPr>
      <w:sz w:val="16"/>
      <w:szCs w:val="16"/>
    </w:rPr>
  </w:style>
  <w:style w:type="paragraph" w:styleId="CommentSubject">
    <w:name w:val="annotation subject"/>
    <w:basedOn w:val="CommentText"/>
    <w:next w:val="CommentText"/>
    <w:link w:val="CommentSubjectChar"/>
    <w:uiPriority w:val="99"/>
    <w:semiHidden/>
    <w:unhideWhenUsed/>
    <w:rsid w:val="008C77B0"/>
    <w:rPr>
      <w:b/>
      <w:bCs/>
    </w:rPr>
  </w:style>
  <w:style w:type="character" w:customStyle="1" w:styleId="CommentTextChar">
    <w:name w:val="Comment Text Char"/>
    <w:basedOn w:val="DefaultParagraphFont"/>
    <w:link w:val="CommentText"/>
    <w:semiHidden/>
    <w:rsid w:val="008C77B0"/>
    <w:rPr>
      <w:rFonts w:ascii="Arial" w:hAnsi="Arial"/>
    </w:rPr>
  </w:style>
  <w:style w:type="character" w:customStyle="1" w:styleId="CommentSubjectChar">
    <w:name w:val="Comment Subject Char"/>
    <w:basedOn w:val="CommentTextChar"/>
    <w:link w:val="CommentSubject"/>
    <w:uiPriority w:val="99"/>
    <w:semiHidden/>
    <w:rsid w:val="008C77B0"/>
    <w:rPr>
      <w:rFonts w:ascii="Arial" w:hAnsi="Arial"/>
      <w:b/>
      <w:bCs/>
    </w:rPr>
  </w:style>
  <w:style w:type="paragraph" w:styleId="Revision">
    <w:name w:val="Revision"/>
    <w:hidden/>
    <w:uiPriority w:val="99"/>
    <w:semiHidden/>
    <w:rsid w:val="00F833D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c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n.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D322B47D-E5C0-413B-AA48-57A300EB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microsoft.com/office/2006/documentManagement/types"/>
    <ds:schemaRef ds:uri="aba01ddc-ae9a-4c9e-819c-7140b4239cde"/>
    <ds:schemaRef ds:uri="http://schemas.microsoft.com/sharepoint/v3"/>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74</TotalTime>
  <Pages>5</Pages>
  <Words>1932</Words>
  <Characters>11447</Characters>
  <Application>Microsoft Office Word</Application>
  <DocSecurity>10</DocSecurity>
  <Lines>95</Lines>
  <Paragraphs>26</Paragraphs>
  <ScaleCrop>false</ScaleCrop>
  <HeadingPairs>
    <vt:vector size="2" baseType="variant">
      <vt:variant>
        <vt:lpstr>Title</vt:lpstr>
      </vt:variant>
      <vt:variant>
        <vt:i4>1</vt:i4>
      </vt:variant>
    </vt:vector>
  </HeadingPairs>
  <TitlesOfParts>
    <vt:vector size="1" baseType="lpstr">
      <vt:lpstr>T-Cell Immunotherapy CE</vt:lpstr>
    </vt:vector>
  </TitlesOfParts>
  <Company>DSS</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T-Cell Immunotherapy CE</dc:title>
  <dc:subject/>
  <dc:creator>DMS</dc:creator>
  <cp:keywords/>
  <cp:lastModifiedBy>Heriford, Katherine</cp:lastModifiedBy>
  <cp:revision>66</cp:revision>
  <cp:lastPrinted>2018-10-31T18:17:00Z</cp:lastPrinted>
  <dcterms:created xsi:type="dcterms:W3CDTF">2025-11-19T15:39:00Z</dcterms:created>
  <dcterms:modified xsi:type="dcterms:W3CDTF">2026-07-06T17:32:00Z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