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04015F29" w:rsidR="004C5767" w:rsidRPr="008859E1" w:rsidRDefault="004C5767" w:rsidP="00D27533">
      <w:pPr>
        <w:pStyle w:val="tbody"/>
        <w:rPr>
          <w:b w:val="0"/>
          <w:bCs/>
        </w:rPr>
      </w:pPr>
      <w:r w:rsidRPr="00C02553">
        <w:t>Drug/Drug Class:</w:t>
      </w:r>
      <w:r w:rsidR="003B4820" w:rsidRPr="00573856">
        <w:rPr>
          <w:b w:val="0"/>
          <w:bCs/>
        </w:rPr>
        <w:t xml:space="preserve"> </w:t>
      </w:r>
      <w:r w:rsidR="007E7032" w:rsidRPr="007E7032">
        <w:rPr>
          <w:b w:val="0"/>
          <w:bCs/>
        </w:rPr>
        <w:t>Targeted Immune Modulators, Interleukin (IL)-17A Antibody/IL-17 Receptor Antagonists PDL Edit</w:t>
      </w:r>
    </w:p>
    <w:p w14:paraId="7AD7FFCE" w14:textId="785A38C1" w:rsidR="004C5767" w:rsidRPr="00C02553" w:rsidRDefault="004C5767" w:rsidP="00D27533">
      <w:pPr>
        <w:pStyle w:val="tbody"/>
      </w:pPr>
      <w:r w:rsidRPr="00C02553">
        <w:t>First Implementation Date:</w:t>
      </w:r>
      <w:r w:rsidRPr="00573856">
        <w:rPr>
          <w:b w:val="0"/>
          <w:bCs/>
        </w:rPr>
        <w:t xml:space="preserve"> </w:t>
      </w:r>
      <w:r w:rsidR="004A2113" w:rsidRPr="004A2113">
        <w:rPr>
          <w:b w:val="0"/>
          <w:bCs/>
        </w:rPr>
        <w:t>January 22, 2004</w:t>
      </w:r>
    </w:p>
    <w:p w14:paraId="4B7D760D" w14:textId="42DE2784" w:rsidR="004C5767" w:rsidRPr="00057F84" w:rsidRDefault="00F41F69" w:rsidP="70E341D6">
      <w:pPr>
        <w:pStyle w:val="tbody"/>
        <w:rPr>
          <w:b w:val="0"/>
        </w:rPr>
      </w:pPr>
      <w:r>
        <w:t>Pro</w:t>
      </w:r>
      <w:r w:rsidR="00FA2CFB">
        <w:t>posed</w:t>
      </w:r>
      <w:r w:rsidR="004C5767">
        <w:t xml:space="preserve"> Date:</w:t>
      </w:r>
      <w:r w:rsidR="00065C22">
        <w:t xml:space="preserve"> </w:t>
      </w:r>
      <w:r w:rsidR="00B04A72">
        <w:rPr>
          <w:b w:val="0"/>
          <w:bCs/>
        </w:rPr>
        <w:t>July</w:t>
      </w:r>
      <w:r w:rsidR="00BD4DC4" w:rsidRPr="00BD4DC4">
        <w:rPr>
          <w:b w:val="0"/>
          <w:bCs/>
        </w:rPr>
        <w:t xml:space="preserve">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1025B1C" w:rsidR="004C5767" w:rsidRPr="00D27533" w:rsidRDefault="004C5767" w:rsidP="00D27533">
      <w:pPr>
        <w:pStyle w:val="tbody"/>
        <w:rPr>
          <w:b w:val="0"/>
          <w:bCs/>
          <w:spacing w:val="-3"/>
        </w:rPr>
      </w:pPr>
      <w:r w:rsidRPr="00AF4C42">
        <w:t xml:space="preserve">Criteria Status: </w:t>
      </w:r>
      <w:r w:rsidR="00566BE4" w:rsidRPr="00AF4C42">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2B96A9B2" w:rsidR="00B56DCC" w:rsidRDefault="00861128" w:rsidP="00696E3A">
      <w:r w:rsidRPr="00861128">
        <w:t xml:space="preserve">Interleukins (ILs) are pro-inflammatory cytokines that stimulate the recruitment and proliferation of other immune cells, leading to an increase in inflammation at the site of activity. The IL-17 pathway plays </w:t>
      </w:r>
      <w:r w:rsidRPr="00861128" w:rsidDel="00580122">
        <w:t>a</w:t>
      </w:r>
      <w:r w:rsidR="00580122" w:rsidRPr="00861128">
        <w:t xml:space="preserve"> key role</w:t>
      </w:r>
      <w:r w:rsidRPr="00861128">
        <w:t xml:space="preserve"> in several autoimmune disorders including ankylosing spondylitis, plaque psoriasis, psoriatic arthritis, and spondyloarthritis. The monoclonal antibodies within this class lead to the reduction of proinflammatory cytokines associated with these disease states. Taltz</w:t>
      </w:r>
      <w:r w:rsidRPr="00DA7AFC">
        <w:rPr>
          <w:vertAlign w:val="superscript"/>
        </w:rPr>
        <w:t>®</w:t>
      </w:r>
      <w:r w:rsidRPr="00861128">
        <w:t xml:space="preserve"> and Cosentyx</w:t>
      </w:r>
      <w:r w:rsidRPr="004D0F81">
        <w:rPr>
          <w:vertAlign w:val="superscript"/>
        </w:rPr>
        <w:t>®</w:t>
      </w:r>
      <w:r w:rsidRPr="00861128">
        <w:t xml:space="preserve"> selectively bind to IL-17A and inhibit its interaction with the IL-17 receptor</w:t>
      </w:r>
      <w:r w:rsidR="007C52AC">
        <w:t xml:space="preserve">. </w:t>
      </w:r>
      <w:r w:rsidRPr="00861128">
        <w:t>Bimzelx</w:t>
      </w:r>
      <w:r w:rsidRPr="00426F70">
        <w:rPr>
          <w:vertAlign w:val="superscript"/>
        </w:rPr>
        <w:t>®</w:t>
      </w:r>
      <w:r w:rsidRPr="00861128">
        <w:t xml:space="preserve"> selectively binds to IL-17A, IL-17F, and IL-17-AF cytokines, therefore limiting their interaction with the IL-17 receptor complex. These agents are commonly reserved for patients with moderate-to-severe cases after failure to </w:t>
      </w:r>
      <w:proofErr w:type="gramStart"/>
      <w:r w:rsidRPr="00861128">
        <w:t>control with</w:t>
      </w:r>
      <w:proofErr w:type="gramEnd"/>
      <w:r w:rsidRPr="00861128">
        <w:t xml:space="preserve"> first-line therapies.</w:t>
      </w:r>
    </w:p>
    <w:p w14:paraId="0D906F87" w14:textId="77777777" w:rsidR="00861128" w:rsidRDefault="00861128"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21829C" w14:textId="4300CF46" w:rsidR="00846FA4" w:rsidRDefault="00861128" w:rsidP="00846FA4">
      <w:pPr>
        <w:pStyle w:val="ListParagraph"/>
      </w:pPr>
      <w:r>
        <w:t>Taltz</w:t>
      </w:r>
      <w:r w:rsidR="00846FA4" w:rsidRPr="00846FA4">
        <w:rPr>
          <w:vertAlign w:val="superscript"/>
        </w:rPr>
        <w:t>®</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3ED63895" w14:textId="77777777" w:rsidR="00D87A1A" w:rsidRPr="00FD0198" w:rsidRDefault="00D87A1A" w:rsidP="00D87A1A">
      <w:pPr>
        <w:pStyle w:val="ListParagraph"/>
      </w:pPr>
      <w:r w:rsidRPr="00FD0198">
        <w:t>Bimzelx</w:t>
      </w:r>
      <w:r w:rsidRPr="00FD0198">
        <w:rPr>
          <w:vertAlign w:val="superscript"/>
        </w:rPr>
        <w:t>®</w:t>
      </w:r>
    </w:p>
    <w:p w14:paraId="3B457F86" w14:textId="77777777" w:rsidR="00D87A1A" w:rsidRPr="00B86844" w:rsidRDefault="00D87A1A" w:rsidP="00D87A1A">
      <w:pPr>
        <w:pStyle w:val="ListParagraph"/>
      </w:pPr>
      <w:r>
        <w:t>Cosentyx</w:t>
      </w:r>
      <w:r>
        <w:rPr>
          <w:vertAlign w:val="superscript"/>
        </w:rPr>
        <w:t>®</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09C865C8" w:rsidR="0097028A" w:rsidRPr="0079438F" w:rsidRDefault="0097028A" w:rsidP="00696E3A">
      <w:pPr>
        <w:rPr>
          <w:b/>
        </w:rPr>
      </w:pPr>
      <w:r w:rsidRPr="00696E3A">
        <w:rPr>
          <w:b/>
          <w:bCs/>
        </w:rPr>
        <w:t>Drug class for review:</w:t>
      </w:r>
      <w:r w:rsidRPr="00C02553">
        <w:t xml:space="preserve"> </w:t>
      </w:r>
      <w:r w:rsidR="00997844" w:rsidRPr="00997844">
        <w:t>Targeted Immune Modulators, Interleukin (IL)-17 Antibody/IL-17 Receptor Antagonists</w:t>
      </w:r>
    </w:p>
    <w:p w14:paraId="26CFE8A0" w14:textId="7D832269"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F81C58" w:rsidRPr="00F81C58">
        <w:t xml:space="preserve"> </w:t>
      </w:r>
      <w:r w:rsidR="00F81C58" w:rsidRPr="00F81C58">
        <w:rPr>
          <w:rFonts w:cs="Arial"/>
        </w:rPr>
        <w:t xml:space="preserve">aged </w:t>
      </w:r>
      <w:r w:rsidR="004F514B">
        <w:rPr>
          <w:rFonts w:cs="Arial"/>
          <w:b/>
          <w:bCs/>
          <w:color w:val="1F497D" w:themeColor="text2"/>
        </w:rPr>
        <w:t>2</w:t>
      </w:r>
      <w:r w:rsidR="00F81C58" w:rsidRPr="00DB7879">
        <w:rPr>
          <w:rFonts w:cs="Arial"/>
          <w:b/>
          <w:bCs/>
          <w:color w:val="1F497D" w:themeColor="text2"/>
        </w:rPr>
        <w:t xml:space="preserve"> </w:t>
      </w:r>
      <w:r w:rsidR="00F81C58" w:rsidRPr="00F81C58">
        <w:rPr>
          <w:rFonts w:cs="Arial"/>
        </w:rPr>
        <w:t>years or older unless otherwise indicated</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5797C26F" w14:textId="77777777" w:rsidR="00985557" w:rsidRDefault="00985557" w:rsidP="00985557">
      <w:pPr>
        <w:numPr>
          <w:ilvl w:val="0"/>
          <w:numId w:val="17"/>
        </w:numPr>
        <w:rPr>
          <w:rFonts w:cs="Arial"/>
          <w:szCs w:val="20"/>
        </w:rPr>
      </w:pPr>
      <w:bookmarkStart w:id="1" w:name="_Hlk171517571"/>
      <w:r>
        <w:rPr>
          <w:rFonts w:cs="Arial"/>
          <w:szCs w:val="20"/>
        </w:rPr>
        <w:t xml:space="preserve">Must meet </w:t>
      </w:r>
      <w:proofErr w:type="gramStart"/>
      <w:r>
        <w:rPr>
          <w:rFonts w:cs="Arial"/>
          <w:szCs w:val="20"/>
        </w:rPr>
        <w:t>all of</w:t>
      </w:r>
      <w:proofErr w:type="gramEnd"/>
      <w:r>
        <w:rPr>
          <w:rFonts w:cs="Arial"/>
          <w:szCs w:val="20"/>
        </w:rPr>
        <w:t xml:space="preserve"> the following:</w:t>
      </w:r>
    </w:p>
    <w:p w14:paraId="740B02C0" w14:textId="77777777" w:rsidR="00985557" w:rsidRDefault="00985557" w:rsidP="00985557">
      <w:pPr>
        <w:numPr>
          <w:ilvl w:val="1"/>
          <w:numId w:val="17"/>
        </w:numPr>
        <w:rPr>
          <w:rFonts w:cs="Arial"/>
          <w:szCs w:val="20"/>
        </w:rPr>
      </w:pPr>
      <w:r>
        <w:rPr>
          <w:rFonts w:cs="Arial"/>
          <w:szCs w:val="20"/>
        </w:rPr>
        <w:t xml:space="preserve">Documentation of appropriate diagnosis and participant age range for requested </w:t>
      </w:r>
      <w:proofErr w:type="gramStart"/>
      <w:r>
        <w:rPr>
          <w:rFonts w:cs="Arial"/>
          <w:szCs w:val="20"/>
        </w:rPr>
        <w:t>agent;</w:t>
      </w:r>
      <w:proofErr w:type="gramEnd"/>
      <w:r>
        <w:rPr>
          <w:rFonts w:cs="Arial"/>
          <w:szCs w:val="20"/>
        </w:rPr>
        <w:t xml:space="preserve"> </w:t>
      </w:r>
    </w:p>
    <w:p w14:paraId="65756533" w14:textId="77777777" w:rsidR="00985557" w:rsidRPr="00AF147C" w:rsidRDefault="00985557" w:rsidP="00985557">
      <w:pPr>
        <w:pStyle w:val="ListParagraph"/>
        <w:numPr>
          <w:ilvl w:val="1"/>
          <w:numId w:val="17"/>
        </w:numPr>
        <w:rPr>
          <w:rFonts w:cs="Arial"/>
          <w:szCs w:val="20"/>
        </w:rPr>
      </w:pPr>
      <w:r w:rsidRPr="00AF147C">
        <w:rPr>
          <w:rFonts w:cs="Arial"/>
          <w:szCs w:val="20"/>
        </w:rPr>
        <w:t xml:space="preserve">Adequate therapeutic </w:t>
      </w:r>
      <w:proofErr w:type="gramStart"/>
      <w:r w:rsidRPr="00AF147C">
        <w:rPr>
          <w:rFonts w:cs="Arial"/>
          <w:szCs w:val="20"/>
        </w:rPr>
        <w:t>6 month</w:t>
      </w:r>
      <w:proofErr w:type="gramEnd"/>
      <w:r w:rsidRPr="00AF147C">
        <w:rPr>
          <w:rFonts w:cs="Arial"/>
          <w:szCs w:val="20"/>
        </w:rPr>
        <w:t xml:space="preserve"> trial of tumor necrosis factor (TNF) inhibitor (trial defined as duration of therapy with class not agent);</w:t>
      </w:r>
      <w:r>
        <w:rPr>
          <w:rFonts w:cs="Arial"/>
          <w:szCs w:val="20"/>
        </w:rPr>
        <w:t xml:space="preserve"> </w:t>
      </w:r>
      <w:r w:rsidRPr="00084B30">
        <w:rPr>
          <w:rFonts w:cs="Arial"/>
          <w:b/>
          <w:bCs/>
          <w:szCs w:val="20"/>
        </w:rPr>
        <w:t>AND</w:t>
      </w:r>
    </w:p>
    <w:p w14:paraId="63B853A1" w14:textId="77777777" w:rsidR="00985557" w:rsidRDefault="00985557" w:rsidP="00985557">
      <w:pPr>
        <w:numPr>
          <w:ilvl w:val="1"/>
          <w:numId w:val="17"/>
        </w:numPr>
        <w:rPr>
          <w:rFonts w:cs="Arial"/>
          <w:szCs w:val="20"/>
        </w:rPr>
      </w:pPr>
      <w:r>
        <w:rPr>
          <w:rFonts w:cs="Arial"/>
          <w:szCs w:val="20"/>
        </w:rPr>
        <w:t>Must meet one of the following:</w:t>
      </w:r>
    </w:p>
    <w:p w14:paraId="316D3C3A" w14:textId="77777777" w:rsidR="00985557" w:rsidRDefault="00985557" w:rsidP="00985557">
      <w:pPr>
        <w:numPr>
          <w:ilvl w:val="2"/>
          <w:numId w:val="17"/>
        </w:numPr>
        <w:rPr>
          <w:rFonts w:cs="Arial"/>
          <w:szCs w:val="20"/>
        </w:rPr>
      </w:pPr>
      <w:r>
        <w:rPr>
          <w:rFonts w:cs="Arial"/>
          <w:szCs w:val="20"/>
        </w:rPr>
        <w:t xml:space="preserve">Documented compliance on current therapy </w:t>
      </w:r>
      <w:proofErr w:type="gramStart"/>
      <w:r>
        <w:rPr>
          <w:rFonts w:cs="Arial"/>
          <w:szCs w:val="20"/>
        </w:rPr>
        <w:t>regimen;</w:t>
      </w:r>
      <w:proofErr w:type="gramEnd"/>
    </w:p>
    <w:p w14:paraId="46AC56C2" w14:textId="4937FA6F" w:rsidR="00985557" w:rsidRPr="00AF147C" w:rsidRDefault="00985557" w:rsidP="00985557">
      <w:pPr>
        <w:numPr>
          <w:ilvl w:val="2"/>
          <w:numId w:val="17"/>
        </w:numPr>
        <w:rPr>
          <w:rFonts w:cs="Arial"/>
          <w:szCs w:val="20"/>
        </w:rPr>
      </w:pPr>
      <w:r w:rsidRPr="00C314D0">
        <w:rPr>
          <w:rFonts w:cs="Arial"/>
          <w:b/>
          <w:bCs/>
          <w:szCs w:val="20"/>
        </w:rPr>
        <w:lastRenderedPageBreak/>
        <w:t>For documented diagnosis of non-radiographic axial spondyloarthritis, or plaque psoriasis</w:t>
      </w:r>
      <w:r w:rsidRPr="00AF147C">
        <w:rPr>
          <w:rFonts w:cs="Arial"/>
          <w:szCs w:val="20"/>
        </w:rPr>
        <w:t xml:space="preserve"> – must meet </w:t>
      </w:r>
      <w:r>
        <w:rPr>
          <w:rFonts w:cs="Arial"/>
          <w:szCs w:val="20"/>
        </w:rPr>
        <w:t>one</w:t>
      </w:r>
      <w:r w:rsidRPr="00AF147C">
        <w:rPr>
          <w:rFonts w:cs="Arial"/>
          <w:szCs w:val="20"/>
        </w:rPr>
        <w:t xml:space="preserve"> of the following:</w:t>
      </w:r>
    </w:p>
    <w:p w14:paraId="5C893A93" w14:textId="77777777" w:rsidR="00985557" w:rsidRDefault="00985557" w:rsidP="00985557">
      <w:pPr>
        <w:numPr>
          <w:ilvl w:val="3"/>
          <w:numId w:val="17"/>
        </w:numPr>
        <w:ind w:left="1440"/>
        <w:rPr>
          <w:rFonts w:cs="Arial"/>
          <w:szCs w:val="20"/>
        </w:rPr>
      </w:pPr>
      <w:r>
        <w:rPr>
          <w:rFonts w:cs="Arial"/>
          <w:szCs w:val="20"/>
        </w:rPr>
        <w:t xml:space="preserve">Claim is for a preferred </w:t>
      </w:r>
      <w:proofErr w:type="gramStart"/>
      <w:r>
        <w:rPr>
          <w:rFonts w:cs="Arial"/>
          <w:szCs w:val="20"/>
        </w:rPr>
        <w:t>agent;</w:t>
      </w:r>
      <w:proofErr w:type="gramEnd"/>
      <w:r>
        <w:rPr>
          <w:rFonts w:cs="Arial"/>
          <w:szCs w:val="20"/>
        </w:rPr>
        <w:t xml:space="preserve"> </w:t>
      </w:r>
      <w:r w:rsidRPr="00084B30">
        <w:rPr>
          <w:rFonts w:cs="Arial"/>
          <w:b/>
          <w:bCs/>
          <w:szCs w:val="20"/>
        </w:rPr>
        <w:t>OR</w:t>
      </w:r>
    </w:p>
    <w:p w14:paraId="1798FB09" w14:textId="77777777" w:rsidR="00985557" w:rsidRDefault="00985557" w:rsidP="00985557">
      <w:pPr>
        <w:numPr>
          <w:ilvl w:val="3"/>
          <w:numId w:val="17"/>
        </w:numPr>
        <w:ind w:left="1440"/>
        <w:rPr>
          <w:rFonts w:cs="Arial"/>
          <w:szCs w:val="20"/>
        </w:rPr>
      </w:pPr>
      <w:r w:rsidRPr="00CB4688">
        <w:rPr>
          <w:rFonts w:cs="Arial"/>
          <w:szCs w:val="20"/>
        </w:rPr>
        <w:t>Failure to achieve desired therapeutic outcomes with trial on 1 or more preferred agents</w:t>
      </w:r>
      <w:r>
        <w:rPr>
          <w:rFonts w:cs="Arial"/>
          <w:szCs w:val="20"/>
        </w:rPr>
        <w:t>:</w:t>
      </w:r>
    </w:p>
    <w:p w14:paraId="62E355BE" w14:textId="77777777" w:rsidR="00985557" w:rsidRPr="00612E5D" w:rsidRDefault="00985557" w:rsidP="00985557">
      <w:pPr>
        <w:numPr>
          <w:ilvl w:val="4"/>
          <w:numId w:val="17"/>
        </w:numPr>
        <w:ind w:left="1800"/>
        <w:rPr>
          <w:rFonts w:cs="Arial"/>
          <w:szCs w:val="20"/>
        </w:rPr>
      </w:pPr>
      <w:r w:rsidRPr="00612E5D">
        <w:rPr>
          <w:rFonts w:cs="Arial"/>
          <w:szCs w:val="20"/>
        </w:rPr>
        <w:t>Documented trial period of preferred agents</w:t>
      </w:r>
      <w:r>
        <w:rPr>
          <w:rFonts w:cs="Arial"/>
          <w:szCs w:val="20"/>
        </w:rPr>
        <w:t xml:space="preserve"> (6 months of therapy); </w:t>
      </w:r>
      <w:r w:rsidRPr="00102C16">
        <w:rPr>
          <w:rFonts w:cs="Arial"/>
          <w:b/>
          <w:bCs/>
          <w:szCs w:val="20"/>
        </w:rPr>
        <w:t>OR</w:t>
      </w:r>
    </w:p>
    <w:p w14:paraId="465D532F" w14:textId="77777777" w:rsidR="00985557" w:rsidRPr="000A536B" w:rsidRDefault="00985557" w:rsidP="00985557">
      <w:pPr>
        <w:numPr>
          <w:ilvl w:val="4"/>
          <w:numId w:val="17"/>
        </w:numPr>
        <w:ind w:left="1800"/>
        <w:rPr>
          <w:rFonts w:cs="Arial"/>
          <w:szCs w:val="20"/>
        </w:rPr>
      </w:pPr>
      <w:r>
        <w:rPr>
          <w:rFonts w:cs="Arial"/>
          <w:szCs w:val="20"/>
        </w:rPr>
        <w:t>D</w:t>
      </w:r>
      <w:r w:rsidRPr="00612E5D">
        <w:rPr>
          <w:rFonts w:cs="Arial"/>
          <w:szCs w:val="20"/>
        </w:rPr>
        <w:t xml:space="preserve">ocumented ADE/ADR to preferred </w:t>
      </w:r>
      <w:proofErr w:type="gramStart"/>
      <w:r w:rsidRPr="00612E5D">
        <w:rPr>
          <w:rFonts w:cs="Arial"/>
          <w:szCs w:val="20"/>
        </w:rPr>
        <w:t>agents</w:t>
      </w:r>
      <w:r>
        <w:rPr>
          <w:rFonts w:cs="Arial"/>
          <w:szCs w:val="20"/>
        </w:rPr>
        <w:t>;</w:t>
      </w:r>
      <w:proofErr w:type="gramEnd"/>
    </w:p>
    <w:p w14:paraId="409B6397" w14:textId="66AE7D03" w:rsidR="0048075B" w:rsidRPr="00B8520B" w:rsidRDefault="0048075B" w:rsidP="00985557">
      <w:pPr>
        <w:pStyle w:val="ListParagraph"/>
        <w:numPr>
          <w:ilvl w:val="2"/>
          <w:numId w:val="17"/>
        </w:numPr>
        <w:rPr>
          <w:rFonts w:cs="Arial"/>
          <w:b/>
          <w:bCs/>
          <w:color w:val="1F497D" w:themeColor="text2"/>
          <w:szCs w:val="20"/>
        </w:rPr>
      </w:pPr>
      <w:r w:rsidRPr="0044235E">
        <w:rPr>
          <w:rFonts w:cs="Arial"/>
          <w:b/>
          <w:bCs/>
          <w:szCs w:val="20"/>
        </w:rPr>
        <w:t xml:space="preserve">For documented diagnosis of ankylosing spondylitis </w:t>
      </w:r>
      <w:r w:rsidRPr="00B8520B">
        <w:rPr>
          <w:rFonts w:cs="Arial"/>
          <w:b/>
          <w:bCs/>
          <w:color w:val="1F497D" w:themeColor="text2"/>
          <w:szCs w:val="20"/>
        </w:rPr>
        <w:t>– must meet one of the following:</w:t>
      </w:r>
    </w:p>
    <w:p w14:paraId="1D00985A" w14:textId="666759F6" w:rsidR="0048075B" w:rsidRPr="00B8520B" w:rsidRDefault="009D61A1" w:rsidP="009D61A1">
      <w:pPr>
        <w:pStyle w:val="ListParagraph"/>
        <w:numPr>
          <w:ilvl w:val="3"/>
          <w:numId w:val="17"/>
        </w:numPr>
        <w:ind w:left="1440"/>
        <w:rPr>
          <w:rFonts w:cs="Arial"/>
          <w:b/>
          <w:bCs/>
          <w:color w:val="1F497D" w:themeColor="text2"/>
          <w:szCs w:val="20"/>
        </w:rPr>
      </w:pPr>
      <w:r w:rsidRPr="00B8520B">
        <w:rPr>
          <w:rFonts w:cs="Arial"/>
          <w:b/>
          <w:bCs/>
          <w:color w:val="1F497D" w:themeColor="text2"/>
          <w:szCs w:val="20"/>
        </w:rPr>
        <w:t xml:space="preserve">Claim is for a preferred </w:t>
      </w:r>
      <w:proofErr w:type="gramStart"/>
      <w:r w:rsidRPr="00B8520B">
        <w:rPr>
          <w:rFonts w:cs="Arial"/>
          <w:b/>
          <w:bCs/>
          <w:color w:val="1F497D" w:themeColor="text2"/>
          <w:szCs w:val="20"/>
        </w:rPr>
        <w:t>agent;</w:t>
      </w:r>
      <w:proofErr w:type="gramEnd"/>
      <w:r w:rsidRPr="00B8520B">
        <w:rPr>
          <w:rFonts w:cs="Arial"/>
          <w:b/>
          <w:bCs/>
          <w:color w:val="1F497D" w:themeColor="text2"/>
          <w:szCs w:val="20"/>
        </w:rPr>
        <w:t xml:space="preserve"> </w:t>
      </w:r>
    </w:p>
    <w:p w14:paraId="39D05C87" w14:textId="4807AF98" w:rsidR="009D61A1" w:rsidRPr="00B8520B" w:rsidRDefault="00BE199E" w:rsidP="009D61A1">
      <w:pPr>
        <w:pStyle w:val="ListParagraph"/>
        <w:numPr>
          <w:ilvl w:val="3"/>
          <w:numId w:val="17"/>
        </w:numPr>
        <w:ind w:left="1440"/>
        <w:rPr>
          <w:rFonts w:cs="Arial"/>
          <w:b/>
          <w:bCs/>
          <w:color w:val="1F497D" w:themeColor="text2"/>
          <w:szCs w:val="20"/>
        </w:rPr>
      </w:pPr>
      <w:r w:rsidRPr="00B8520B">
        <w:rPr>
          <w:rFonts w:cs="Arial"/>
          <w:b/>
          <w:bCs/>
          <w:color w:val="1F497D" w:themeColor="text2"/>
          <w:szCs w:val="20"/>
        </w:rPr>
        <w:t xml:space="preserve">Participant age is 12 years </w:t>
      </w:r>
      <w:r w:rsidR="00497EEA" w:rsidRPr="00B8520B">
        <w:rPr>
          <w:rFonts w:cs="Arial"/>
          <w:b/>
          <w:bCs/>
          <w:color w:val="1F497D" w:themeColor="text2"/>
          <w:szCs w:val="20"/>
        </w:rPr>
        <w:t>to less than 18 years</w:t>
      </w:r>
      <w:r w:rsidR="00C7338A">
        <w:rPr>
          <w:rFonts w:cs="Arial"/>
          <w:b/>
          <w:bCs/>
          <w:color w:val="1F497D" w:themeColor="text2"/>
          <w:szCs w:val="20"/>
        </w:rPr>
        <w:t xml:space="preserve"> and claim is for Cosentyx</w:t>
      </w:r>
      <w:r w:rsidR="00497EEA" w:rsidRPr="00B8520B">
        <w:rPr>
          <w:rFonts w:cs="Arial"/>
          <w:b/>
          <w:bCs/>
          <w:color w:val="1F497D" w:themeColor="text2"/>
          <w:szCs w:val="20"/>
        </w:rPr>
        <w:t xml:space="preserve">; </w:t>
      </w:r>
      <w:r w:rsidR="00B8520B">
        <w:rPr>
          <w:rFonts w:cs="Arial"/>
          <w:b/>
          <w:bCs/>
          <w:color w:val="1F497D" w:themeColor="text2"/>
          <w:szCs w:val="20"/>
        </w:rPr>
        <w:t>OR</w:t>
      </w:r>
    </w:p>
    <w:p w14:paraId="2CB26F76" w14:textId="77777777" w:rsidR="00B8520B" w:rsidRPr="00B8520B" w:rsidRDefault="00497EEA" w:rsidP="00B8520B">
      <w:pPr>
        <w:numPr>
          <w:ilvl w:val="3"/>
          <w:numId w:val="17"/>
        </w:numPr>
        <w:ind w:left="1440"/>
        <w:rPr>
          <w:rFonts w:cs="Arial"/>
          <w:b/>
          <w:bCs/>
          <w:color w:val="1F497D" w:themeColor="text2"/>
          <w:szCs w:val="20"/>
        </w:rPr>
      </w:pPr>
      <w:r w:rsidRPr="00B8520B">
        <w:rPr>
          <w:rFonts w:cs="Arial"/>
          <w:b/>
          <w:bCs/>
          <w:color w:val="1F497D" w:themeColor="text2"/>
          <w:szCs w:val="20"/>
        </w:rPr>
        <w:t xml:space="preserve">Failure to achieve desired </w:t>
      </w:r>
      <w:r w:rsidR="00B8520B" w:rsidRPr="00B8520B">
        <w:rPr>
          <w:rFonts w:cs="Arial"/>
          <w:b/>
          <w:bCs/>
          <w:color w:val="1F497D" w:themeColor="text2"/>
          <w:szCs w:val="20"/>
        </w:rPr>
        <w:t>therapeutic outcomes with trial on 1 or more preferred agents:</w:t>
      </w:r>
    </w:p>
    <w:p w14:paraId="546ABDA9" w14:textId="77777777" w:rsidR="00B8520B" w:rsidRPr="00B8520B" w:rsidRDefault="00B8520B" w:rsidP="00B8520B">
      <w:pPr>
        <w:numPr>
          <w:ilvl w:val="4"/>
          <w:numId w:val="17"/>
        </w:numPr>
        <w:ind w:left="1800"/>
        <w:rPr>
          <w:rFonts w:cs="Arial"/>
          <w:b/>
          <w:bCs/>
          <w:color w:val="1F497D" w:themeColor="text2"/>
          <w:szCs w:val="20"/>
        </w:rPr>
      </w:pPr>
      <w:r w:rsidRPr="00B8520B">
        <w:rPr>
          <w:rFonts w:cs="Arial"/>
          <w:b/>
          <w:bCs/>
          <w:color w:val="1F497D" w:themeColor="text2"/>
          <w:szCs w:val="20"/>
        </w:rPr>
        <w:t>Documented trial period of preferred agents (6 months of therapy); OR</w:t>
      </w:r>
    </w:p>
    <w:p w14:paraId="7DD69D7C" w14:textId="0C87A5B4" w:rsidR="00497EEA" w:rsidRPr="00B8520B" w:rsidRDefault="00B8520B" w:rsidP="00B8520B">
      <w:pPr>
        <w:numPr>
          <w:ilvl w:val="4"/>
          <w:numId w:val="17"/>
        </w:numPr>
        <w:ind w:left="1800"/>
        <w:rPr>
          <w:rFonts w:cs="Arial"/>
          <w:b/>
          <w:bCs/>
          <w:color w:val="1F497D" w:themeColor="text2"/>
          <w:szCs w:val="20"/>
        </w:rPr>
      </w:pPr>
      <w:r w:rsidRPr="00B8520B">
        <w:rPr>
          <w:rFonts w:cs="Arial"/>
          <w:b/>
          <w:bCs/>
          <w:color w:val="1F497D" w:themeColor="text2"/>
          <w:szCs w:val="20"/>
        </w:rPr>
        <w:t xml:space="preserve">Documented ADE/ADR to preferred </w:t>
      </w:r>
      <w:proofErr w:type="gramStart"/>
      <w:r w:rsidRPr="00B8520B">
        <w:rPr>
          <w:rFonts w:cs="Arial"/>
          <w:b/>
          <w:bCs/>
          <w:color w:val="1F497D" w:themeColor="text2"/>
          <w:szCs w:val="20"/>
        </w:rPr>
        <w:t>agents;</w:t>
      </w:r>
      <w:proofErr w:type="gramEnd"/>
    </w:p>
    <w:p w14:paraId="054D00E7" w14:textId="685FDC82" w:rsidR="00985557" w:rsidRPr="00FD0198" w:rsidRDefault="00985557" w:rsidP="00985557">
      <w:pPr>
        <w:pStyle w:val="ListParagraph"/>
        <w:numPr>
          <w:ilvl w:val="2"/>
          <w:numId w:val="17"/>
        </w:numPr>
        <w:rPr>
          <w:rFonts w:cs="Arial"/>
          <w:szCs w:val="20"/>
        </w:rPr>
      </w:pPr>
      <w:r w:rsidRPr="00C314D0">
        <w:rPr>
          <w:rFonts w:cs="Arial"/>
          <w:b/>
          <w:bCs/>
          <w:szCs w:val="20"/>
        </w:rPr>
        <w:t>For documented diagnosis of psoriatic arthritis</w:t>
      </w:r>
      <w:r w:rsidRPr="00FD0198">
        <w:rPr>
          <w:rFonts w:cs="Arial"/>
          <w:szCs w:val="20"/>
        </w:rPr>
        <w:t xml:space="preserve"> – must meet one of the following:</w:t>
      </w:r>
    </w:p>
    <w:p w14:paraId="762854B0" w14:textId="77777777" w:rsidR="00985557" w:rsidRPr="00FD0198" w:rsidRDefault="00985557" w:rsidP="00985557">
      <w:pPr>
        <w:pStyle w:val="ListParagraph"/>
        <w:numPr>
          <w:ilvl w:val="3"/>
          <w:numId w:val="17"/>
        </w:numPr>
        <w:ind w:left="1440"/>
        <w:rPr>
          <w:rFonts w:cs="Arial"/>
          <w:szCs w:val="20"/>
        </w:rPr>
      </w:pPr>
      <w:r w:rsidRPr="00FD0198">
        <w:rPr>
          <w:rFonts w:cs="Arial"/>
          <w:szCs w:val="20"/>
        </w:rPr>
        <w:t xml:space="preserve">Claim is for a preferred </w:t>
      </w:r>
      <w:proofErr w:type="gramStart"/>
      <w:r w:rsidRPr="00FD0198">
        <w:rPr>
          <w:rFonts w:cs="Arial"/>
          <w:szCs w:val="20"/>
        </w:rPr>
        <w:t>agent;</w:t>
      </w:r>
      <w:proofErr w:type="gramEnd"/>
      <w:r w:rsidRPr="00FD0198">
        <w:rPr>
          <w:rFonts w:cs="Arial"/>
          <w:szCs w:val="20"/>
        </w:rPr>
        <w:t xml:space="preserve"> </w:t>
      </w:r>
    </w:p>
    <w:p w14:paraId="0445DBAD" w14:textId="77777777" w:rsidR="00985557" w:rsidRPr="00FD0198" w:rsidRDefault="00985557" w:rsidP="00985557">
      <w:pPr>
        <w:pStyle w:val="ListParagraph"/>
        <w:numPr>
          <w:ilvl w:val="3"/>
          <w:numId w:val="17"/>
        </w:numPr>
        <w:ind w:left="1440"/>
        <w:rPr>
          <w:rFonts w:cs="Arial"/>
          <w:szCs w:val="20"/>
        </w:rPr>
      </w:pPr>
      <w:r w:rsidRPr="00FD0198">
        <w:rPr>
          <w:rFonts w:cs="Arial"/>
          <w:szCs w:val="20"/>
        </w:rPr>
        <w:t xml:space="preserve">Participant is &lt; 18 years of age and claim is for Cosentyx; </w:t>
      </w:r>
      <w:r w:rsidRPr="00DB54B6">
        <w:rPr>
          <w:rFonts w:cs="Arial"/>
          <w:b/>
          <w:bCs/>
          <w:szCs w:val="20"/>
        </w:rPr>
        <w:t>OR</w:t>
      </w:r>
    </w:p>
    <w:p w14:paraId="07093984" w14:textId="77777777" w:rsidR="00985557" w:rsidRPr="00FD0198" w:rsidRDefault="00985557" w:rsidP="00985557">
      <w:pPr>
        <w:pStyle w:val="ListParagraph"/>
        <w:numPr>
          <w:ilvl w:val="3"/>
          <w:numId w:val="17"/>
        </w:numPr>
        <w:ind w:left="1440"/>
        <w:rPr>
          <w:rFonts w:cs="Arial"/>
          <w:szCs w:val="20"/>
        </w:rPr>
      </w:pPr>
      <w:r w:rsidRPr="00FD0198">
        <w:rPr>
          <w:rFonts w:cs="Arial"/>
          <w:szCs w:val="20"/>
        </w:rPr>
        <w:t>Failure to achieve desired therapeutic outcomes with trial on 1 or more preferred agents:</w:t>
      </w:r>
    </w:p>
    <w:p w14:paraId="07F0433D" w14:textId="77777777" w:rsidR="00985557" w:rsidRPr="00FD0198" w:rsidRDefault="00985557" w:rsidP="00985557">
      <w:pPr>
        <w:pStyle w:val="ListParagraph"/>
        <w:numPr>
          <w:ilvl w:val="4"/>
          <w:numId w:val="17"/>
        </w:numPr>
        <w:ind w:left="1800"/>
        <w:rPr>
          <w:rFonts w:cs="Arial"/>
          <w:szCs w:val="20"/>
        </w:rPr>
      </w:pPr>
      <w:r w:rsidRPr="00FD0198">
        <w:rPr>
          <w:rFonts w:cs="Arial"/>
          <w:szCs w:val="20"/>
        </w:rPr>
        <w:t xml:space="preserve">Documented trial period of preferred agents (6 months of therapy); </w:t>
      </w:r>
      <w:r w:rsidRPr="00DB54B6">
        <w:rPr>
          <w:rFonts w:cs="Arial"/>
          <w:b/>
          <w:bCs/>
          <w:szCs w:val="20"/>
        </w:rPr>
        <w:t>OR</w:t>
      </w:r>
    </w:p>
    <w:p w14:paraId="27503D2C" w14:textId="44C3D3ED" w:rsidR="00985557" w:rsidRDefault="00985557" w:rsidP="00985557">
      <w:pPr>
        <w:pStyle w:val="ListParagraph"/>
        <w:numPr>
          <w:ilvl w:val="4"/>
          <w:numId w:val="17"/>
        </w:numPr>
        <w:ind w:left="1800"/>
        <w:rPr>
          <w:rFonts w:cs="Arial"/>
          <w:szCs w:val="20"/>
        </w:rPr>
      </w:pPr>
      <w:r w:rsidRPr="00FD0198">
        <w:rPr>
          <w:rFonts w:cs="Arial"/>
          <w:szCs w:val="20"/>
        </w:rPr>
        <w:t xml:space="preserve">Documented ADE/ADR to preferred </w:t>
      </w:r>
      <w:proofErr w:type="gramStart"/>
      <w:r w:rsidRPr="00FD0198">
        <w:rPr>
          <w:rFonts w:cs="Arial"/>
          <w:szCs w:val="20"/>
        </w:rPr>
        <w:t>agents;</w:t>
      </w:r>
      <w:proofErr w:type="gramEnd"/>
    </w:p>
    <w:p w14:paraId="4C479BCC" w14:textId="079532CA" w:rsidR="00985557" w:rsidRPr="00C314D0" w:rsidRDefault="00985557" w:rsidP="00985557">
      <w:pPr>
        <w:pStyle w:val="ListParagraph"/>
        <w:numPr>
          <w:ilvl w:val="2"/>
          <w:numId w:val="17"/>
        </w:numPr>
        <w:rPr>
          <w:rFonts w:cs="Arial"/>
          <w:b/>
          <w:bCs/>
          <w:strike/>
          <w:color w:val="0070C0"/>
          <w:szCs w:val="20"/>
        </w:rPr>
      </w:pPr>
      <w:r w:rsidRPr="00C314D0">
        <w:rPr>
          <w:rFonts w:cs="Arial"/>
          <w:b/>
          <w:bCs/>
          <w:szCs w:val="20"/>
        </w:rPr>
        <w:t>For documented diagnosis of hidradenitis suppurativa</w:t>
      </w:r>
      <w:r w:rsidR="00DC2CD8">
        <w:rPr>
          <w:rFonts w:cs="Arial"/>
          <w:szCs w:val="20"/>
        </w:rPr>
        <w:t xml:space="preserve"> </w:t>
      </w:r>
      <w:r w:rsidR="00DC2CD8" w:rsidRPr="0044235E">
        <w:rPr>
          <w:rFonts w:cs="Arial"/>
          <w:b/>
          <w:bCs/>
          <w:color w:val="1F497D" w:themeColor="text2"/>
          <w:szCs w:val="20"/>
        </w:rPr>
        <w:t>– must meet one of the following</w:t>
      </w:r>
      <w:r w:rsidR="00DC2CD8" w:rsidRPr="00A03F0D">
        <w:rPr>
          <w:rFonts w:cs="Arial"/>
          <w:b/>
          <w:bCs/>
          <w:szCs w:val="20"/>
        </w:rPr>
        <w:t>:</w:t>
      </w:r>
    </w:p>
    <w:p w14:paraId="7230C0A4" w14:textId="2E0FBFE2" w:rsidR="00985557" w:rsidRPr="00646D47" w:rsidRDefault="00985557" w:rsidP="00985557">
      <w:pPr>
        <w:pStyle w:val="ListParagraph"/>
        <w:numPr>
          <w:ilvl w:val="0"/>
          <w:numId w:val="16"/>
        </w:numPr>
        <w:rPr>
          <w:rFonts w:cs="Arial"/>
          <w:b/>
          <w:bCs/>
          <w:szCs w:val="20"/>
        </w:rPr>
      </w:pPr>
      <w:r w:rsidRPr="005E2F74">
        <w:rPr>
          <w:rFonts w:cs="Arial"/>
          <w:szCs w:val="20"/>
        </w:rPr>
        <w:t xml:space="preserve">Claim is for Cosentyx </w:t>
      </w:r>
      <w:r w:rsidR="00E42630" w:rsidRPr="00776A1E">
        <w:rPr>
          <w:rFonts w:cs="Arial"/>
          <w:b/>
          <w:bCs/>
          <w:color w:val="1F497D" w:themeColor="text2"/>
          <w:szCs w:val="20"/>
        </w:rPr>
        <w:t>and</w:t>
      </w:r>
      <w:r w:rsidR="00646D47" w:rsidRPr="00646D47">
        <w:rPr>
          <w:rFonts w:cs="Arial"/>
          <w:b/>
          <w:bCs/>
          <w:color w:val="1F497D" w:themeColor="text2"/>
          <w:szCs w:val="20"/>
        </w:rPr>
        <w:t xml:space="preserve"> participant aged 12 years or older</w:t>
      </w:r>
      <w:r w:rsidR="00DC2CD8" w:rsidRPr="00646D47">
        <w:rPr>
          <w:rFonts w:cs="Arial"/>
          <w:b/>
          <w:bCs/>
          <w:color w:val="1F497D" w:themeColor="text2"/>
          <w:szCs w:val="20"/>
        </w:rPr>
        <w:t>;</w:t>
      </w:r>
      <w:r w:rsidR="00646D47" w:rsidRPr="00646D47">
        <w:rPr>
          <w:rFonts w:cs="Arial"/>
          <w:b/>
          <w:bCs/>
          <w:color w:val="1F497D" w:themeColor="text2"/>
          <w:szCs w:val="20"/>
        </w:rPr>
        <w:t xml:space="preserve"> OR</w:t>
      </w:r>
    </w:p>
    <w:p w14:paraId="5F73560D" w14:textId="46610331" w:rsidR="00DC2CD8" w:rsidRPr="005E2F74" w:rsidRDefault="00290D13" w:rsidP="00985557">
      <w:pPr>
        <w:pStyle w:val="ListParagraph"/>
        <w:numPr>
          <w:ilvl w:val="0"/>
          <w:numId w:val="16"/>
        </w:numPr>
        <w:rPr>
          <w:rFonts w:cs="Arial"/>
          <w:szCs w:val="20"/>
        </w:rPr>
      </w:pPr>
      <w:r>
        <w:rPr>
          <w:rFonts w:cs="Arial"/>
          <w:szCs w:val="20"/>
        </w:rPr>
        <w:t xml:space="preserve">Claim is for Bimzelx </w:t>
      </w:r>
      <w:r w:rsidR="00E42630">
        <w:rPr>
          <w:rFonts w:cs="Arial"/>
          <w:b/>
          <w:bCs/>
          <w:color w:val="1F497D" w:themeColor="text2"/>
          <w:szCs w:val="20"/>
        </w:rPr>
        <w:t>and</w:t>
      </w:r>
      <w:r w:rsidRPr="00646D47">
        <w:rPr>
          <w:rFonts w:cs="Arial"/>
          <w:b/>
          <w:bCs/>
          <w:color w:val="1F497D" w:themeColor="text2"/>
          <w:szCs w:val="20"/>
        </w:rPr>
        <w:t xml:space="preserve"> participant aged 18 years or o</w:t>
      </w:r>
      <w:r w:rsidR="00646D47" w:rsidRPr="00646D47">
        <w:rPr>
          <w:rFonts w:cs="Arial"/>
          <w:b/>
          <w:bCs/>
          <w:color w:val="1F497D" w:themeColor="text2"/>
          <w:szCs w:val="20"/>
        </w:rPr>
        <w:t>lder</w:t>
      </w:r>
      <w:r w:rsidR="00580122">
        <w:rPr>
          <w:rFonts w:cs="Arial"/>
          <w:b/>
          <w:bCs/>
          <w:color w:val="1F497D" w:themeColor="text2"/>
          <w:szCs w:val="20"/>
        </w:rPr>
        <w:t>; OR</w:t>
      </w:r>
    </w:p>
    <w:p w14:paraId="22B1483C" w14:textId="77777777" w:rsidR="00985557" w:rsidRPr="00B52A8B" w:rsidRDefault="00985557" w:rsidP="00985557">
      <w:pPr>
        <w:pStyle w:val="ListParagraph"/>
        <w:numPr>
          <w:ilvl w:val="2"/>
          <w:numId w:val="17"/>
        </w:numPr>
        <w:rPr>
          <w:rFonts w:cs="Arial"/>
          <w:szCs w:val="20"/>
        </w:rPr>
      </w:pPr>
      <w:r w:rsidRPr="00C314D0">
        <w:rPr>
          <w:rFonts w:cs="Arial"/>
          <w:b/>
          <w:bCs/>
          <w:szCs w:val="20"/>
        </w:rPr>
        <w:t>For documented diagnosis of enthesitis-related arthritis</w:t>
      </w:r>
      <w:r>
        <w:rPr>
          <w:rFonts w:cs="Arial"/>
          <w:szCs w:val="20"/>
        </w:rPr>
        <w:t>:</w:t>
      </w:r>
    </w:p>
    <w:p w14:paraId="062CFCB8" w14:textId="77777777" w:rsidR="00985557" w:rsidRPr="00FD0198" w:rsidRDefault="00985557" w:rsidP="00985557">
      <w:pPr>
        <w:pStyle w:val="ListParagraph"/>
        <w:numPr>
          <w:ilvl w:val="3"/>
          <w:numId w:val="17"/>
        </w:numPr>
        <w:ind w:left="1440"/>
        <w:rPr>
          <w:rFonts w:cs="Arial"/>
          <w:szCs w:val="20"/>
        </w:rPr>
      </w:pPr>
      <w:r w:rsidRPr="00FD0198">
        <w:rPr>
          <w:rFonts w:cs="Arial"/>
          <w:szCs w:val="20"/>
        </w:rPr>
        <w:t>Claim is for Cosentyx.</w:t>
      </w:r>
    </w:p>
    <w:bookmarkEnd w:id="1"/>
    <w:p w14:paraId="06E7C6EF" w14:textId="77777777" w:rsidR="00985557" w:rsidRPr="00F42103" w:rsidRDefault="00985557" w:rsidP="00985557">
      <w:pPr>
        <w:ind w:left="360"/>
        <w:rPr>
          <w:rFonts w:cs="Arial"/>
          <w:szCs w:val="20"/>
        </w:rPr>
      </w:pPr>
    </w:p>
    <w:tbl>
      <w:tblPr>
        <w:tblStyle w:val="TableGrid"/>
        <w:tblW w:w="0" w:type="auto"/>
        <w:tblInd w:w="355" w:type="dxa"/>
        <w:tblLook w:val="04A0" w:firstRow="1" w:lastRow="0" w:firstColumn="1" w:lastColumn="0" w:noHBand="0" w:noVBand="1"/>
      </w:tblPr>
      <w:tblGrid>
        <w:gridCol w:w="2070"/>
        <w:gridCol w:w="1260"/>
        <w:gridCol w:w="4500"/>
      </w:tblGrid>
      <w:tr w:rsidR="00985557" w:rsidRPr="00902AB2" w14:paraId="3CF6218E" w14:textId="77777777" w:rsidTr="00DA7AFC">
        <w:tc>
          <w:tcPr>
            <w:tcW w:w="2070" w:type="dxa"/>
            <w:shd w:val="clear" w:color="auto" w:fill="FABF8F" w:themeFill="accent6" w:themeFillTint="99"/>
            <w:vAlign w:val="center"/>
          </w:tcPr>
          <w:p w14:paraId="04C7791F" w14:textId="77777777" w:rsidR="00985557" w:rsidRPr="007716EC" w:rsidRDefault="00985557" w:rsidP="007716EC">
            <w:pPr>
              <w:pStyle w:val="Heading5"/>
              <w:jc w:val="center"/>
              <w:rPr>
                <w:rFonts w:cs="Arial"/>
                <w:b/>
                <w:bCs w:val="0"/>
                <w:spacing w:val="0"/>
              </w:rPr>
            </w:pPr>
            <w:r w:rsidRPr="007716EC">
              <w:rPr>
                <w:rFonts w:cs="Arial"/>
                <w:b/>
                <w:bCs w:val="0"/>
              </w:rPr>
              <w:t>Biologic Agent</w:t>
            </w:r>
          </w:p>
        </w:tc>
        <w:tc>
          <w:tcPr>
            <w:tcW w:w="1260" w:type="dxa"/>
            <w:shd w:val="clear" w:color="auto" w:fill="FABF8F" w:themeFill="accent6" w:themeFillTint="99"/>
            <w:vAlign w:val="center"/>
          </w:tcPr>
          <w:p w14:paraId="737E59DF" w14:textId="77777777" w:rsidR="00985557" w:rsidRPr="00902AB2" w:rsidRDefault="00985557" w:rsidP="00EC097B">
            <w:pPr>
              <w:jc w:val="center"/>
              <w:rPr>
                <w:rFonts w:cs="Arial"/>
                <w:b/>
                <w:szCs w:val="20"/>
              </w:rPr>
            </w:pPr>
            <w:r w:rsidRPr="00902AB2">
              <w:rPr>
                <w:rFonts w:cs="Arial"/>
                <w:b/>
                <w:szCs w:val="20"/>
              </w:rPr>
              <w:t>Brand</w:t>
            </w:r>
          </w:p>
        </w:tc>
        <w:tc>
          <w:tcPr>
            <w:tcW w:w="4500" w:type="dxa"/>
            <w:shd w:val="clear" w:color="auto" w:fill="FABF8F" w:themeFill="accent6" w:themeFillTint="99"/>
            <w:vAlign w:val="center"/>
          </w:tcPr>
          <w:p w14:paraId="514AC861" w14:textId="77777777" w:rsidR="00985557" w:rsidRPr="00902AB2" w:rsidRDefault="00985557" w:rsidP="00EC097B">
            <w:pPr>
              <w:jc w:val="center"/>
              <w:rPr>
                <w:rFonts w:cs="Arial"/>
                <w:b/>
                <w:szCs w:val="20"/>
              </w:rPr>
            </w:pPr>
            <w:r w:rsidRPr="00902AB2">
              <w:rPr>
                <w:rFonts w:cs="Arial"/>
                <w:b/>
                <w:szCs w:val="20"/>
              </w:rPr>
              <w:t>Indication</w:t>
            </w:r>
          </w:p>
        </w:tc>
      </w:tr>
      <w:tr w:rsidR="00985557" w:rsidRPr="00902AB2" w14:paraId="0D819B15" w14:textId="77777777" w:rsidTr="00DA7AFC">
        <w:tc>
          <w:tcPr>
            <w:tcW w:w="2070" w:type="dxa"/>
            <w:vAlign w:val="center"/>
          </w:tcPr>
          <w:p w14:paraId="49722924" w14:textId="77777777" w:rsidR="00985557" w:rsidRPr="00FD0198" w:rsidRDefault="00985557" w:rsidP="00EC097B">
            <w:pPr>
              <w:jc w:val="center"/>
              <w:rPr>
                <w:rFonts w:cs="Arial"/>
                <w:szCs w:val="20"/>
              </w:rPr>
            </w:pPr>
            <w:r w:rsidRPr="00FD0198">
              <w:rPr>
                <w:rFonts w:cs="Arial"/>
                <w:szCs w:val="20"/>
              </w:rPr>
              <w:t>bimekizumab-bkzx</w:t>
            </w:r>
          </w:p>
        </w:tc>
        <w:tc>
          <w:tcPr>
            <w:tcW w:w="1260" w:type="dxa"/>
            <w:vAlign w:val="center"/>
          </w:tcPr>
          <w:p w14:paraId="3BA11AC7" w14:textId="77777777" w:rsidR="00985557" w:rsidRPr="00FD0198" w:rsidRDefault="00985557" w:rsidP="00EC097B">
            <w:pPr>
              <w:jc w:val="center"/>
              <w:rPr>
                <w:rFonts w:cs="Arial"/>
                <w:szCs w:val="20"/>
              </w:rPr>
            </w:pPr>
            <w:r w:rsidRPr="00FD0198">
              <w:rPr>
                <w:rFonts w:cs="Arial"/>
                <w:szCs w:val="20"/>
              </w:rPr>
              <w:t>Bimzelx</w:t>
            </w:r>
            <w:r w:rsidRPr="00FD0198">
              <w:rPr>
                <w:rFonts w:cs="Arial"/>
                <w:szCs w:val="20"/>
                <w:vertAlign w:val="superscript"/>
              </w:rPr>
              <w:t>®</w:t>
            </w:r>
          </w:p>
        </w:tc>
        <w:tc>
          <w:tcPr>
            <w:tcW w:w="4500" w:type="dxa"/>
          </w:tcPr>
          <w:p w14:paraId="2E8D0FD2" w14:textId="77777777" w:rsidR="00985557" w:rsidRPr="00AC558B" w:rsidRDefault="00985557" w:rsidP="00985557">
            <w:pPr>
              <w:pStyle w:val="ListParagraph"/>
              <w:numPr>
                <w:ilvl w:val="0"/>
                <w:numId w:val="18"/>
              </w:numPr>
              <w:rPr>
                <w:rFonts w:cs="Arial"/>
                <w:szCs w:val="20"/>
              </w:rPr>
            </w:pPr>
            <w:r w:rsidRPr="00AC558B">
              <w:rPr>
                <w:rFonts w:cs="Arial"/>
                <w:szCs w:val="20"/>
              </w:rPr>
              <w:t>Ankylosing spondylitis</w:t>
            </w:r>
          </w:p>
          <w:p w14:paraId="74A4C8B9" w14:textId="77777777" w:rsidR="00985557" w:rsidRPr="00AC558B" w:rsidRDefault="00985557" w:rsidP="00985557">
            <w:pPr>
              <w:pStyle w:val="ListParagraph"/>
              <w:numPr>
                <w:ilvl w:val="0"/>
                <w:numId w:val="18"/>
              </w:numPr>
              <w:rPr>
                <w:rFonts w:cs="Arial"/>
                <w:szCs w:val="20"/>
              </w:rPr>
            </w:pPr>
            <w:r w:rsidRPr="00AC558B">
              <w:rPr>
                <w:rFonts w:cs="Arial"/>
                <w:szCs w:val="20"/>
              </w:rPr>
              <w:t xml:space="preserve">Hidradenitis suppurativa </w:t>
            </w:r>
          </w:p>
          <w:p w14:paraId="70B54E73" w14:textId="77777777" w:rsidR="00985557" w:rsidRPr="00AC558B" w:rsidRDefault="00985557" w:rsidP="00985557">
            <w:pPr>
              <w:pStyle w:val="ListParagraph"/>
              <w:numPr>
                <w:ilvl w:val="0"/>
                <w:numId w:val="18"/>
              </w:numPr>
              <w:rPr>
                <w:rFonts w:cs="Arial"/>
                <w:szCs w:val="20"/>
              </w:rPr>
            </w:pPr>
            <w:r w:rsidRPr="00AC558B">
              <w:rPr>
                <w:rFonts w:cs="Arial"/>
                <w:szCs w:val="20"/>
              </w:rPr>
              <w:t>Non-radiographic axial spondyloarthritis</w:t>
            </w:r>
          </w:p>
          <w:p w14:paraId="768F8BAF" w14:textId="77777777" w:rsidR="00985557" w:rsidRPr="00AC558B" w:rsidRDefault="00985557" w:rsidP="00985557">
            <w:pPr>
              <w:pStyle w:val="ListParagraph"/>
              <w:numPr>
                <w:ilvl w:val="0"/>
                <w:numId w:val="18"/>
              </w:numPr>
              <w:rPr>
                <w:rFonts w:cs="Arial"/>
                <w:szCs w:val="20"/>
              </w:rPr>
            </w:pPr>
            <w:r w:rsidRPr="00AC558B">
              <w:rPr>
                <w:rFonts w:cs="Arial"/>
                <w:szCs w:val="20"/>
              </w:rPr>
              <w:t>Plaque psoriasis</w:t>
            </w:r>
          </w:p>
          <w:p w14:paraId="7BEEA6CA" w14:textId="77777777" w:rsidR="00985557" w:rsidRPr="00FA391C" w:rsidRDefault="00985557" w:rsidP="00985557">
            <w:pPr>
              <w:pStyle w:val="ListParagraph"/>
              <w:numPr>
                <w:ilvl w:val="0"/>
                <w:numId w:val="18"/>
              </w:numPr>
              <w:rPr>
                <w:rFonts w:cs="Arial"/>
                <w:b/>
                <w:bCs/>
                <w:szCs w:val="20"/>
              </w:rPr>
            </w:pPr>
            <w:r w:rsidRPr="00AC558B">
              <w:rPr>
                <w:rFonts w:cs="Arial"/>
                <w:szCs w:val="20"/>
              </w:rPr>
              <w:t>Psoriatic arthritis</w:t>
            </w:r>
          </w:p>
        </w:tc>
      </w:tr>
      <w:tr w:rsidR="00985557" w:rsidRPr="00902AB2" w14:paraId="47FC06C3" w14:textId="77777777" w:rsidTr="00DA7AFC">
        <w:tc>
          <w:tcPr>
            <w:tcW w:w="2070" w:type="dxa"/>
            <w:vAlign w:val="center"/>
          </w:tcPr>
          <w:p w14:paraId="3B3AB8E3" w14:textId="77777777" w:rsidR="00985557" w:rsidRPr="00902AB2" w:rsidRDefault="00985557" w:rsidP="00EC097B">
            <w:pPr>
              <w:jc w:val="center"/>
              <w:rPr>
                <w:rFonts w:cs="Arial"/>
                <w:szCs w:val="20"/>
              </w:rPr>
            </w:pPr>
            <w:r w:rsidRPr="00902AB2">
              <w:rPr>
                <w:rFonts w:cs="Arial"/>
                <w:szCs w:val="20"/>
              </w:rPr>
              <w:t>ixekizumab</w:t>
            </w:r>
          </w:p>
        </w:tc>
        <w:tc>
          <w:tcPr>
            <w:tcW w:w="1260" w:type="dxa"/>
            <w:vAlign w:val="center"/>
          </w:tcPr>
          <w:p w14:paraId="56D3A43F" w14:textId="77777777" w:rsidR="00985557" w:rsidRPr="00902AB2" w:rsidRDefault="00985557" w:rsidP="00EC097B">
            <w:pPr>
              <w:jc w:val="center"/>
              <w:rPr>
                <w:rFonts w:cs="Arial"/>
                <w:szCs w:val="20"/>
                <w:vertAlign w:val="superscript"/>
              </w:rPr>
            </w:pPr>
            <w:r w:rsidRPr="00902AB2">
              <w:rPr>
                <w:rFonts w:cs="Arial"/>
                <w:szCs w:val="20"/>
              </w:rPr>
              <w:t>Taltz</w:t>
            </w:r>
            <w:r w:rsidRPr="00902AB2">
              <w:rPr>
                <w:rFonts w:cs="Arial"/>
                <w:szCs w:val="20"/>
                <w:vertAlign w:val="superscript"/>
              </w:rPr>
              <w:t>®</w:t>
            </w:r>
          </w:p>
        </w:tc>
        <w:tc>
          <w:tcPr>
            <w:tcW w:w="4500" w:type="dxa"/>
          </w:tcPr>
          <w:p w14:paraId="1050DF2E" w14:textId="77777777" w:rsidR="00985557" w:rsidRPr="00902AB2" w:rsidRDefault="00985557" w:rsidP="00985557">
            <w:pPr>
              <w:pStyle w:val="ListParagraph"/>
              <w:numPr>
                <w:ilvl w:val="0"/>
                <w:numId w:val="17"/>
              </w:numPr>
              <w:rPr>
                <w:rFonts w:cs="Arial"/>
                <w:szCs w:val="20"/>
              </w:rPr>
            </w:pPr>
            <w:r w:rsidRPr="00902AB2">
              <w:rPr>
                <w:rFonts w:cs="Arial"/>
                <w:szCs w:val="20"/>
              </w:rPr>
              <w:t>Ankylosing spondylitis</w:t>
            </w:r>
          </w:p>
          <w:p w14:paraId="098E9678" w14:textId="77777777" w:rsidR="00985557" w:rsidRPr="00902AB2" w:rsidRDefault="00985557" w:rsidP="00985557">
            <w:pPr>
              <w:pStyle w:val="ListParagraph"/>
              <w:numPr>
                <w:ilvl w:val="0"/>
                <w:numId w:val="17"/>
              </w:numPr>
              <w:rPr>
                <w:rFonts w:cs="Arial"/>
                <w:szCs w:val="20"/>
              </w:rPr>
            </w:pPr>
            <w:r w:rsidRPr="00902AB2">
              <w:rPr>
                <w:rFonts w:cs="Arial"/>
                <w:szCs w:val="20"/>
              </w:rPr>
              <w:t>Non-radiographic axial spondyloarthritis</w:t>
            </w:r>
          </w:p>
          <w:p w14:paraId="3E2F3A42" w14:textId="77777777" w:rsidR="00985557" w:rsidRPr="00902AB2" w:rsidRDefault="00985557" w:rsidP="00985557">
            <w:pPr>
              <w:pStyle w:val="ListParagraph"/>
              <w:numPr>
                <w:ilvl w:val="0"/>
                <w:numId w:val="17"/>
              </w:numPr>
              <w:rPr>
                <w:rFonts w:cs="Arial"/>
                <w:szCs w:val="20"/>
              </w:rPr>
            </w:pPr>
            <w:r w:rsidRPr="00902AB2">
              <w:rPr>
                <w:rFonts w:cs="Arial"/>
                <w:szCs w:val="20"/>
              </w:rPr>
              <w:t>Plaque psoriasis (aged 6 or older)</w:t>
            </w:r>
          </w:p>
          <w:p w14:paraId="34DAC673" w14:textId="77777777" w:rsidR="00985557" w:rsidRPr="00902AB2" w:rsidRDefault="00985557" w:rsidP="00985557">
            <w:pPr>
              <w:pStyle w:val="ListParagraph"/>
              <w:numPr>
                <w:ilvl w:val="0"/>
                <w:numId w:val="17"/>
              </w:numPr>
              <w:rPr>
                <w:rFonts w:cs="Arial"/>
                <w:szCs w:val="20"/>
              </w:rPr>
            </w:pPr>
            <w:r w:rsidRPr="00902AB2">
              <w:rPr>
                <w:rFonts w:cs="Arial"/>
                <w:szCs w:val="20"/>
              </w:rPr>
              <w:t>Psoriatic arthritis</w:t>
            </w:r>
          </w:p>
        </w:tc>
      </w:tr>
      <w:tr w:rsidR="00985557" w:rsidRPr="00902AB2" w14:paraId="64B1349B" w14:textId="77777777" w:rsidTr="00DA7AFC">
        <w:tc>
          <w:tcPr>
            <w:tcW w:w="2070" w:type="dxa"/>
            <w:vAlign w:val="center"/>
          </w:tcPr>
          <w:p w14:paraId="2A9C50A4" w14:textId="77777777" w:rsidR="00985557" w:rsidRPr="00902AB2" w:rsidRDefault="00985557" w:rsidP="00EC097B">
            <w:pPr>
              <w:jc w:val="center"/>
              <w:rPr>
                <w:rFonts w:cs="Arial"/>
                <w:szCs w:val="20"/>
              </w:rPr>
            </w:pPr>
            <w:r w:rsidRPr="00902AB2">
              <w:rPr>
                <w:rFonts w:cs="Arial"/>
                <w:szCs w:val="20"/>
              </w:rPr>
              <w:t>secukinumab</w:t>
            </w:r>
          </w:p>
        </w:tc>
        <w:tc>
          <w:tcPr>
            <w:tcW w:w="1260" w:type="dxa"/>
            <w:vAlign w:val="center"/>
          </w:tcPr>
          <w:p w14:paraId="49CE6956" w14:textId="77777777" w:rsidR="00985557" w:rsidRPr="00902AB2" w:rsidRDefault="00985557" w:rsidP="00EC097B">
            <w:pPr>
              <w:jc w:val="center"/>
              <w:rPr>
                <w:rFonts w:cs="Arial"/>
                <w:szCs w:val="20"/>
                <w:vertAlign w:val="superscript"/>
              </w:rPr>
            </w:pPr>
            <w:r w:rsidRPr="00902AB2">
              <w:rPr>
                <w:rFonts w:cs="Arial"/>
                <w:szCs w:val="20"/>
              </w:rPr>
              <w:t>Cosentyx</w:t>
            </w:r>
            <w:r w:rsidRPr="00902AB2">
              <w:rPr>
                <w:rFonts w:cs="Arial"/>
                <w:szCs w:val="20"/>
                <w:vertAlign w:val="superscript"/>
              </w:rPr>
              <w:t>®</w:t>
            </w:r>
          </w:p>
        </w:tc>
        <w:tc>
          <w:tcPr>
            <w:tcW w:w="4500" w:type="dxa"/>
          </w:tcPr>
          <w:p w14:paraId="0EABE635" w14:textId="09D9E5D9" w:rsidR="00985557" w:rsidRPr="005C6684" w:rsidRDefault="00985557" w:rsidP="00985557">
            <w:pPr>
              <w:pStyle w:val="ListParagraph"/>
              <w:numPr>
                <w:ilvl w:val="0"/>
                <w:numId w:val="17"/>
              </w:numPr>
              <w:rPr>
                <w:rFonts w:cs="Arial"/>
                <w:b/>
                <w:bCs/>
                <w:color w:val="1F497D" w:themeColor="text2"/>
                <w:szCs w:val="20"/>
              </w:rPr>
            </w:pPr>
            <w:r w:rsidRPr="00902AB2">
              <w:rPr>
                <w:rFonts w:cs="Arial"/>
                <w:szCs w:val="20"/>
              </w:rPr>
              <w:t>Ankylosing spondylitis</w:t>
            </w:r>
            <w:r w:rsidR="005C6684" w:rsidRPr="005C6684">
              <w:rPr>
                <w:rFonts w:cs="Arial"/>
                <w:b/>
                <w:bCs/>
                <w:color w:val="1F497D" w:themeColor="text2"/>
                <w:szCs w:val="20"/>
              </w:rPr>
              <w:t xml:space="preserve"> (aged 12 or older)</w:t>
            </w:r>
          </w:p>
          <w:p w14:paraId="73AB2A2F" w14:textId="77777777" w:rsidR="00985557" w:rsidRDefault="00985557" w:rsidP="00985557">
            <w:pPr>
              <w:pStyle w:val="ListParagraph"/>
              <w:numPr>
                <w:ilvl w:val="0"/>
                <w:numId w:val="17"/>
              </w:numPr>
              <w:rPr>
                <w:rFonts w:cs="Arial"/>
                <w:szCs w:val="20"/>
              </w:rPr>
            </w:pPr>
            <w:r w:rsidRPr="00902AB2">
              <w:rPr>
                <w:rFonts w:cs="Arial"/>
                <w:szCs w:val="20"/>
              </w:rPr>
              <w:t>Enthesitis-related arthritis (aged 4 or older)</w:t>
            </w:r>
          </w:p>
          <w:p w14:paraId="087E505A" w14:textId="719D3C4F" w:rsidR="00985557" w:rsidRPr="005C6684" w:rsidRDefault="00985557" w:rsidP="00985557">
            <w:pPr>
              <w:pStyle w:val="ListParagraph"/>
              <w:numPr>
                <w:ilvl w:val="0"/>
                <w:numId w:val="17"/>
              </w:numPr>
              <w:rPr>
                <w:rFonts w:cs="Arial"/>
                <w:b/>
                <w:bCs/>
                <w:color w:val="1F497D" w:themeColor="text2"/>
                <w:szCs w:val="20"/>
              </w:rPr>
            </w:pPr>
            <w:r w:rsidRPr="00FD0198">
              <w:rPr>
                <w:rFonts w:cs="Arial"/>
                <w:szCs w:val="20"/>
              </w:rPr>
              <w:t xml:space="preserve">Hidradenitis suppurativa </w:t>
            </w:r>
            <w:r w:rsidR="005C6684" w:rsidRPr="005C6684">
              <w:rPr>
                <w:rFonts w:cs="Arial"/>
                <w:b/>
                <w:bCs/>
                <w:color w:val="1F497D" w:themeColor="text2"/>
                <w:szCs w:val="20"/>
              </w:rPr>
              <w:t>(aged 12 or older)</w:t>
            </w:r>
          </w:p>
          <w:p w14:paraId="70DD4929" w14:textId="77777777" w:rsidR="00985557" w:rsidRPr="00902AB2" w:rsidRDefault="00985557" w:rsidP="00985557">
            <w:pPr>
              <w:pStyle w:val="ListParagraph"/>
              <w:numPr>
                <w:ilvl w:val="0"/>
                <w:numId w:val="17"/>
              </w:numPr>
              <w:rPr>
                <w:rFonts w:cs="Arial"/>
                <w:szCs w:val="20"/>
              </w:rPr>
            </w:pPr>
            <w:r w:rsidRPr="00902AB2">
              <w:rPr>
                <w:rFonts w:cs="Arial"/>
                <w:szCs w:val="20"/>
              </w:rPr>
              <w:t>Non-radiographic axial spondyloarthritis</w:t>
            </w:r>
          </w:p>
          <w:p w14:paraId="744C9A22" w14:textId="77777777" w:rsidR="00985557" w:rsidRPr="00902AB2" w:rsidRDefault="00985557" w:rsidP="00985557">
            <w:pPr>
              <w:pStyle w:val="ListParagraph"/>
              <w:numPr>
                <w:ilvl w:val="0"/>
                <w:numId w:val="17"/>
              </w:numPr>
              <w:rPr>
                <w:rFonts w:cs="Arial"/>
                <w:szCs w:val="20"/>
              </w:rPr>
            </w:pPr>
            <w:r w:rsidRPr="00902AB2">
              <w:rPr>
                <w:rFonts w:cs="Arial"/>
                <w:szCs w:val="20"/>
              </w:rPr>
              <w:t>Plaque psoriasis (aged 6 or older)</w:t>
            </w:r>
          </w:p>
          <w:p w14:paraId="39C20E73" w14:textId="77777777" w:rsidR="00985557" w:rsidRPr="00902AB2" w:rsidRDefault="00985557" w:rsidP="00985557">
            <w:pPr>
              <w:pStyle w:val="ListParagraph"/>
              <w:numPr>
                <w:ilvl w:val="0"/>
                <w:numId w:val="17"/>
              </w:numPr>
              <w:rPr>
                <w:rFonts w:cs="Arial"/>
                <w:szCs w:val="20"/>
              </w:rPr>
            </w:pPr>
            <w:r w:rsidRPr="00902AB2">
              <w:rPr>
                <w:rFonts w:cs="Arial"/>
                <w:szCs w:val="20"/>
              </w:rPr>
              <w:t>Psoriatic arthritis (aged 2 or older)</w:t>
            </w:r>
          </w:p>
        </w:tc>
      </w:tr>
    </w:tbl>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4D21EAF1" w14:textId="79468A68" w:rsidR="001E4CBA" w:rsidRPr="00985557" w:rsidRDefault="00904D7A" w:rsidP="00985557">
      <w:pPr>
        <w:pStyle w:val="ListParagraph"/>
        <w:numPr>
          <w:ilvl w:val="1"/>
          <w:numId w:val="6"/>
        </w:numPr>
        <w:rPr>
          <w:rFonts w:cs="Arial"/>
          <w:szCs w:val="22"/>
        </w:rPr>
      </w:pPr>
      <w:proofErr w:type="gramStart"/>
      <w:r w:rsidRPr="005328B2">
        <w:t>Any</w:t>
      </w:r>
      <w:proofErr w:type="gramEnd"/>
      <w:r w:rsidRPr="005328B2">
        <w:t xml:space="preserve"> approval criteria are not </w:t>
      </w:r>
      <w:r w:rsidRPr="005328B2" w:rsidDel="00580122">
        <w:t>met</w:t>
      </w:r>
      <w:r w:rsidR="00580122" w:rsidRPr="005328B2">
        <w:t>.</w:t>
      </w:r>
    </w:p>
    <w:p w14:paraId="124B5830" w14:textId="77777777" w:rsidR="00985557" w:rsidRPr="002C2C41" w:rsidRDefault="00985557" w:rsidP="00985557">
      <w:pPr>
        <w:pStyle w:val="ListParagraph"/>
        <w:numPr>
          <w:ilvl w:val="0"/>
          <w:numId w:val="0"/>
        </w:numPr>
        <w:ind w:left="72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1B3E79D1" w14:textId="77777777" w:rsidR="005A4BDE" w:rsidRPr="00C77C1D" w:rsidRDefault="005A4BDE" w:rsidP="005A4BDE">
      <w:pPr>
        <w:pStyle w:val="ListParagraph"/>
      </w:pPr>
      <w:r w:rsidRPr="00C77C1D">
        <w:t>Evidence-Based Medicine and Fiscal Analysis: “IMMUNOLOGIC AGENTS Targeted Immune Modulators, IL-17A Antibody/IL-17 Receptor Antagonists”, Gainwell Technologies; Last updated May 10, 2025.</w:t>
      </w:r>
    </w:p>
    <w:p w14:paraId="46D40D95" w14:textId="246B61BD" w:rsidR="005A4BDE" w:rsidRPr="009715D8" w:rsidRDefault="005A4BDE" w:rsidP="005A4BDE">
      <w:pPr>
        <w:pStyle w:val="ListParagraph"/>
      </w:pPr>
      <w:r>
        <w:t xml:space="preserve">Evidence-Based Medicine Analysis: “Targeted Immune Modulators (Biologics – DMARDS [IL-6, TNF, IL-17A Antibody/IL-17 RA &amp; IL-23/IL-12, JAK inhibitors, Lupus, CAPS agents, Select/Other Agents])”. UMKC-DIC; </w:t>
      </w:r>
      <w:r w:rsidR="1D9B5480">
        <w:t xml:space="preserve">March </w:t>
      </w:r>
      <w:r>
        <w:t>202</w:t>
      </w:r>
      <w:r w:rsidR="785AA634">
        <w:t>6</w:t>
      </w:r>
      <w:r>
        <w:t>.</w:t>
      </w:r>
    </w:p>
    <w:p w14:paraId="5019F1FB" w14:textId="77777777" w:rsidR="005A4BDE" w:rsidRPr="006E46C7" w:rsidRDefault="005A4BDE" w:rsidP="005A4BDE">
      <w:pPr>
        <w:pStyle w:val="ListParagraph"/>
      </w:pPr>
      <w:r>
        <w:t xml:space="preserve">Bimzelx (bimekizumab-bkzx) </w:t>
      </w:r>
      <w:r w:rsidRPr="00180878">
        <w:t xml:space="preserve">[package insert]. </w:t>
      </w:r>
      <w:r>
        <w:t>Smyma, GA: UCB, Inc.</w:t>
      </w:r>
      <w:r w:rsidRPr="00180878">
        <w:t xml:space="preserve">; </w:t>
      </w:r>
      <w:r>
        <w:t>November 2024.</w:t>
      </w:r>
    </w:p>
    <w:p w14:paraId="0E6516C2" w14:textId="028676F4" w:rsidR="005A4BDE" w:rsidRPr="00180878" w:rsidRDefault="005A4BDE" w:rsidP="005A4BDE">
      <w:pPr>
        <w:pStyle w:val="ListParagraph"/>
      </w:pPr>
      <w:r w:rsidRPr="00180878">
        <w:t xml:space="preserve">Cosentyx (secukinumab) [package insert]. East Hanover, NJ: Novartis Pharmaceuticals; </w:t>
      </w:r>
      <w:r w:rsidR="00866AEE">
        <w:t>April</w:t>
      </w:r>
      <w:r w:rsidRPr="00180878">
        <w:t xml:space="preserve"> 202</w:t>
      </w:r>
      <w:r w:rsidR="00866AEE">
        <w:t>6</w:t>
      </w:r>
      <w:r w:rsidRPr="00180878">
        <w:t>.</w:t>
      </w:r>
    </w:p>
    <w:p w14:paraId="065A8C41" w14:textId="77777777" w:rsidR="005A4BDE" w:rsidRPr="00180878" w:rsidRDefault="005A4BDE" w:rsidP="005A4BDE">
      <w:pPr>
        <w:pStyle w:val="ListParagraph"/>
      </w:pPr>
      <w:r w:rsidRPr="00180878">
        <w:t>Taltz (</w:t>
      </w:r>
      <w:proofErr w:type="spellStart"/>
      <w:r w:rsidRPr="00180878">
        <w:t>ixekizumab</w:t>
      </w:r>
      <w:proofErr w:type="spellEnd"/>
      <w:r w:rsidRPr="00180878">
        <w:t xml:space="preserve">) [package insert]. Indianapolis, IN: Eli Lilly and Company; </w:t>
      </w:r>
      <w:r>
        <w:t>August</w:t>
      </w:r>
      <w:r w:rsidRPr="00180878">
        <w:t xml:space="preserve"> 202</w:t>
      </w:r>
      <w:r>
        <w:t>4</w:t>
      </w:r>
      <w:r w:rsidRPr="00180878">
        <w:t>.</w:t>
      </w:r>
    </w:p>
    <w:p w14:paraId="5AC35268" w14:textId="63B6BBA7" w:rsidR="005A4BDE" w:rsidRPr="00180878" w:rsidRDefault="005A4BDE" w:rsidP="005A4BDE">
      <w:pPr>
        <w:pStyle w:val="ListParagraph"/>
      </w:pPr>
      <w:bookmarkStart w:id="3" w:name="_Hlk34121003"/>
      <w:r w:rsidRPr="00180878">
        <w:t>USPDI, Micromedex; 202</w:t>
      </w:r>
      <w:r w:rsidR="009E2AEE">
        <w:t>6</w:t>
      </w:r>
      <w:r w:rsidRPr="00180878">
        <w:t xml:space="preserve">. </w:t>
      </w:r>
    </w:p>
    <w:bookmarkEnd w:id="3"/>
    <w:p w14:paraId="3FA1E7DB" w14:textId="522E376B" w:rsidR="00777CA4" w:rsidRDefault="005A4BDE" w:rsidP="005A4BDE">
      <w:pPr>
        <w:pStyle w:val="ListParagraph"/>
      </w:pPr>
      <w:r w:rsidRPr="00180878">
        <w:t>Clinical Pharmacology [online]. Tampa (FL): Elsevier. 202</w:t>
      </w:r>
      <w:r w:rsidR="009E2AEE">
        <w:t>6</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75BA" w14:textId="77777777" w:rsidR="00AA10BC" w:rsidRPr="00C02553" w:rsidRDefault="00AA10BC" w:rsidP="00AE77DB">
      <w:r w:rsidRPr="00C02553">
        <w:separator/>
      </w:r>
    </w:p>
  </w:endnote>
  <w:endnote w:type="continuationSeparator" w:id="0">
    <w:p w14:paraId="1E18947F" w14:textId="77777777" w:rsidR="00AA10BC" w:rsidRPr="00C02553" w:rsidRDefault="00AA10BC" w:rsidP="00AE77DB">
      <w:r w:rsidRPr="00C02553">
        <w:continuationSeparator/>
      </w:r>
    </w:p>
  </w:endnote>
  <w:endnote w:type="continuationNotice" w:id="1">
    <w:p w14:paraId="5E005B93" w14:textId="77777777" w:rsidR="00AA10BC" w:rsidRPr="00C02553" w:rsidRDefault="00AA1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87D7" w14:textId="77777777" w:rsidR="00AA10BC" w:rsidRPr="00C02553" w:rsidRDefault="00AA10BC" w:rsidP="00AE77DB">
      <w:r w:rsidRPr="00C02553">
        <w:separator/>
      </w:r>
    </w:p>
  </w:footnote>
  <w:footnote w:type="continuationSeparator" w:id="0">
    <w:p w14:paraId="0ADC0DCD" w14:textId="77777777" w:rsidR="00AA10BC" w:rsidRPr="00C02553" w:rsidRDefault="00AA10BC" w:rsidP="00AE77DB">
      <w:r w:rsidRPr="00C02553">
        <w:continuationSeparator/>
      </w:r>
    </w:p>
  </w:footnote>
  <w:footnote w:type="continuationNotice" w:id="1">
    <w:p w14:paraId="1E65CB5A" w14:textId="77777777" w:rsidR="00AA10BC" w:rsidRPr="00C02553" w:rsidRDefault="00AA1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7C0493">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8238;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7C0493">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8237;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60291"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7C0493">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8239;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8B36712"/>
    <w:multiLevelType w:val="hybridMultilevel"/>
    <w:tmpl w:val="71ECD4C0"/>
    <w:lvl w:ilvl="0" w:tplc="04090003">
      <w:start w:val="1"/>
      <w:numFmt w:val="bullet"/>
      <w:lvlText w:val="o"/>
      <w:lvlJc w:val="left"/>
      <w:pPr>
        <w:ind w:left="1440" w:hanging="360"/>
      </w:pPr>
      <w:rPr>
        <w:rFonts w:ascii="Courier New" w:hAnsi="Courier New" w:cs="Courier New" w:hint="default"/>
      </w:rPr>
    </w:lvl>
    <w:lvl w:ilvl="1" w:tplc="40A2011E">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1D2B13"/>
    <w:multiLevelType w:val="hybridMultilevel"/>
    <w:tmpl w:val="7E14276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75E0"/>
    <w:multiLevelType w:val="hybridMultilevel"/>
    <w:tmpl w:val="01988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AB049C"/>
    <w:multiLevelType w:val="hybridMultilevel"/>
    <w:tmpl w:val="1B7CD8FE"/>
    <w:lvl w:ilvl="0" w:tplc="8B2E08AA">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C4802"/>
    <w:multiLevelType w:val="hybridMultilevel"/>
    <w:tmpl w:val="4BB0F82E"/>
    <w:lvl w:ilvl="0" w:tplc="815E681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643976"/>
    <w:multiLevelType w:val="hybridMultilevel"/>
    <w:tmpl w:val="86B442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A2BEED9E">
      <w:start w:val="1"/>
      <w:numFmt w:val="bullet"/>
      <w:lvlText w:val=""/>
      <w:lvlJc w:val="left"/>
      <w:pPr>
        <w:ind w:left="1080" w:hanging="360"/>
      </w:pPr>
      <w:rPr>
        <w:rFonts w:ascii="Wingdings" w:hAnsi="Wingdings" w:hint="default"/>
        <w:color w:val="auto"/>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03E78"/>
    <w:multiLevelType w:val="hybridMultilevel"/>
    <w:tmpl w:val="4A0620EE"/>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0"/>
  </w:num>
  <w:num w:numId="3" w16cid:durableId="1729067566">
    <w:abstractNumId w:val="4"/>
  </w:num>
  <w:num w:numId="4" w16cid:durableId="320159068">
    <w:abstractNumId w:val="9"/>
  </w:num>
  <w:num w:numId="5" w16cid:durableId="1769498754">
    <w:abstractNumId w:val="3"/>
  </w:num>
  <w:num w:numId="6" w16cid:durableId="1094596320">
    <w:abstractNumId w:val="17"/>
  </w:num>
  <w:num w:numId="7" w16cid:durableId="2110008555">
    <w:abstractNumId w:val="2"/>
  </w:num>
  <w:num w:numId="8" w16cid:durableId="489712751">
    <w:abstractNumId w:val="8"/>
  </w:num>
  <w:num w:numId="9" w16cid:durableId="1085147965">
    <w:abstractNumId w:val="14"/>
  </w:num>
  <w:num w:numId="10" w16cid:durableId="917518096">
    <w:abstractNumId w:val="10"/>
  </w:num>
  <w:num w:numId="11" w16cid:durableId="1894998475">
    <w:abstractNumId w:val="1"/>
  </w:num>
  <w:num w:numId="12" w16cid:durableId="1418215296">
    <w:abstractNumId w:val="18"/>
  </w:num>
  <w:num w:numId="13" w16cid:durableId="604729665">
    <w:abstractNumId w:val="7"/>
  </w:num>
  <w:num w:numId="14" w16cid:durableId="1805081292">
    <w:abstractNumId w:val="16"/>
  </w:num>
  <w:num w:numId="15" w16cid:durableId="1506048966">
    <w:abstractNumId w:val="11"/>
  </w:num>
  <w:num w:numId="16" w16cid:durableId="688214668">
    <w:abstractNumId w:val="5"/>
  </w:num>
  <w:num w:numId="17" w16cid:durableId="1415735822">
    <w:abstractNumId w:val="15"/>
  </w:num>
  <w:num w:numId="18" w16cid:durableId="770276688">
    <w:abstractNumId w:val="13"/>
  </w:num>
  <w:num w:numId="19" w16cid:durableId="611671958">
    <w:abstractNumId w:val="12"/>
  </w:num>
  <w:num w:numId="20" w16cid:durableId="812261074">
    <w:abstractNumId w:val="6"/>
  </w:num>
  <w:num w:numId="21" w16cid:durableId="131421190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2w2H2gWIGJ4N+50rCqtjIGJaRSn5Vp/zRT6gshr3c6QbnDwischHdRqN/jt//+dDJgR+FETGtVHJSbSHB4YDSw==" w:salt="H69SO1t3yCs56f8rjECiL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66885"/>
    <w:rsid w:val="00074464"/>
    <w:rsid w:val="00076030"/>
    <w:rsid w:val="00082590"/>
    <w:rsid w:val="00090506"/>
    <w:rsid w:val="000913C3"/>
    <w:rsid w:val="000953B9"/>
    <w:rsid w:val="000A1495"/>
    <w:rsid w:val="000A413B"/>
    <w:rsid w:val="000A6279"/>
    <w:rsid w:val="000B1B3C"/>
    <w:rsid w:val="000B496B"/>
    <w:rsid w:val="000C3940"/>
    <w:rsid w:val="000C5992"/>
    <w:rsid w:val="000E1479"/>
    <w:rsid w:val="000E21CC"/>
    <w:rsid w:val="000E231E"/>
    <w:rsid w:val="000E247D"/>
    <w:rsid w:val="000E6AEE"/>
    <w:rsid w:val="000E6B14"/>
    <w:rsid w:val="000E70D8"/>
    <w:rsid w:val="001062F6"/>
    <w:rsid w:val="00112FC7"/>
    <w:rsid w:val="00125F5F"/>
    <w:rsid w:val="00126951"/>
    <w:rsid w:val="00126B60"/>
    <w:rsid w:val="00126C65"/>
    <w:rsid w:val="00126E34"/>
    <w:rsid w:val="001273EB"/>
    <w:rsid w:val="00127EF6"/>
    <w:rsid w:val="001310AD"/>
    <w:rsid w:val="001314A5"/>
    <w:rsid w:val="00132C7F"/>
    <w:rsid w:val="00144DBE"/>
    <w:rsid w:val="00152C8B"/>
    <w:rsid w:val="0015636A"/>
    <w:rsid w:val="001656A8"/>
    <w:rsid w:val="00167BD2"/>
    <w:rsid w:val="00172053"/>
    <w:rsid w:val="00177A80"/>
    <w:rsid w:val="0019174A"/>
    <w:rsid w:val="001A50CB"/>
    <w:rsid w:val="001A74B7"/>
    <w:rsid w:val="001B2D47"/>
    <w:rsid w:val="001C0250"/>
    <w:rsid w:val="001C6DA4"/>
    <w:rsid w:val="001C73B1"/>
    <w:rsid w:val="001D1E7D"/>
    <w:rsid w:val="001D6567"/>
    <w:rsid w:val="001E011B"/>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0D13"/>
    <w:rsid w:val="0029159A"/>
    <w:rsid w:val="00291600"/>
    <w:rsid w:val="002A02F4"/>
    <w:rsid w:val="002A51A8"/>
    <w:rsid w:val="002B6347"/>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72250"/>
    <w:rsid w:val="003878C1"/>
    <w:rsid w:val="00396C0B"/>
    <w:rsid w:val="003A15BB"/>
    <w:rsid w:val="003A211F"/>
    <w:rsid w:val="003A630F"/>
    <w:rsid w:val="003B3958"/>
    <w:rsid w:val="003B4820"/>
    <w:rsid w:val="003B5F4B"/>
    <w:rsid w:val="003B682F"/>
    <w:rsid w:val="003C53FC"/>
    <w:rsid w:val="003C7013"/>
    <w:rsid w:val="003D641B"/>
    <w:rsid w:val="003F227C"/>
    <w:rsid w:val="004023CC"/>
    <w:rsid w:val="00407564"/>
    <w:rsid w:val="00411152"/>
    <w:rsid w:val="004156AA"/>
    <w:rsid w:val="0042042F"/>
    <w:rsid w:val="004253A1"/>
    <w:rsid w:val="00426F70"/>
    <w:rsid w:val="004313B6"/>
    <w:rsid w:val="00433339"/>
    <w:rsid w:val="0044235E"/>
    <w:rsid w:val="00446BBC"/>
    <w:rsid w:val="004472C0"/>
    <w:rsid w:val="00450705"/>
    <w:rsid w:val="00451928"/>
    <w:rsid w:val="0046618B"/>
    <w:rsid w:val="0048075B"/>
    <w:rsid w:val="0048608C"/>
    <w:rsid w:val="00496E57"/>
    <w:rsid w:val="00497EEA"/>
    <w:rsid w:val="004A2113"/>
    <w:rsid w:val="004B3E10"/>
    <w:rsid w:val="004C0F5D"/>
    <w:rsid w:val="004C375A"/>
    <w:rsid w:val="004C4954"/>
    <w:rsid w:val="004C4B92"/>
    <w:rsid w:val="004C5767"/>
    <w:rsid w:val="004D0F81"/>
    <w:rsid w:val="004D5322"/>
    <w:rsid w:val="004D78B0"/>
    <w:rsid w:val="004E611F"/>
    <w:rsid w:val="004F2A79"/>
    <w:rsid w:val="004F4D37"/>
    <w:rsid w:val="004F514B"/>
    <w:rsid w:val="00501A14"/>
    <w:rsid w:val="00501DE3"/>
    <w:rsid w:val="005053E9"/>
    <w:rsid w:val="005058CB"/>
    <w:rsid w:val="0051044D"/>
    <w:rsid w:val="005139E4"/>
    <w:rsid w:val="00515075"/>
    <w:rsid w:val="00520FE9"/>
    <w:rsid w:val="00521FCC"/>
    <w:rsid w:val="005233E7"/>
    <w:rsid w:val="005328B2"/>
    <w:rsid w:val="00535BD5"/>
    <w:rsid w:val="00537AC0"/>
    <w:rsid w:val="00540977"/>
    <w:rsid w:val="00551668"/>
    <w:rsid w:val="005572D5"/>
    <w:rsid w:val="00566BE4"/>
    <w:rsid w:val="00570D21"/>
    <w:rsid w:val="00573856"/>
    <w:rsid w:val="00575930"/>
    <w:rsid w:val="00576113"/>
    <w:rsid w:val="00580122"/>
    <w:rsid w:val="00590652"/>
    <w:rsid w:val="0059235F"/>
    <w:rsid w:val="00596936"/>
    <w:rsid w:val="0059707B"/>
    <w:rsid w:val="005A2F1E"/>
    <w:rsid w:val="005A4232"/>
    <w:rsid w:val="005A4BDE"/>
    <w:rsid w:val="005B168B"/>
    <w:rsid w:val="005C3616"/>
    <w:rsid w:val="005C6684"/>
    <w:rsid w:val="005D36B2"/>
    <w:rsid w:val="005D52E7"/>
    <w:rsid w:val="005D78B5"/>
    <w:rsid w:val="005E2F74"/>
    <w:rsid w:val="005E3572"/>
    <w:rsid w:val="005E45E4"/>
    <w:rsid w:val="005F0A81"/>
    <w:rsid w:val="005F0FCF"/>
    <w:rsid w:val="0060042F"/>
    <w:rsid w:val="006008BC"/>
    <w:rsid w:val="00602CFD"/>
    <w:rsid w:val="00606B55"/>
    <w:rsid w:val="00612A7B"/>
    <w:rsid w:val="00616E5E"/>
    <w:rsid w:val="006173A4"/>
    <w:rsid w:val="00617E50"/>
    <w:rsid w:val="006205AD"/>
    <w:rsid w:val="006246D3"/>
    <w:rsid w:val="00625C3A"/>
    <w:rsid w:val="00635DDB"/>
    <w:rsid w:val="0064149A"/>
    <w:rsid w:val="00644E59"/>
    <w:rsid w:val="00646D47"/>
    <w:rsid w:val="00646DFE"/>
    <w:rsid w:val="00650530"/>
    <w:rsid w:val="00650C96"/>
    <w:rsid w:val="00653788"/>
    <w:rsid w:val="0065477F"/>
    <w:rsid w:val="006555D0"/>
    <w:rsid w:val="00656896"/>
    <w:rsid w:val="00657A5D"/>
    <w:rsid w:val="00661656"/>
    <w:rsid w:val="0066374F"/>
    <w:rsid w:val="00677C65"/>
    <w:rsid w:val="00693152"/>
    <w:rsid w:val="00694FAE"/>
    <w:rsid w:val="00696E3A"/>
    <w:rsid w:val="006A0834"/>
    <w:rsid w:val="006A4BBD"/>
    <w:rsid w:val="006A52F1"/>
    <w:rsid w:val="006B561D"/>
    <w:rsid w:val="006B6451"/>
    <w:rsid w:val="006B6D5D"/>
    <w:rsid w:val="006D2330"/>
    <w:rsid w:val="006E0F8B"/>
    <w:rsid w:val="006E12F7"/>
    <w:rsid w:val="006E29D7"/>
    <w:rsid w:val="006F4950"/>
    <w:rsid w:val="00704F2B"/>
    <w:rsid w:val="0070665A"/>
    <w:rsid w:val="007068A4"/>
    <w:rsid w:val="00706D67"/>
    <w:rsid w:val="00713052"/>
    <w:rsid w:val="00721367"/>
    <w:rsid w:val="007231FA"/>
    <w:rsid w:val="00732C67"/>
    <w:rsid w:val="00734418"/>
    <w:rsid w:val="00757826"/>
    <w:rsid w:val="007601E9"/>
    <w:rsid w:val="007632B7"/>
    <w:rsid w:val="0076382F"/>
    <w:rsid w:val="00765768"/>
    <w:rsid w:val="00765D10"/>
    <w:rsid w:val="00766AC8"/>
    <w:rsid w:val="00767486"/>
    <w:rsid w:val="0077070E"/>
    <w:rsid w:val="007716EC"/>
    <w:rsid w:val="0077296A"/>
    <w:rsid w:val="00776A1E"/>
    <w:rsid w:val="00777CA4"/>
    <w:rsid w:val="00792DF0"/>
    <w:rsid w:val="0079438F"/>
    <w:rsid w:val="007A3034"/>
    <w:rsid w:val="007A527E"/>
    <w:rsid w:val="007A53E7"/>
    <w:rsid w:val="007A78F7"/>
    <w:rsid w:val="007B3333"/>
    <w:rsid w:val="007B379F"/>
    <w:rsid w:val="007B37D6"/>
    <w:rsid w:val="007B5D30"/>
    <w:rsid w:val="007C0493"/>
    <w:rsid w:val="007C52AC"/>
    <w:rsid w:val="007D2920"/>
    <w:rsid w:val="007D42DD"/>
    <w:rsid w:val="007D654D"/>
    <w:rsid w:val="007E2B44"/>
    <w:rsid w:val="007E6A37"/>
    <w:rsid w:val="007E7032"/>
    <w:rsid w:val="007F1774"/>
    <w:rsid w:val="007F6915"/>
    <w:rsid w:val="00811A70"/>
    <w:rsid w:val="0081406E"/>
    <w:rsid w:val="00832211"/>
    <w:rsid w:val="008325F4"/>
    <w:rsid w:val="00832AC8"/>
    <w:rsid w:val="00844981"/>
    <w:rsid w:val="00846FA4"/>
    <w:rsid w:val="008524BA"/>
    <w:rsid w:val="00852B74"/>
    <w:rsid w:val="00856928"/>
    <w:rsid w:val="00861128"/>
    <w:rsid w:val="00865538"/>
    <w:rsid w:val="00866AEE"/>
    <w:rsid w:val="00870875"/>
    <w:rsid w:val="0088225C"/>
    <w:rsid w:val="00884026"/>
    <w:rsid w:val="00884C78"/>
    <w:rsid w:val="008859E1"/>
    <w:rsid w:val="0089107D"/>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224B1"/>
    <w:rsid w:val="00932CAA"/>
    <w:rsid w:val="00935918"/>
    <w:rsid w:val="00935EC3"/>
    <w:rsid w:val="00951097"/>
    <w:rsid w:val="00953C1E"/>
    <w:rsid w:val="0096210F"/>
    <w:rsid w:val="00962633"/>
    <w:rsid w:val="00963187"/>
    <w:rsid w:val="00963ACF"/>
    <w:rsid w:val="00963D1C"/>
    <w:rsid w:val="00964284"/>
    <w:rsid w:val="0097028A"/>
    <w:rsid w:val="00973BD6"/>
    <w:rsid w:val="00974C61"/>
    <w:rsid w:val="00984549"/>
    <w:rsid w:val="00985557"/>
    <w:rsid w:val="00985D28"/>
    <w:rsid w:val="00991BF0"/>
    <w:rsid w:val="00997844"/>
    <w:rsid w:val="009A0FB1"/>
    <w:rsid w:val="009A1FAC"/>
    <w:rsid w:val="009B001A"/>
    <w:rsid w:val="009B1A62"/>
    <w:rsid w:val="009C3CC7"/>
    <w:rsid w:val="009D2057"/>
    <w:rsid w:val="009D3D6C"/>
    <w:rsid w:val="009D5551"/>
    <w:rsid w:val="009D61A1"/>
    <w:rsid w:val="009D62DB"/>
    <w:rsid w:val="009E2AEE"/>
    <w:rsid w:val="009E3B42"/>
    <w:rsid w:val="00A03F0D"/>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854C1"/>
    <w:rsid w:val="00AA10BC"/>
    <w:rsid w:val="00AA70AB"/>
    <w:rsid w:val="00AB0B9F"/>
    <w:rsid w:val="00AB1713"/>
    <w:rsid w:val="00AB63BE"/>
    <w:rsid w:val="00AC1EBC"/>
    <w:rsid w:val="00AC2599"/>
    <w:rsid w:val="00AC2DE9"/>
    <w:rsid w:val="00AD0F62"/>
    <w:rsid w:val="00AD2C5F"/>
    <w:rsid w:val="00AE0F08"/>
    <w:rsid w:val="00AE1481"/>
    <w:rsid w:val="00AE27F9"/>
    <w:rsid w:val="00AE3473"/>
    <w:rsid w:val="00AE77DB"/>
    <w:rsid w:val="00AF4C42"/>
    <w:rsid w:val="00AF68FF"/>
    <w:rsid w:val="00AF7453"/>
    <w:rsid w:val="00B00FFF"/>
    <w:rsid w:val="00B04A72"/>
    <w:rsid w:val="00B06084"/>
    <w:rsid w:val="00B16735"/>
    <w:rsid w:val="00B17EDE"/>
    <w:rsid w:val="00B22585"/>
    <w:rsid w:val="00B33693"/>
    <w:rsid w:val="00B34C53"/>
    <w:rsid w:val="00B50385"/>
    <w:rsid w:val="00B507A5"/>
    <w:rsid w:val="00B52475"/>
    <w:rsid w:val="00B535DA"/>
    <w:rsid w:val="00B56DCC"/>
    <w:rsid w:val="00B56F54"/>
    <w:rsid w:val="00B638C2"/>
    <w:rsid w:val="00B758AB"/>
    <w:rsid w:val="00B76277"/>
    <w:rsid w:val="00B772AB"/>
    <w:rsid w:val="00B77F6C"/>
    <w:rsid w:val="00B80395"/>
    <w:rsid w:val="00B80B56"/>
    <w:rsid w:val="00B8520B"/>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199E"/>
    <w:rsid w:val="00BE354A"/>
    <w:rsid w:val="00BF5EEF"/>
    <w:rsid w:val="00C02553"/>
    <w:rsid w:val="00C03299"/>
    <w:rsid w:val="00C04EB6"/>
    <w:rsid w:val="00C056F9"/>
    <w:rsid w:val="00C1018C"/>
    <w:rsid w:val="00C1150E"/>
    <w:rsid w:val="00C14D52"/>
    <w:rsid w:val="00C2586C"/>
    <w:rsid w:val="00C26001"/>
    <w:rsid w:val="00C314D0"/>
    <w:rsid w:val="00C34E72"/>
    <w:rsid w:val="00C56B1F"/>
    <w:rsid w:val="00C61B52"/>
    <w:rsid w:val="00C62745"/>
    <w:rsid w:val="00C654CA"/>
    <w:rsid w:val="00C70EDF"/>
    <w:rsid w:val="00C722C9"/>
    <w:rsid w:val="00C7338A"/>
    <w:rsid w:val="00C763BD"/>
    <w:rsid w:val="00C76B67"/>
    <w:rsid w:val="00C779A8"/>
    <w:rsid w:val="00C82E19"/>
    <w:rsid w:val="00C96873"/>
    <w:rsid w:val="00CA1735"/>
    <w:rsid w:val="00CA3C4B"/>
    <w:rsid w:val="00CA7252"/>
    <w:rsid w:val="00CB2C5A"/>
    <w:rsid w:val="00CE0C1C"/>
    <w:rsid w:val="00CE34AF"/>
    <w:rsid w:val="00CE5A96"/>
    <w:rsid w:val="00CF00A4"/>
    <w:rsid w:val="00CF25FB"/>
    <w:rsid w:val="00CF614C"/>
    <w:rsid w:val="00D02F34"/>
    <w:rsid w:val="00D13D87"/>
    <w:rsid w:val="00D13FBB"/>
    <w:rsid w:val="00D16590"/>
    <w:rsid w:val="00D20720"/>
    <w:rsid w:val="00D250D9"/>
    <w:rsid w:val="00D27533"/>
    <w:rsid w:val="00D42DA3"/>
    <w:rsid w:val="00D4546D"/>
    <w:rsid w:val="00D47996"/>
    <w:rsid w:val="00D61118"/>
    <w:rsid w:val="00D614F1"/>
    <w:rsid w:val="00D70D50"/>
    <w:rsid w:val="00D71154"/>
    <w:rsid w:val="00D71917"/>
    <w:rsid w:val="00D87A1A"/>
    <w:rsid w:val="00DA3A0F"/>
    <w:rsid w:val="00DA4E62"/>
    <w:rsid w:val="00DA6990"/>
    <w:rsid w:val="00DA7AFC"/>
    <w:rsid w:val="00DB27BA"/>
    <w:rsid w:val="00DB337A"/>
    <w:rsid w:val="00DB7879"/>
    <w:rsid w:val="00DC2CD8"/>
    <w:rsid w:val="00DC51CB"/>
    <w:rsid w:val="00DD4819"/>
    <w:rsid w:val="00DD4B8A"/>
    <w:rsid w:val="00DD5403"/>
    <w:rsid w:val="00DE1388"/>
    <w:rsid w:val="00DE7501"/>
    <w:rsid w:val="00DF3146"/>
    <w:rsid w:val="00DF57C3"/>
    <w:rsid w:val="00E008D9"/>
    <w:rsid w:val="00E00E8E"/>
    <w:rsid w:val="00E018E5"/>
    <w:rsid w:val="00E02FE0"/>
    <w:rsid w:val="00E07ABE"/>
    <w:rsid w:val="00E11A3F"/>
    <w:rsid w:val="00E1386E"/>
    <w:rsid w:val="00E2369B"/>
    <w:rsid w:val="00E23EC0"/>
    <w:rsid w:val="00E320DD"/>
    <w:rsid w:val="00E34158"/>
    <w:rsid w:val="00E354AA"/>
    <w:rsid w:val="00E42630"/>
    <w:rsid w:val="00E43D54"/>
    <w:rsid w:val="00E442FB"/>
    <w:rsid w:val="00E529DB"/>
    <w:rsid w:val="00E53A5E"/>
    <w:rsid w:val="00E6466A"/>
    <w:rsid w:val="00E66D4C"/>
    <w:rsid w:val="00E72221"/>
    <w:rsid w:val="00E83428"/>
    <w:rsid w:val="00E84C58"/>
    <w:rsid w:val="00E873A5"/>
    <w:rsid w:val="00E90D11"/>
    <w:rsid w:val="00E915E5"/>
    <w:rsid w:val="00E97890"/>
    <w:rsid w:val="00E97CD9"/>
    <w:rsid w:val="00EB0367"/>
    <w:rsid w:val="00EB4FB9"/>
    <w:rsid w:val="00EB5BC8"/>
    <w:rsid w:val="00EC2738"/>
    <w:rsid w:val="00EC7897"/>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80E20"/>
    <w:rsid w:val="00F81C58"/>
    <w:rsid w:val="00F903BE"/>
    <w:rsid w:val="00F95D04"/>
    <w:rsid w:val="00FA16EC"/>
    <w:rsid w:val="00FA2811"/>
    <w:rsid w:val="00FA2CFB"/>
    <w:rsid w:val="00FA4837"/>
    <w:rsid w:val="00FB06DD"/>
    <w:rsid w:val="00FB1D33"/>
    <w:rsid w:val="00FB5E96"/>
    <w:rsid w:val="00FC008C"/>
    <w:rsid w:val="00FC05A0"/>
    <w:rsid w:val="00FC6758"/>
    <w:rsid w:val="00FD3014"/>
    <w:rsid w:val="00FD34EA"/>
    <w:rsid w:val="00FE3F3E"/>
    <w:rsid w:val="00FE4D52"/>
    <w:rsid w:val="00FE5AEE"/>
    <w:rsid w:val="00FF106B"/>
    <w:rsid w:val="1AD57B22"/>
    <w:rsid w:val="1D9B5480"/>
    <w:rsid w:val="2C7CB46C"/>
    <w:rsid w:val="6EB7A09E"/>
    <w:rsid w:val="70E341D6"/>
    <w:rsid w:val="785AA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DB7879"/>
    <w:rPr>
      <w:sz w:val="16"/>
      <w:szCs w:val="16"/>
    </w:rPr>
  </w:style>
  <w:style w:type="paragraph" w:styleId="CommentSubject">
    <w:name w:val="annotation subject"/>
    <w:basedOn w:val="CommentText"/>
    <w:next w:val="CommentText"/>
    <w:link w:val="CommentSubjectChar"/>
    <w:uiPriority w:val="99"/>
    <w:semiHidden/>
    <w:unhideWhenUsed/>
    <w:rsid w:val="00DB7879"/>
    <w:rPr>
      <w:b/>
      <w:bCs/>
    </w:rPr>
  </w:style>
  <w:style w:type="character" w:customStyle="1" w:styleId="CommentTextChar">
    <w:name w:val="Comment Text Char"/>
    <w:basedOn w:val="DefaultParagraphFont"/>
    <w:link w:val="CommentText"/>
    <w:semiHidden/>
    <w:rsid w:val="00DB7879"/>
    <w:rPr>
      <w:rFonts w:ascii="Arial" w:hAnsi="Arial"/>
    </w:rPr>
  </w:style>
  <w:style w:type="character" w:customStyle="1" w:styleId="CommentSubjectChar">
    <w:name w:val="Comment Subject Char"/>
    <w:basedOn w:val="CommentTextChar"/>
    <w:link w:val="CommentSubject"/>
    <w:uiPriority w:val="99"/>
    <w:semiHidden/>
    <w:rsid w:val="00DB7879"/>
    <w:rPr>
      <w:rFonts w:ascii="Arial" w:hAnsi="Arial"/>
      <w:b/>
      <w:bCs/>
    </w:rPr>
  </w:style>
  <w:style w:type="paragraph" w:styleId="Revision">
    <w:name w:val="Revision"/>
    <w:hidden/>
    <w:uiPriority w:val="99"/>
    <w:semiHidden/>
    <w:rsid w:val="00AE0F0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90D60-0D1D-4275-94B1-686B52126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992BC-7C11-4A83-A97F-D2E41AE80BFC}">
  <ds:schemaRefs>
    <ds:schemaRef ds:uri="http://schemas.openxmlformats.org/package/2006/metadata/core-properties"/>
    <ds:schemaRef ds:uri="http://purl.org/dc/dcmitype/"/>
    <ds:schemaRef ds:uri="http://schemas.microsoft.com/office/2006/documentManagement/types"/>
    <ds:schemaRef ds:uri="f5eefb00-5952-4f7e-8cf8-96f81cfadd01"/>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aba01ddc-ae9a-4c9e-819c-7140b4239cde"/>
    <ds:schemaRef ds:uri="http://www.w3.org/XML/1998/namespac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4371</Characters>
  <Application>Microsoft Office Word</Application>
  <DocSecurity>10</DocSecurity>
  <Lines>36</Lines>
  <Paragraphs>10</Paragraphs>
  <ScaleCrop>false</ScaleCrop>
  <HeadingPairs>
    <vt:vector size="2" baseType="variant">
      <vt:variant>
        <vt:lpstr>Title</vt:lpstr>
      </vt:variant>
      <vt:variant>
        <vt:i4>1</vt:i4>
      </vt:variant>
    </vt:vector>
  </HeadingPairs>
  <TitlesOfParts>
    <vt:vector size="1" baseType="lpstr">
      <vt:lpstr>Targeted Immune Modulators, Interleukin (IL)-17A Antibody/IL-17 Receptor Antagonists PDL Edit</vt:lpstr>
    </vt:vector>
  </TitlesOfParts>
  <Company>DSS</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Immune Modulators, Interleukin (IL)-17A Antibody/IL-17 Receptor Antagonists PDL Edit</dc:title>
  <dc:creator>DMS</dc:creator>
  <cp:lastModifiedBy>Heriford, Katherine</cp:lastModifiedBy>
  <cp:revision>53</cp:revision>
  <cp:lastPrinted>2018-10-31T20:17:00Z</cp:lastPrinted>
  <dcterms:created xsi:type="dcterms:W3CDTF">2026-06-02T12:09:00Z</dcterms:created>
  <dcterms:modified xsi:type="dcterms:W3CDTF">2026-07-07T12:11:00Z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