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3BFD8" w14:textId="7F9C5CD2" w:rsidR="00AE77DB" w:rsidRPr="00C02553" w:rsidRDefault="000C3940" w:rsidP="00D02F34">
      <w:pPr>
        <w:pStyle w:val="Heading1"/>
        <w:rPr>
          <w:lang w:val="en-US"/>
        </w:rPr>
      </w:pPr>
      <w:bookmarkStart w:id="0" w:name="_Hlk792159"/>
      <w:proofErr w:type="spellStart"/>
      <w:r w:rsidRPr="00C02553">
        <w:rPr>
          <w:lang w:val="en-US"/>
        </w:rPr>
        <w:t>SmartPA</w:t>
      </w:r>
      <w:proofErr w:type="spellEnd"/>
      <w:r w:rsidRPr="00C02553">
        <w:rPr>
          <w:lang w:val="en-US"/>
        </w:rPr>
        <w:t xml:space="preserve"> Criteria Proposal</w:t>
      </w:r>
      <w:bookmarkEnd w:id="0"/>
    </w:p>
    <w:p w14:paraId="6413BFE7" w14:textId="506D81F7" w:rsidR="00AE77DB" w:rsidRPr="00C02553" w:rsidRDefault="00AE77DB" w:rsidP="00074464">
      <w:pPr>
        <w:rPr>
          <w:rFonts w:cs="Arial"/>
          <w:b/>
          <w:spacing w:val="-3"/>
          <w:szCs w:val="20"/>
        </w:rPr>
      </w:pPr>
    </w:p>
    <w:p w14:paraId="52CF6EBC" w14:textId="23F824B4" w:rsidR="004C5767" w:rsidRPr="00C2075E" w:rsidRDefault="004C5767" w:rsidP="00D27533">
      <w:pPr>
        <w:pStyle w:val="tbody"/>
        <w:rPr>
          <w:b w:val="0"/>
          <w:bCs/>
        </w:rPr>
      </w:pPr>
      <w:r w:rsidRPr="00040BD0">
        <w:t>Drug/Drug Class:</w:t>
      </w:r>
      <w:r w:rsidR="003B4820" w:rsidRPr="00040BD0">
        <w:rPr>
          <w:b w:val="0"/>
          <w:bCs/>
        </w:rPr>
        <w:t xml:space="preserve"> </w:t>
      </w:r>
      <w:r w:rsidR="00796C2A" w:rsidRPr="00040BD0">
        <w:rPr>
          <w:b w:val="0"/>
          <w:bCs/>
        </w:rPr>
        <w:t>T</w:t>
      </w:r>
      <w:r w:rsidR="0052627B" w:rsidRPr="00040BD0">
        <w:rPr>
          <w:b w:val="0"/>
          <w:bCs/>
        </w:rPr>
        <w:t>argeted Immun</w:t>
      </w:r>
      <w:r w:rsidR="00326963" w:rsidRPr="00040BD0">
        <w:rPr>
          <w:b w:val="0"/>
          <w:bCs/>
        </w:rPr>
        <w:t>e M</w:t>
      </w:r>
      <w:r w:rsidR="0052627B" w:rsidRPr="00040BD0">
        <w:rPr>
          <w:b w:val="0"/>
          <w:bCs/>
        </w:rPr>
        <w:t>odulators</w:t>
      </w:r>
      <w:r w:rsidR="00796C2A" w:rsidRPr="00040BD0">
        <w:rPr>
          <w:b w:val="0"/>
          <w:bCs/>
        </w:rPr>
        <w:t>, Generalized Myasthenia Gravis (</w:t>
      </w:r>
      <w:proofErr w:type="spellStart"/>
      <w:r w:rsidR="00796C2A" w:rsidRPr="00040BD0">
        <w:rPr>
          <w:b w:val="0"/>
          <w:bCs/>
        </w:rPr>
        <w:t>gMG</w:t>
      </w:r>
      <w:proofErr w:type="spellEnd"/>
      <w:r w:rsidR="00796C2A" w:rsidRPr="00040BD0">
        <w:rPr>
          <w:b w:val="0"/>
          <w:bCs/>
        </w:rPr>
        <w:t>) Agents PDL</w:t>
      </w:r>
      <w:r w:rsidR="00796C2A" w:rsidRPr="00796C2A">
        <w:rPr>
          <w:b w:val="0"/>
          <w:bCs/>
        </w:rPr>
        <w:t xml:space="preserve"> Edit</w:t>
      </w:r>
      <w:r w:rsidR="00796C2A">
        <w:rPr>
          <w:b w:val="0"/>
          <w:bCs/>
        </w:rPr>
        <w:t xml:space="preserve"> (</w:t>
      </w:r>
      <w:r w:rsidR="00796C2A">
        <w:rPr>
          <w:b w:val="0"/>
          <w:bCs/>
          <w:i/>
          <w:iCs/>
        </w:rPr>
        <w:t xml:space="preserve">previously </w:t>
      </w:r>
      <w:r w:rsidR="00C2075E" w:rsidRPr="00C2075E">
        <w:rPr>
          <w:b w:val="0"/>
          <w:bCs/>
          <w:i/>
          <w:iCs/>
        </w:rPr>
        <w:t>Neonatal Fc Receptor Antagonists PDL Edit</w:t>
      </w:r>
      <w:r w:rsidR="00C2075E">
        <w:rPr>
          <w:b w:val="0"/>
          <w:bCs/>
        </w:rPr>
        <w:t>)</w:t>
      </w:r>
    </w:p>
    <w:p w14:paraId="7AD7FFCE" w14:textId="0941F31A" w:rsidR="004C5767" w:rsidRPr="00C02553" w:rsidRDefault="004C5767" w:rsidP="00D27533">
      <w:pPr>
        <w:pStyle w:val="tbody"/>
      </w:pPr>
      <w:r w:rsidRPr="00C02553">
        <w:t>First Implementation Date:</w:t>
      </w:r>
      <w:r w:rsidRPr="00573856">
        <w:rPr>
          <w:b w:val="0"/>
          <w:bCs/>
        </w:rPr>
        <w:t xml:space="preserve"> </w:t>
      </w:r>
      <w:r w:rsidR="004D4BF9" w:rsidRPr="004D4BF9">
        <w:rPr>
          <w:b w:val="0"/>
          <w:bCs/>
        </w:rPr>
        <w:t>October 3, 2024</w:t>
      </w:r>
    </w:p>
    <w:p w14:paraId="4B7D760D" w14:textId="42DE2784" w:rsidR="004C5767" w:rsidRPr="00057F84" w:rsidRDefault="00F41F69" w:rsidP="70E341D6">
      <w:pPr>
        <w:pStyle w:val="tbody"/>
        <w:rPr>
          <w:b w:val="0"/>
        </w:rPr>
      </w:pPr>
      <w:r>
        <w:t>Pro</w:t>
      </w:r>
      <w:r w:rsidR="00FA2CFB">
        <w:t>posed</w:t>
      </w:r>
      <w:r w:rsidR="004C5767">
        <w:t xml:space="preserve"> Date:</w:t>
      </w:r>
      <w:r w:rsidR="00065C22">
        <w:t xml:space="preserve"> </w:t>
      </w:r>
      <w:r w:rsidR="00B04A72">
        <w:rPr>
          <w:b w:val="0"/>
          <w:bCs/>
        </w:rPr>
        <w:t>July</w:t>
      </w:r>
      <w:r w:rsidR="00BD4DC4" w:rsidRPr="00BD4DC4">
        <w:rPr>
          <w:b w:val="0"/>
          <w:bCs/>
        </w:rPr>
        <w:t xml:space="preserve"> 14</w:t>
      </w:r>
      <w:r w:rsidR="00057F84">
        <w:rPr>
          <w:b w:val="0"/>
        </w:rPr>
        <w:t>, 202</w:t>
      </w:r>
      <w:r w:rsidR="6EB7A09E">
        <w:rPr>
          <w:b w:val="0"/>
        </w:rPr>
        <w:t>6</w:t>
      </w:r>
    </w:p>
    <w:p w14:paraId="2726A013" w14:textId="3C40E9DA" w:rsidR="004C5767" w:rsidRPr="00C02553" w:rsidRDefault="004C5767" w:rsidP="00D27533">
      <w:pPr>
        <w:pStyle w:val="tbody"/>
      </w:pPr>
      <w:r w:rsidRPr="00C02553">
        <w:t xml:space="preserve">Prepared For: </w:t>
      </w:r>
      <w:r w:rsidR="00EE613F" w:rsidRPr="00D27533">
        <w:rPr>
          <w:b w:val="0"/>
          <w:bCs/>
        </w:rPr>
        <w:t>MO HealthNet</w:t>
      </w:r>
      <w:r w:rsidRPr="00C02553">
        <w:tab/>
      </w:r>
    </w:p>
    <w:p w14:paraId="0FD7BA18" w14:textId="61E24131" w:rsidR="004C5767" w:rsidRPr="00C02553" w:rsidRDefault="004C5767" w:rsidP="00D27533">
      <w:pPr>
        <w:pStyle w:val="tbody"/>
      </w:pPr>
      <w:r w:rsidRPr="00C02553">
        <w:t xml:space="preserve">Prepared By: </w:t>
      </w:r>
      <w:r w:rsidR="00303B21" w:rsidRPr="00D27533">
        <w:rPr>
          <w:b w:val="0"/>
          <w:bCs/>
        </w:rPr>
        <w:t>MO HealthNet and Conduent</w:t>
      </w:r>
      <w:r w:rsidRPr="00C02553">
        <w:tab/>
      </w:r>
    </w:p>
    <w:p w14:paraId="227AEF75" w14:textId="052E01D0" w:rsidR="004C5767" w:rsidRPr="00D27533" w:rsidRDefault="004C5767" w:rsidP="00D27533">
      <w:pPr>
        <w:pStyle w:val="tbody"/>
        <w:rPr>
          <w:b w:val="0"/>
          <w:bCs/>
          <w:spacing w:val="-3"/>
        </w:rPr>
      </w:pPr>
      <w:r w:rsidRPr="004B6013">
        <w:t xml:space="preserve">Criteria Status: </w:t>
      </w:r>
      <w:r w:rsidR="00566BE4" w:rsidRPr="004B6013">
        <w:rPr>
          <w:b w:val="0"/>
          <w:bCs/>
          <w:spacing w:val="-3"/>
        </w:rPr>
        <w:t>Revision of Existing Criteria</w:t>
      </w:r>
    </w:p>
    <w:p w14:paraId="03479354" w14:textId="77777777" w:rsidR="004C5767" w:rsidRPr="002C2C41" w:rsidRDefault="004C5767" w:rsidP="00E23EC0">
      <w:pPr>
        <w:rPr>
          <w:rFonts w:cs="Arial"/>
          <w:szCs w:val="20"/>
        </w:rPr>
      </w:pPr>
    </w:p>
    <w:p w14:paraId="6413BFE8" w14:textId="77777777" w:rsidR="00AE77DB" w:rsidRPr="00C02553" w:rsidRDefault="00AE77DB" w:rsidP="004C5767">
      <w:pPr>
        <w:pStyle w:val="Heading1"/>
        <w:rPr>
          <w:lang w:val="en-US"/>
        </w:rPr>
      </w:pPr>
      <w:r w:rsidRPr="00C02553">
        <w:rPr>
          <w:lang w:val="en-US"/>
        </w:rPr>
        <w:t xml:space="preserve">Executive Summary </w:t>
      </w:r>
    </w:p>
    <w:p w14:paraId="706FFC95" w14:textId="77777777" w:rsidR="00B33693" w:rsidRPr="00696E3A" w:rsidRDefault="00E23EC0" w:rsidP="00696E3A">
      <w:pPr>
        <w:rPr>
          <w:b/>
          <w:bCs/>
        </w:rPr>
      </w:pPr>
      <w:r w:rsidRPr="00696E3A">
        <w:rPr>
          <w:b/>
          <w:bCs/>
        </w:rPr>
        <w:t>Purpose:</w:t>
      </w:r>
      <w:r w:rsidR="00290A03" w:rsidRPr="00696E3A">
        <w:rPr>
          <w:b/>
          <w:bCs/>
        </w:rPr>
        <w:t xml:space="preserve"> </w:t>
      </w:r>
    </w:p>
    <w:p w14:paraId="33DF7A62" w14:textId="4903117B" w:rsidR="00D47996" w:rsidRDefault="00D47996" w:rsidP="00696E3A">
      <w:r w:rsidRPr="00D47996">
        <w:t>The MO HealthNet Pharmacy Program will implement a state-specific preferred drug list</w:t>
      </w:r>
      <w:r w:rsidRPr="00D47996" w:rsidDel="005A5E7D">
        <w:t xml:space="preserve">. </w:t>
      </w:r>
    </w:p>
    <w:p w14:paraId="2320C114" w14:textId="4452B466" w:rsidR="00E23EC0" w:rsidRPr="002C2C41" w:rsidRDefault="00E23EC0" w:rsidP="00696E3A">
      <w:pPr>
        <w:rPr>
          <w:rFonts w:cs="Arial"/>
          <w:szCs w:val="20"/>
        </w:rPr>
      </w:pPr>
      <w:r w:rsidRPr="00C02553">
        <w:tab/>
      </w:r>
    </w:p>
    <w:p w14:paraId="3A9BE506" w14:textId="11761DC1" w:rsidR="00E23EC0" w:rsidRPr="00696E3A" w:rsidRDefault="00E23EC0" w:rsidP="00696E3A">
      <w:pPr>
        <w:rPr>
          <w:b/>
          <w:bCs/>
        </w:rPr>
      </w:pPr>
      <w:r w:rsidRPr="00696E3A">
        <w:rPr>
          <w:b/>
          <w:bCs/>
        </w:rPr>
        <w:t>Why Issue Selected:</w:t>
      </w:r>
    </w:p>
    <w:p w14:paraId="4E9A3D2F" w14:textId="22AF7CAD" w:rsidR="007E2AE2" w:rsidRPr="008121F9" w:rsidRDefault="00195D84" w:rsidP="00130E2D">
      <w:pPr>
        <w:pStyle w:val="Header"/>
        <w:rPr>
          <w:rFonts w:cs="Arial"/>
          <w:color w:val="1F497D" w:themeColor="text2"/>
          <w:spacing w:val="-3"/>
          <w:sz w:val="20"/>
        </w:rPr>
      </w:pPr>
      <w:r w:rsidRPr="00067845">
        <w:rPr>
          <w:rFonts w:cs="Arial"/>
          <w:spacing w:val="-3"/>
          <w:sz w:val="20"/>
        </w:rPr>
        <w:t>Generalized myasthenia gravis (</w:t>
      </w:r>
      <w:proofErr w:type="spellStart"/>
      <w:r w:rsidRPr="00067845">
        <w:rPr>
          <w:rFonts w:cs="Arial"/>
          <w:spacing w:val="-3"/>
          <w:sz w:val="20"/>
        </w:rPr>
        <w:t>gMG</w:t>
      </w:r>
      <w:proofErr w:type="spellEnd"/>
      <w:r w:rsidRPr="00067845">
        <w:rPr>
          <w:rFonts w:cs="Arial"/>
          <w:spacing w:val="-3"/>
          <w:sz w:val="20"/>
        </w:rPr>
        <w:t xml:space="preserve">) is an autoimmune neuromuscular disorder caused by antibody-mediated damage at the neuromuscular junction. Novel therapies for </w:t>
      </w:r>
      <w:proofErr w:type="spellStart"/>
      <w:r w:rsidRPr="00067845">
        <w:rPr>
          <w:rFonts w:cs="Arial"/>
          <w:spacing w:val="-3"/>
          <w:sz w:val="20"/>
        </w:rPr>
        <w:t>gMG</w:t>
      </w:r>
      <w:proofErr w:type="spellEnd"/>
      <w:r w:rsidRPr="00067845">
        <w:rPr>
          <w:rFonts w:cs="Arial"/>
          <w:spacing w:val="-3"/>
          <w:sz w:val="20"/>
        </w:rPr>
        <w:t xml:space="preserve"> include neonatal Fc receptor (FcRn) antagonists to decrease levels of circulating Immunoglobulin G (IgG), complement inhibitors targeting the immune pathways, and regulation of CD19+ B cells</w:t>
      </w:r>
      <w:r w:rsidR="0037210C" w:rsidRPr="00067845">
        <w:rPr>
          <w:rFonts w:cs="Arial"/>
          <w:spacing w:val="-3"/>
          <w:sz w:val="20"/>
        </w:rPr>
        <w:t xml:space="preserve"> leading to antibody-dependent cellular cytolysis</w:t>
      </w:r>
      <w:r w:rsidRPr="00067845">
        <w:rPr>
          <w:rFonts w:cs="Arial"/>
          <w:spacing w:val="-3"/>
          <w:sz w:val="20"/>
        </w:rPr>
        <w:t>.</w:t>
      </w:r>
      <w:r w:rsidR="00DE44F5" w:rsidRPr="00067845">
        <w:rPr>
          <w:rFonts w:cs="Arial"/>
          <w:spacing w:val="-3"/>
          <w:sz w:val="20"/>
        </w:rPr>
        <w:t xml:space="preserve"> The complement inhibitors indicated for the treatment of </w:t>
      </w:r>
      <w:proofErr w:type="spellStart"/>
      <w:r w:rsidR="00DE44F5" w:rsidRPr="00067845">
        <w:rPr>
          <w:rFonts w:cs="Arial"/>
          <w:spacing w:val="-3"/>
          <w:sz w:val="20"/>
        </w:rPr>
        <w:t>gMG</w:t>
      </w:r>
      <w:proofErr w:type="spellEnd"/>
      <w:r w:rsidR="00DE44F5" w:rsidRPr="00067845">
        <w:rPr>
          <w:rFonts w:cs="Arial"/>
          <w:spacing w:val="-3"/>
          <w:sz w:val="20"/>
        </w:rPr>
        <w:t xml:space="preserve"> are </w:t>
      </w:r>
      <w:r w:rsidR="003B79AD" w:rsidRPr="00067845">
        <w:rPr>
          <w:rFonts w:cs="Arial"/>
          <w:spacing w:val="-3"/>
          <w:sz w:val="20"/>
        </w:rPr>
        <w:t xml:space="preserve">edited in the Complement </w:t>
      </w:r>
      <w:r w:rsidR="006201F1" w:rsidRPr="00067845">
        <w:rPr>
          <w:rFonts w:cs="Arial"/>
          <w:spacing w:val="-3"/>
          <w:sz w:val="20"/>
        </w:rPr>
        <w:t>Inhibitors</w:t>
      </w:r>
      <w:r w:rsidR="003B79AD" w:rsidRPr="00067845">
        <w:rPr>
          <w:rFonts w:cs="Arial"/>
          <w:spacing w:val="-3"/>
          <w:sz w:val="20"/>
        </w:rPr>
        <w:t xml:space="preserve">, Systemic PDL Edit </w:t>
      </w:r>
      <w:r w:rsidR="00FF6291" w:rsidRPr="00067845">
        <w:rPr>
          <w:rFonts w:cs="Arial"/>
          <w:spacing w:val="-3"/>
          <w:sz w:val="20"/>
        </w:rPr>
        <w:t>and criteria can be found here:</w:t>
      </w:r>
      <w:r w:rsidR="00FF6291" w:rsidRPr="00067845">
        <w:rPr>
          <w:rFonts w:cs="Arial"/>
          <w:b/>
          <w:spacing w:val="-3"/>
          <w:sz w:val="20"/>
        </w:rPr>
        <w:t xml:space="preserve"> </w:t>
      </w:r>
      <w:hyperlink r:id="rId11" w:tgtFrame="_blank" w:tooltip="link to reference edit" w:history="1">
        <w:r w:rsidR="0043042F" w:rsidRPr="008121F9">
          <w:rPr>
            <w:rStyle w:val="Hyperlink"/>
            <w:rFonts w:cs="Arial"/>
            <w:spacing w:val="-3"/>
            <w:sz w:val="20"/>
          </w:rPr>
          <w:t>Pharmacy Clinical Edits and Preferred Drug Lists | mydss.mo.gov.</w:t>
        </w:r>
      </w:hyperlink>
    </w:p>
    <w:p w14:paraId="60847947" w14:textId="77777777" w:rsidR="00195D84" w:rsidRDefault="00195D84" w:rsidP="00130E2D">
      <w:pPr>
        <w:pStyle w:val="Header"/>
        <w:rPr>
          <w:rFonts w:cs="Arial"/>
          <w:spacing w:val="-3"/>
          <w:sz w:val="20"/>
        </w:rPr>
      </w:pPr>
    </w:p>
    <w:p w14:paraId="3E18FD10" w14:textId="2B8D09F2" w:rsidR="00130E2D" w:rsidRDefault="00130E2D" w:rsidP="00130E2D">
      <w:pPr>
        <w:pStyle w:val="Header"/>
        <w:rPr>
          <w:rFonts w:cs="Arial"/>
          <w:spacing w:val="-3"/>
          <w:sz w:val="20"/>
        </w:rPr>
      </w:pPr>
      <w:proofErr w:type="spellStart"/>
      <w:r w:rsidRPr="00FF4D61">
        <w:rPr>
          <w:rFonts w:cs="Arial"/>
          <w:spacing w:val="-3"/>
          <w:sz w:val="20"/>
        </w:rPr>
        <w:t>Vyvgart</w:t>
      </w:r>
      <w:proofErr w:type="spellEnd"/>
      <w:r w:rsidRPr="00262633">
        <w:rPr>
          <w:rFonts w:cs="Arial"/>
          <w:spacing w:val="-3"/>
          <w:sz w:val="20"/>
          <w:vertAlign w:val="superscript"/>
        </w:rPr>
        <w:t>®</w:t>
      </w:r>
      <w:r w:rsidRPr="00FF4D61">
        <w:rPr>
          <w:rFonts w:cs="Arial"/>
          <w:spacing w:val="-3"/>
          <w:sz w:val="20"/>
        </w:rPr>
        <w:t xml:space="preserve"> (efgartigimod alfa-</w:t>
      </w:r>
      <w:proofErr w:type="spellStart"/>
      <w:r w:rsidRPr="00FF4D61">
        <w:rPr>
          <w:rFonts w:cs="Arial"/>
          <w:spacing w:val="-3"/>
          <w:sz w:val="20"/>
        </w:rPr>
        <w:t>fcab</w:t>
      </w:r>
      <w:proofErr w:type="spellEnd"/>
      <w:r w:rsidRPr="00FF4D61">
        <w:rPr>
          <w:rFonts w:cs="Arial"/>
          <w:spacing w:val="-3"/>
          <w:sz w:val="20"/>
        </w:rPr>
        <w:t>)</w:t>
      </w:r>
      <w:r>
        <w:rPr>
          <w:rFonts w:cs="Arial"/>
          <w:spacing w:val="-3"/>
          <w:sz w:val="20"/>
        </w:rPr>
        <w:t xml:space="preserve"> and</w:t>
      </w:r>
      <w:r w:rsidRPr="00FF4D61">
        <w:rPr>
          <w:rFonts w:cs="Arial"/>
          <w:spacing w:val="-3"/>
          <w:sz w:val="20"/>
        </w:rPr>
        <w:t xml:space="preserve"> </w:t>
      </w:r>
      <w:proofErr w:type="spellStart"/>
      <w:r w:rsidRPr="00FF4D61">
        <w:rPr>
          <w:rFonts w:cs="Arial"/>
          <w:spacing w:val="-3"/>
          <w:sz w:val="20"/>
        </w:rPr>
        <w:t>Vyvgart</w:t>
      </w:r>
      <w:proofErr w:type="spellEnd"/>
      <w:r w:rsidRPr="00811402">
        <w:rPr>
          <w:rFonts w:cs="Arial"/>
          <w:spacing w:val="-3"/>
          <w:sz w:val="20"/>
          <w:vertAlign w:val="superscript"/>
        </w:rPr>
        <w:t>®</w:t>
      </w:r>
      <w:r w:rsidRPr="00FF4D61">
        <w:rPr>
          <w:rFonts w:cs="Arial"/>
          <w:spacing w:val="-3"/>
          <w:sz w:val="20"/>
        </w:rPr>
        <w:t xml:space="preserve"> </w:t>
      </w:r>
      <w:proofErr w:type="spellStart"/>
      <w:r w:rsidRPr="00FF4D61">
        <w:rPr>
          <w:rFonts w:cs="Arial"/>
          <w:spacing w:val="-3"/>
          <w:sz w:val="20"/>
        </w:rPr>
        <w:t>Hytrulo</w:t>
      </w:r>
      <w:proofErr w:type="spellEnd"/>
      <w:r w:rsidRPr="00FF4D61">
        <w:rPr>
          <w:rFonts w:cs="Arial"/>
          <w:spacing w:val="-3"/>
          <w:sz w:val="20"/>
        </w:rPr>
        <w:t xml:space="preserve"> (efgartigimod alfa &amp; hyaluronidase-</w:t>
      </w:r>
      <w:proofErr w:type="spellStart"/>
      <w:r w:rsidRPr="00FF4D61">
        <w:rPr>
          <w:rFonts w:cs="Arial"/>
          <w:spacing w:val="-3"/>
          <w:sz w:val="20"/>
        </w:rPr>
        <w:t>qvfc</w:t>
      </w:r>
      <w:proofErr w:type="spellEnd"/>
      <w:r>
        <w:rPr>
          <w:rFonts w:cs="Arial"/>
          <w:spacing w:val="-3"/>
          <w:sz w:val="20"/>
        </w:rPr>
        <w:t xml:space="preserve">) are human IgG1 antibody fragments that bind to the FcRn, resulting in the reduction of circulating IgG. </w:t>
      </w:r>
      <w:proofErr w:type="spellStart"/>
      <w:r>
        <w:rPr>
          <w:rFonts w:cs="Arial"/>
          <w:spacing w:val="-3"/>
          <w:sz w:val="20"/>
        </w:rPr>
        <w:t>Vyvgart</w:t>
      </w:r>
      <w:proofErr w:type="spellEnd"/>
      <w:r>
        <w:rPr>
          <w:rFonts w:cs="Arial"/>
          <w:spacing w:val="-3"/>
          <w:sz w:val="20"/>
        </w:rPr>
        <w:t xml:space="preserve"> is an intravenous infusion </w:t>
      </w:r>
      <w:r w:rsidRPr="003D587E">
        <w:rPr>
          <w:rFonts w:cs="Arial"/>
          <w:spacing w:val="-3"/>
          <w:sz w:val="20"/>
        </w:rPr>
        <w:t>indicated for the</w:t>
      </w:r>
      <w:r>
        <w:rPr>
          <w:rFonts w:cs="Arial"/>
          <w:spacing w:val="-3"/>
          <w:sz w:val="20"/>
        </w:rPr>
        <w:t xml:space="preserve"> </w:t>
      </w:r>
      <w:r w:rsidRPr="003D587E">
        <w:rPr>
          <w:rFonts w:cs="Arial"/>
          <w:spacing w:val="-3"/>
          <w:sz w:val="20"/>
        </w:rPr>
        <w:t xml:space="preserve">treatment of </w:t>
      </w:r>
      <w:proofErr w:type="spellStart"/>
      <w:r w:rsidRPr="003D587E">
        <w:rPr>
          <w:rFonts w:cs="Arial"/>
          <w:spacing w:val="-3"/>
          <w:sz w:val="20"/>
        </w:rPr>
        <w:t>gMG</w:t>
      </w:r>
      <w:proofErr w:type="spellEnd"/>
      <w:r w:rsidRPr="003D587E">
        <w:rPr>
          <w:rFonts w:cs="Arial"/>
          <w:spacing w:val="-3"/>
          <w:sz w:val="20"/>
        </w:rPr>
        <w:t xml:space="preserve"> in adult patients</w:t>
      </w:r>
      <w:r>
        <w:rPr>
          <w:rFonts w:cs="Arial"/>
          <w:spacing w:val="-3"/>
          <w:sz w:val="20"/>
        </w:rPr>
        <w:t xml:space="preserve">, whereas </w:t>
      </w:r>
      <w:proofErr w:type="spellStart"/>
      <w:r w:rsidRPr="00FF4D61">
        <w:rPr>
          <w:rFonts w:cs="Arial"/>
          <w:spacing w:val="-3"/>
          <w:sz w:val="20"/>
        </w:rPr>
        <w:t>Vyvgart</w:t>
      </w:r>
      <w:proofErr w:type="spellEnd"/>
      <w:r w:rsidRPr="00FF4D61">
        <w:rPr>
          <w:rFonts w:cs="Arial"/>
          <w:spacing w:val="-3"/>
          <w:sz w:val="20"/>
        </w:rPr>
        <w:t xml:space="preserve"> </w:t>
      </w:r>
      <w:proofErr w:type="spellStart"/>
      <w:r w:rsidRPr="00FF4D61">
        <w:rPr>
          <w:rFonts w:cs="Arial"/>
          <w:spacing w:val="-3"/>
          <w:sz w:val="20"/>
        </w:rPr>
        <w:t>Hytrulo</w:t>
      </w:r>
      <w:proofErr w:type="spellEnd"/>
      <w:r>
        <w:rPr>
          <w:rFonts w:cs="Arial"/>
          <w:spacing w:val="-3"/>
          <w:sz w:val="20"/>
        </w:rPr>
        <w:t xml:space="preserve"> is a subcutaneous injection indicated for </w:t>
      </w:r>
      <w:proofErr w:type="spellStart"/>
      <w:r>
        <w:rPr>
          <w:rFonts w:cs="Arial"/>
          <w:spacing w:val="-3"/>
          <w:sz w:val="20"/>
        </w:rPr>
        <w:t>gMG</w:t>
      </w:r>
      <w:proofErr w:type="spellEnd"/>
      <w:r>
        <w:rPr>
          <w:rFonts w:cs="Arial"/>
          <w:spacing w:val="-3"/>
          <w:sz w:val="20"/>
        </w:rPr>
        <w:t xml:space="preserve"> and CIDP. One treatment cycle for </w:t>
      </w:r>
      <w:proofErr w:type="spellStart"/>
      <w:r>
        <w:rPr>
          <w:rFonts w:cs="Arial"/>
          <w:spacing w:val="-3"/>
          <w:sz w:val="20"/>
        </w:rPr>
        <w:t>gMG</w:t>
      </w:r>
      <w:proofErr w:type="spellEnd"/>
      <w:r>
        <w:rPr>
          <w:rFonts w:cs="Arial"/>
          <w:spacing w:val="-3"/>
          <w:sz w:val="20"/>
        </w:rPr>
        <w:t xml:space="preserve"> consists of </w:t>
      </w:r>
      <w:proofErr w:type="gramStart"/>
      <w:r>
        <w:rPr>
          <w:rFonts w:cs="Arial"/>
          <w:spacing w:val="-3"/>
          <w:sz w:val="20"/>
        </w:rPr>
        <w:t>once</w:t>
      </w:r>
      <w:proofErr w:type="gramEnd"/>
      <w:r>
        <w:rPr>
          <w:rFonts w:cs="Arial"/>
          <w:spacing w:val="-3"/>
          <w:sz w:val="20"/>
        </w:rPr>
        <w:t xml:space="preserve"> weekly infusions/injections for 4 weeks, with at least 50 days between treatment cycles. Treatment for CIDP consists of </w:t>
      </w:r>
      <w:proofErr w:type="gramStart"/>
      <w:r>
        <w:rPr>
          <w:rFonts w:cs="Arial"/>
          <w:spacing w:val="-3"/>
          <w:sz w:val="20"/>
        </w:rPr>
        <w:t>once</w:t>
      </w:r>
      <w:proofErr w:type="gramEnd"/>
      <w:r>
        <w:rPr>
          <w:rFonts w:cs="Arial"/>
          <w:spacing w:val="-3"/>
          <w:sz w:val="20"/>
        </w:rPr>
        <w:t xml:space="preserve"> weekly injections with </w:t>
      </w:r>
      <w:proofErr w:type="spellStart"/>
      <w:r>
        <w:rPr>
          <w:rFonts w:cs="Arial"/>
          <w:spacing w:val="-3"/>
          <w:sz w:val="20"/>
        </w:rPr>
        <w:t>Vyvgart</w:t>
      </w:r>
      <w:proofErr w:type="spellEnd"/>
      <w:r>
        <w:rPr>
          <w:rFonts w:cs="Arial"/>
          <w:spacing w:val="-3"/>
          <w:sz w:val="20"/>
        </w:rPr>
        <w:t xml:space="preserve"> </w:t>
      </w:r>
      <w:proofErr w:type="spellStart"/>
      <w:r>
        <w:rPr>
          <w:rFonts w:cs="Arial"/>
          <w:spacing w:val="-3"/>
          <w:sz w:val="20"/>
        </w:rPr>
        <w:t>Hytrulo</w:t>
      </w:r>
      <w:proofErr w:type="spellEnd"/>
      <w:r>
        <w:rPr>
          <w:rFonts w:cs="Arial"/>
          <w:spacing w:val="-3"/>
          <w:sz w:val="20"/>
        </w:rPr>
        <w:t>.</w:t>
      </w:r>
    </w:p>
    <w:p w14:paraId="5FB119E4" w14:textId="77777777" w:rsidR="00130E2D" w:rsidRDefault="00130E2D" w:rsidP="00130E2D">
      <w:pPr>
        <w:pStyle w:val="Header"/>
        <w:rPr>
          <w:rFonts w:cs="Arial"/>
          <w:spacing w:val="-3"/>
          <w:sz w:val="20"/>
        </w:rPr>
      </w:pPr>
    </w:p>
    <w:p w14:paraId="283B19D2" w14:textId="77777777" w:rsidR="00130E2D" w:rsidRDefault="00130E2D" w:rsidP="00130E2D">
      <w:pPr>
        <w:pStyle w:val="Header"/>
        <w:rPr>
          <w:rFonts w:eastAsia="Arial"/>
          <w:sz w:val="20"/>
        </w:rPr>
      </w:pPr>
      <w:proofErr w:type="spellStart"/>
      <w:r w:rsidRPr="00D10330">
        <w:rPr>
          <w:rFonts w:cs="Arial"/>
          <w:spacing w:val="-3"/>
          <w:sz w:val="20"/>
        </w:rPr>
        <w:t>Rystiggo</w:t>
      </w:r>
      <w:proofErr w:type="spellEnd"/>
      <w:r w:rsidRPr="00D10330">
        <w:rPr>
          <w:rFonts w:cs="Arial"/>
          <w:spacing w:val="-3"/>
          <w:sz w:val="20"/>
          <w:vertAlign w:val="superscript"/>
        </w:rPr>
        <w:t>®</w:t>
      </w:r>
      <w:r w:rsidRPr="00D10330">
        <w:rPr>
          <w:rFonts w:cs="Arial"/>
          <w:spacing w:val="-3"/>
          <w:sz w:val="20"/>
        </w:rPr>
        <w:t xml:space="preserve"> (</w:t>
      </w:r>
      <w:proofErr w:type="spellStart"/>
      <w:r w:rsidRPr="00D10330">
        <w:rPr>
          <w:rFonts w:cs="Arial"/>
          <w:spacing w:val="-3"/>
          <w:sz w:val="20"/>
        </w:rPr>
        <w:t>rozanolixizumab-noli</w:t>
      </w:r>
      <w:proofErr w:type="spellEnd"/>
      <w:r w:rsidRPr="00D10330">
        <w:rPr>
          <w:rFonts w:cs="Arial"/>
          <w:spacing w:val="-3"/>
          <w:sz w:val="20"/>
        </w:rPr>
        <w:t>)</w:t>
      </w:r>
      <w:r>
        <w:rPr>
          <w:rFonts w:cs="Arial"/>
          <w:spacing w:val="-3"/>
          <w:sz w:val="20"/>
        </w:rPr>
        <w:t xml:space="preserve"> is a </w:t>
      </w:r>
      <w:r w:rsidRPr="00865144">
        <w:rPr>
          <w:rFonts w:eastAsia="Arial"/>
          <w:sz w:val="20"/>
        </w:rPr>
        <w:t>humanized IgG4 monoclonal antibody that binds to the FcRn, resulting in the reduction of circulating IgG</w:t>
      </w:r>
      <w:r>
        <w:rPr>
          <w:rFonts w:eastAsia="Arial"/>
          <w:sz w:val="20"/>
        </w:rPr>
        <w:t xml:space="preserve">. </w:t>
      </w:r>
      <w:proofErr w:type="spellStart"/>
      <w:r>
        <w:rPr>
          <w:rFonts w:eastAsia="Arial"/>
          <w:sz w:val="20"/>
        </w:rPr>
        <w:t>Rystiggo</w:t>
      </w:r>
      <w:proofErr w:type="spellEnd"/>
      <w:r>
        <w:rPr>
          <w:rFonts w:eastAsia="Arial"/>
          <w:sz w:val="20"/>
        </w:rPr>
        <w:t xml:space="preserve"> is a subcutaneous infusion indicated for the t</w:t>
      </w:r>
      <w:r w:rsidRPr="0031613D">
        <w:rPr>
          <w:rFonts w:eastAsia="Arial"/>
          <w:sz w:val="20"/>
        </w:rPr>
        <w:t>reatment of</w:t>
      </w:r>
      <w:r>
        <w:rPr>
          <w:rFonts w:eastAsia="Arial"/>
          <w:sz w:val="20"/>
        </w:rPr>
        <w:t xml:space="preserve"> </w:t>
      </w:r>
      <w:proofErr w:type="spellStart"/>
      <w:r w:rsidRPr="0031613D">
        <w:rPr>
          <w:rFonts w:eastAsia="Arial"/>
          <w:sz w:val="20"/>
        </w:rPr>
        <w:t>gMG</w:t>
      </w:r>
      <w:proofErr w:type="spellEnd"/>
      <w:r w:rsidRPr="0031613D">
        <w:rPr>
          <w:rFonts w:eastAsia="Arial"/>
          <w:sz w:val="20"/>
        </w:rPr>
        <w:t xml:space="preserve"> in adult patients who are </w:t>
      </w:r>
      <w:r>
        <w:rPr>
          <w:rFonts w:eastAsia="Arial"/>
          <w:sz w:val="20"/>
        </w:rPr>
        <w:t>anti-</w:t>
      </w:r>
      <w:proofErr w:type="spellStart"/>
      <w:r w:rsidRPr="0031613D">
        <w:rPr>
          <w:rFonts w:eastAsia="Arial"/>
          <w:sz w:val="20"/>
        </w:rPr>
        <w:t>AChR</w:t>
      </w:r>
      <w:proofErr w:type="spellEnd"/>
      <w:r>
        <w:rPr>
          <w:rFonts w:eastAsia="Arial"/>
          <w:sz w:val="20"/>
        </w:rPr>
        <w:t xml:space="preserve"> antibody positive</w:t>
      </w:r>
      <w:r w:rsidRPr="0031613D">
        <w:rPr>
          <w:rFonts w:eastAsia="Arial"/>
          <w:sz w:val="20"/>
        </w:rPr>
        <w:t xml:space="preserve"> or anti-</w:t>
      </w:r>
      <w:proofErr w:type="spellStart"/>
      <w:r>
        <w:rPr>
          <w:rFonts w:eastAsia="Arial"/>
          <w:sz w:val="20"/>
        </w:rPr>
        <w:t>MuSK</w:t>
      </w:r>
      <w:proofErr w:type="spellEnd"/>
      <w:r w:rsidRPr="0031613D">
        <w:rPr>
          <w:rFonts w:eastAsia="Arial"/>
          <w:sz w:val="20"/>
        </w:rPr>
        <w:t xml:space="preserve"> antibody positive.</w:t>
      </w:r>
      <w:r>
        <w:rPr>
          <w:rFonts w:eastAsia="Arial"/>
          <w:sz w:val="20"/>
        </w:rPr>
        <w:t xml:space="preserve"> One treatment cycle consists of </w:t>
      </w:r>
      <w:proofErr w:type="gramStart"/>
      <w:r>
        <w:rPr>
          <w:rFonts w:eastAsia="Arial"/>
          <w:sz w:val="20"/>
        </w:rPr>
        <w:t>once</w:t>
      </w:r>
      <w:proofErr w:type="gramEnd"/>
      <w:r>
        <w:rPr>
          <w:rFonts w:eastAsia="Arial"/>
          <w:sz w:val="20"/>
        </w:rPr>
        <w:t xml:space="preserve"> weekly infusions for 6 weeks, with at least 63 days between treatment cycles. </w:t>
      </w:r>
    </w:p>
    <w:p w14:paraId="7C12FFB7" w14:textId="77777777" w:rsidR="00AF2BE5" w:rsidRDefault="00AF2BE5" w:rsidP="00130E2D">
      <w:pPr>
        <w:pStyle w:val="Header"/>
        <w:rPr>
          <w:rFonts w:eastAsia="Arial"/>
          <w:sz w:val="20"/>
        </w:rPr>
      </w:pPr>
    </w:p>
    <w:p w14:paraId="6AAF6D07" w14:textId="4EECAFC5" w:rsidR="00AF2BE5" w:rsidRPr="00D10330" w:rsidRDefault="00AF2BE5" w:rsidP="00130E2D">
      <w:pPr>
        <w:pStyle w:val="Header"/>
        <w:rPr>
          <w:rFonts w:cs="Arial"/>
          <w:spacing w:val="-3"/>
          <w:sz w:val="20"/>
        </w:rPr>
      </w:pPr>
      <w:proofErr w:type="spellStart"/>
      <w:r w:rsidRPr="00AF2BE5">
        <w:rPr>
          <w:rFonts w:cs="Arial"/>
          <w:spacing w:val="-3"/>
          <w:sz w:val="20"/>
        </w:rPr>
        <w:t>Uplizna</w:t>
      </w:r>
      <w:proofErr w:type="spellEnd"/>
      <w:r w:rsidRPr="00AF2BE5">
        <w:rPr>
          <w:rFonts w:cs="Arial"/>
          <w:spacing w:val="-3"/>
          <w:sz w:val="20"/>
          <w:vertAlign w:val="superscript"/>
        </w:rPr>
        <w:t>®</w:t>
      </w:r>
      <w:r w:rsidRPr="00AF2BE5">
        <w:rPr>
          <w:rFonts w:cs="Arial"/>
          <w:spacing w:val="-3"/>
          <w:sz w:val="20"/>
        </w:rPr>
        <w:t xml:space="preserve"> (</w:t>
      </w:r>
      <w:proofErr w:type="spellStart"/>
      <w:r w:rsidRPr="00AF2BE5">
        <w:rPr>
          <w:rFonts w:cs="Arial"/>
          <w:spacing w:val="-3"/>
          <w:sz w:val="20"/>
        </w:rPr>
        <w:t>inebilizumab-cdon</w:t>
      </w:r>
      <w:proofErr w:type="spellEnd"/>
      <w:r w:rsidRPr="00AF2BE5">
        <w:rPr>
          <w:rFonts w:cs="Arial"/>
          <w:spacing w:val="-3"/>
          <w:sz w:val="20"/>
        </w:rPr>
        <w:t>) is a CD19-directed cytolytic antibody</w:t>
      </w:r>
      <w:r w:rsidR="0014637C">
        <w:rPr>
          <w:rFonts w:cs="Arial"/>
          <w:spacing w:val="-3"/>
          <w:sz w:val="20"/>
        </w:rPr>
        <w:t xml:space="preserve"> approved for the treatment of adult patients with </w:t>
      </w:r>
      <w:r w:rsidR="006952A1">
        <w:rPr>
          <w:rFonts w:cs="Arial"/>
          <w:spacing w:val="-3"/>
          <w:sz w:val="20"/>
        </w:rPr>
        <w:t>anti-aquaporin-4 (AQP4</w:t>
      </w:r>
      <w:proofErr w:type="gramStart"/>
      <w:r w:rsidR="006952A1">
        <w:rPr>
          <w:rFonts w:cs="Arial"/>
          <w:spacing w:val="-3"/>
          <w:sz w:val="20"/>
        </w:rPr>
        <w:t>)</w:t>
      </w:r>
      <w:r w:rsidR="00C10438">
        <w:rPr>
          <w:rFonts w:cs="Arial"/>
          <w:spacing w:val="-3"/>
          <w:sz w:val="20"/>
        </w:rPr>
        <w:t xml:space="preserve"> </w:t>
      </w:r>
      <w:r w:rsidR="006952A1">
        <w:rPr>
          <w:rFonts w:cs="Arial"/>
          <w:spacing w:val="-3"/>
          <w:sz w:val="20"/>
        </w:rPr>
        <w:t>antibody</w:t>
      </w:r>
      <w:proofErr w:type="gramEnd"/>
      <w:r w:rsidR="006952A1">
        <w:rPr>
          <w:rFonts w:cs="Arial"/>
          <w:spacing w:val="-3"/>
          <w:sz w:val="20"/>
        </w:rPr>
        <w:t xml:space="preserve"> positive </w:t>
      </w:r>
      <w:r w:rsidR="0014637C">
        <w:rPr>
          <w:rFonts w:cs="Arial"/>
          <w:spacing w:val="-3"/>
          <w:sz w:val="20"/>
        </w:rPr>
        <w:t xml:space="preserve">neuromyelitis </w:t>
      </w:r>
      <w:proofErr w:type="spellStart"/>
      <w:r w:rsidR="0014637C">
        <w:rPr>
          <w:rFonts w:cs="Arial"/>
          <w:spacing w:val="-3"/>
          <w:sz w:val="20"/>
        </w:rPr>
        <w:t>optica</w:t>
      </w:r>
      <w:proofErr w:type="spellEnd"/>
      <w:r w:rsidR="0014637C">
        <w:rPr>
          <w:rFonts w:cs="Arial"/>
          <w:spacing w:val="-3"/>
          <w:sz w:val="20"/>
        </w:rPr>
        <w:t xml:space="preserve"> spectrum disorder (NMOSD) and </w:t>
      </w:r>
      <w:r w:rsidR="00524A40">
        <w:rPr>
          <w:rFonts w:cs="Arial"/>
          <w:spacing w:val="-3"/>
          <w:sz w:val="20"/>
        </w:rPr>
        <w:t xml:space="preserve">for </w:t>
      </w:r>
      <w:r w:rsidR="0014637C">
        <w:rPr>
          <w:rFonts w:cs="Arial"/>
          <w:spacing w:val="-3"/>
          <w:sz w:val="20"/>
        </w:rPr>
        <w:t>immunoglobulin G4-related disease (IgG4-RD)</w:t>
      </w:r>
      <w:r w:rsidRPr="00AF2BE5">
        <w:rPr>
          <w:rFonts w:cs="Arial"/>
          <w:spacing w:val="-3"/>
          <w:sz w:val="20"/>
        </w:rPr>
        <w:t xml:space="preserve">. In December 2025, </w:t>
      </w:r>
      <w:proofErr w:type="spellStart"/>
      <w:r w:rsidRPr="00AF2BE5">
        <w:rPr>
          <w:rFonts w:cs="Arial"/>
          <w:spacing w:val="-3"/>
          <w:sz w:val="20"/>
        </w:rPr>
        <w:t>Uplizna</w:t>
      </w:r>
      <w:proofErr w:type="spellEnd"/>
      <w:r w:rsidRPr="00AF2BE5">
        <w:rPr>
          <w:rFonts w:cs="Arial"/>
          <w:spacing w:val="-3"/>
          <w:sz w:val="20"/>
        </w:rPr>
        <w:t xml:space="preserve"> became FDA approved for the treatment of </w:t>
      </w:r>
      <w:proofErr w:type="spellStart"/>
      <w:r w:rsidRPr="00AF2BE5">
        <w:rPr>
          <w:rFonts w:cs="Arial"/>
          <w:spacing w:val="-3"/>
          <w:sz w:val="20"/>
        </w:rPr>
        <w:t>gMG</w:t>
      </w:r>
      <w:proofErr w:type="spellEnd"/>
      <w:r w:rsidRPr="00AF2BE5">
        <w:rPr>
          <w:rFonts w:cs="Arial"/>
          <w:spacing w:val="-3"/>
          <w:sz w:val="20"/>
        </w:rPr>
        <w:t xml:space="preserve"> in adult patients who are </w:t>
      </w:r>
      <w:proofErr w:type="spellStart"/>
      <w:r w:rsidRPr="00AF2BE5">
        <w:rPr>
          <w:rFonts w:cs="Arial"/>
          <w:spacing w:val="-3"/>
          <w:sz w:val="20"/>
        </w:rPr>
        <w:t>AChR</w:t>
      </w:r>
      <w:proofErr w:type="spellEnd"/>
      <w:r w:rsidRPr="00AF2BE5">
        <w:rPr>
          <w:rFonts w:cs="Arial"/>
          <w:spacing w:val="-3"/>
          <w:sz w:val="20"/>
        </w:rPr>
        <w:t xml:space="preserve"> or </w:t>
      </w:r>
      <w:proofErr w:type="spellStart"/>
      <w:r w:rsidRPr="00AF2BE5">
        <w:rPr>
          <w:rFonts w:cs="Arial"/>
          <w:spacing w:val="-3"/>
          <w:sz w:val="20"/>
        </w:rPr>
        <w:t>MuSK</w:t>
      </w:r>
      <w:proofErr w:type="spellEnd"/>
      <w:r w:rsidRPr="00AF2BE5">
        <w:rPr>
          <w:rFonts w:cs="Arial"/>
          <w:spacing w:val="-3"/>
          <w:sz w:val="20"/>
        </w:rPr>
        <w:t xml:space="preserve"> antibody positive.</w:t>
      </w:r>
      <w:r w:rsidR="006550B7">
        <w:rPr>
          <w:rFonts w:cs="Arial"/>
          <w:spacing w:val="-3"/>
          <w:sz w:val="20"/>
        </w:rPr>
        <w:t xml:space="preserve"> </w:t>
      </w:r>
      <w:proofErr w:type="spellStart"/>
      <w:r w:rsidRPr="00AF2BE5">
        <w:rPr>
          <w:rFonts w:cs="Arial"/>
          <w:spacing w:val="-3"/>
          <w:sz w:val="20"/>
        </w:rPr>
        <w:t>Uplizna</w:t>
      </w:r>
      <w:proofErr w:type="spellEnd"/>
      <w:r w:rsidRPr="00AF2BE5">
        <w:rPr>
          <w:rFonts w:cs="Arial"/>
          <w:spacing w:val="-3"/>
          <w:sz w:val="20"/>
        </w:rPr>
        <w:t xml:space="preserve"> is administered as a 300 mg intravenous infusion, followed by another dose 2 weeks later, then every 6 months thereafter.</w:t>
      </w:r>
    </w:p>
    <w:p w14:paraId="7ACECC9F" w14:textId="77777777" w:rsidR="00B56DCC" w:rsidRDefault="00B56DCC" w:rsidP="00696E3A"/>
    <w:p w14:paraId="64826921" w14:textId="7BFE2794" w:rsidR="001F52C2" w:rsidRDefault="001F52C2" w:rsidP="00696E3A">
      <w:proofErr w:type="spellStart"/>
      <w:r>
        <w:t>Imaavy</w:t>
      </w:r>
      <w:proofErr w:type="spellEnd"/>
      <w:r>
        <w:t>™ (</w:t>
      </w:r>
      <w:proofErr w:type="spellStart"/>
      <w:r>
        <w:t>nipocalimab-aahu</w:t>
      </w:r>
      <w:proofErr w:type="spellEnd"/>
      <w:r>
        <w:t xml:space="preserve">) </w:t>
      </w:r>
      <w:r w:rsidR="00614AC6">
        <w:t xml:space="preserve">is a </w:t>
      </w:r>
      <w:r w:rsidR="003271A5" w:rsidRPr="003271A5">
        <w:t xml:space="preserve">human immunoglobulin G1 (IgG1) monoclonal antibody that binds to </w:t>
      </w:r>
      <w:r w:rsidR="003271A5">
        <w:t xml:space="preserve">the </w:t>
      </w:r>
      <w:r w:rsidR="003271A5" w:rsidRPr="003271A5">
        <w:t xml:space="preserve">neonatal </w:t>
      </w:r>
      <w:r w:rsidR="003271A5">
        <w:t>FcRn</w:t>
      </w:r>
      <w:r w:rsidR="003271A5" w:rsidRPr="003271A5">
        <w:t>, resulting in the reduction of circulating IgG levels.</w:t>
      </w:r>
      <w:r w:rsidR="00614AC6">
        <w:t xml:space="preserve"> </w:t>
      </w:r>
      <w:r w:rsidR="00A107AC">
        <w:t xml:space="preserve">In April 2025, </w:t>
      </w:r>
      <w:proofErr w:type="spellStart"/>
      <w:r w:rsidR="00A107AC">
        <w:t>Imaavy</w:t>
      </w:r>
      <w:proofErr w:type="spellEnd"/>
      <w:r w:rsidR="00A107AC">
        <w:t xml:space="preserve"> became FDA approved</w:t>
      </w:r>
      <w:r w:rsidR="00614AC6">
        <w:t xml:space="preserve"> </w:t>
      </w:r>
      <w:r w:rsidR="00484140">
        <w:t xml:space="preserve">as the first </w:t>
      </w:r>
      <w:r w:rsidR="00614AC6">
        <w:t xml:space="preserve">treatment of gMG in adult and pediatric patients </w:t>
      </w:r>
      <w:r w:rsidR="00A0002C">
        <w:t xml:space="preserve">greater than or equal to 12 years of age who are anti AChR or anti MuSK </w:t>
      </w:r>
      <w:proofErr w:type="gramStart"/>
      <w:r w:rsidR="00A0002C">
        <w:t>antibody-positive</w:t>
      </w:r>
      <w:proofErr w:type="gramEnd"/>
      <w:r w:rsidR="00A0002C">
        <w:t xml:space="preserve">. </w:t>
      </w:r>
    </w:p>
    <w:p w14:paraId="225268A1" w14:textId="77777777" w:rsidR="00A0002C" w:rsidRDefault="00A0002C" w:rsidP="00696E3A"/>
    <w:p w14:paraId="28C91F1C" w14:textId="548F95B5" w:rsidR="00E354AA" w:rsidRDefault="009A0FB1" w:rsidP="009A0FB1">
      <w:r>
        <w:t>Total program savings for the PDL classes will be regularly reviewed.</w:t>
      </w:r>
    </w:p>
    <w:p w14:paraId="05964CF2" w14:textId="77777777" w:rsidR="007A3034" w:rsidRDefault="007A3034" w:rsidP="009A0FB1">
      <w:pPr>
        <w:rPr>
          <w:rFonts w:cs="Arial"/>
          <w:szCs w:val="20"/>
        </w:rPr>
      </w:pPr>
    </w:p>
    <w:p w14:paraId="4FE6CEE5" w14:textId="77777777" w:rsidR="007040EF" w:rsidRPr="002C2C41" w:rsidRDefault="007040EF" w:rsidP="009A0FB1">
      <w:pPr>
        <w:rPr>
          <w:rFonts w:cs="Arial"/>
          <w:szCs w:val="20"/>
        </w:rPr>
      </w:pPr>
    </w:p>
    <w:p w14:paraId="6CBEE541" w14:textId="3A362043" w:rsidR="00E90D11" w:rsidRDefault="009A0FB1" w:rsidP="00696E3A">
      <w:pPr>
        <w:rPr>
          <w:b/>
          <w:bCs/>
        </w:rPr>
      </w:pPr>
      <w:r>
        <w:rPr>
          <w:b/>
          <w:bCs/>
        </w:rPr>
        <w:lastRenderedPageBreak/>
        <w:t>Preferred Agents:</w:t>
      </w:r>
    </w:p>
    <w:p w14:paraId="232C68D8" w14:textId="77777777" w:rsidR="00702A9C" w:rsidRPr="008F0AD4" w:rsidRDefault="00702A9C" w:rsidP="00702A9C">
      <w:pPr>
        <w:pStyle w:val="ListParagraph"/>
        <w:rPr>
          <w:b/>
          <w:bCs/>
          <w:color w:val="1F497D" w:themeColor="text2"/>
        </w:rPr>
      </w:pPr>
      <w:r w:rsidRPr="008F0AD4">
        <w:rPr>
          <w:b/>
          <w:bCs/>
          <w:color w:val="1F497D" w:themeColor="text2"/>
        </w:rPr>
        <w:t>Uplizna</w:t>
      </w:r>
      <w:r w:rsidRPr="004B4D03">
        <w:rPr>
          <w:b/>
          <w:bCs/>
          <w:color w:val="1F497D" w:themeColor="text2"/>
          <w:vertAlign w:val="superscript"/>
        </w:rPr>
        <w:t>®</w:t>
      </w:r>
    </w:p>
    <w:p w14:paraId="47320590" w14:textId="77777777" w:rsidR="00FD34EA" w:rsidRDefault="00FD34EA" w:rsidP="00696E3A">
      <w:pPr>
        <w:rPr>
          <w:rFonts w:cs="Arial"/>
          <w:szCs w:val="20"/>
        </w:rPr>
      </w:pPr>
    </w:p>
    <w:p w14:paraId="56404718" w14:textId="252714AD" w:rsidR="00846FA4" w:rsidRDefault="00846FA4" w:rsidP="00846FA4">
      <w:pPr>
        <w:rPr>
          <w:b/>
          <w:bCs/>
        </w:rPr>
      </w:pPr>
      <w:r>
        <w:rPr>
          <w:b/>
          <w:bCs/>
        </w:rPr>
        <w:t>Non-Preferred Agents:</w:t>
      </w:r>
    </w:p>
    <w:p w14:paraId="2EE88883" w14:textId="24FCD24F" w:rsidR="00556796" w:rsidRPr="00147862" w:rsidRDefault="00556796" w:rsidP="009C3E1D">
      <w:pPr>
        <w:pStyle w:val="ListParagraph"/>
        <w:rPr>
          <w:b/>
          <w:bCs/>
          <w:color w:val="1F497D" w:themeColor="text2"/>
        </w:rPr>
      </w:pPr>
      <w:r w:rsidRPr="00147862">
        <w:rPr>
          <w:b/>
          <w:bCs/>
          <w:color w:val="1F497D" w:themeColor="text2"/>
        </w:rPr>
        <w:t>Imaavy</w:t>
      </w:r>
      <w:r w:rsidR="00147862" w:rsidRPr="00147862">
        <w:rPr>
          <w:b/>
          <w:bCs/>
          <w:color w:val="1F497D" w:themeColor="text2"/>
          <w:vertAlign w:val="superscript"/>
        </w:rPr>
        <w:t>™</w:t>
      </w:r>
    </w:p>
    <w:p w14:paraId="3266E115" w14:textId="25CFC5EB" w:rsidR="009C3E1D" w:rsidRPr="00C833A2" w:rsidRDefault="009C3E1D" w:rsidP="009C3E1D">
      <w:pPr>
        <w:pStyle w:val="ListParagraph"/>
      </w:pPr>
      <w:r w:rsidRPr="00A6274D">
        <w:t>Rystiggo</w:t>
      </w:r>
      <w:r w:rsidRPr="00A6274D">
        <w:rPr>
          <w:vertAlign w:val="superscript"/>
        </w:rPr>
        <w:t>®</w:t>
      </w:r>
    </w:p>
    <w:p w14:paraId="2FD5C011" w14:textId="1A486AC9" w:rsidR="009C3E1D" w:rsidRPr="00C663ED" w:rsidRDefault="009C3E1D" w:rsidP="009C3E1D">
      <w:pPr>
        <w:pStyle w:val="ListParagraph"/>
      </w:pPr>
      <w:r w:rsidRPr="00C663ED">
        <w:t>Vyvgart</w:t>
      </w:r>
      <w:r w:rsidRPr="00C663ED">
        <w:rPr>
          <w:vertAlign w:val="superscript"/>
        </w:rPr>
        <w:t>®</w:t>
      </w:r>
      <w:r w:rsidRPr="00C663ED">
        <w:t xml:space="preserve"> </w:t>
      </w:r>
    </w:p>
    <w:p w14:paraId="079F807A" w14:textId="54A82316" w:rsidR="00846FA4" w:rsidRPr="00696E3A" w:rsidRDefault="009C3E1D" w:rsidP="009C3E1D">
      <w:pPr>
        <w:pStyle w:val="ListParagraph"/>
      </w:pPr>
      <w:r w:rsidRPr="00C663ED">
        <w:t>Vyvgart</w:t>
      </w:r>
      <w:r w:rsidRPr="00C663ED">
        <w:rPr>
          <w:vertAlign w:val="superscript"/>
        </w:rPr>
        <w:t>®</w:t>
      </w:r>
      <w:r w:rsidRPr="00C663ED">
        <w:t xml:space="preserve"> Hytrulo</w:t>
      </w:r>
      <w:r w:rsidRPr="00F43E41">
        <w:rPr>
          <w:vertAlign w:val="superscript"/>
        </w:rPr>
        <w:t xml:space="preserve"> </w:t>
      </w:r>
    </w:p>
    <w:p w14:paraId="6D696800" w14:textId="28E4C3DB" w:rsidR="00E23EC0" w:rsidRPr="002C2C41" w:rsidRDefault="00E23EC0" w:rsidP="00314430">
      <w:pPr>
        <w:rPr>
          <w:rFonts w:cs="Arial"/>
          <w:spacing w:val="-3"/>
          <w:szCs w:val="20"/>
        </w:rPr>
      </w:pPr>
    </w:p>
    <w:p w14:paraId="6413C027" w14:textId="18F824F6" w:rsidR="00AE77DB" w:rsidRPr="00C02553" w:rsidRDefault="00AE77DB" w:rsidP="00E354AA">
      <w:pPr>
        <w:pStyle w:val="Heading1"/>
        <w:rPr>
          <w:lang w:val="en-US"/>
        </w:rPr>
      </w:pPr>
      <w:r w:rsidRPr="00C02553">
        <w:rPr>
          <w:lang w:val="en-US"/>
        </w:rPr>
        <w:t xml:space="preserve">Setting &amp; Population </w:t>
      </w:r>
    </w:p>
    <w:p w14:paraId="04B7FBFB" w14:textId="47C77614" w:rsidR="0097028A" w:rsidRPr="0079438F" w:rsidRDefault="0097028A" w:rsidP="00696E3A">
      <w:pPr>
        <w:rPr>
          <w:b/>
        </w:rPr>
      </w:pPr>
      <w:r w:rsidRPr="00696E3A">
        <w:rPr>
          <w:b/>
          <w:bCs/>
        </w:rPr>
        <w:t>Drug class for review:</w:t>
      </w:r>
      <w:r w:rsidRPr="00C02553">
        <w:t xml:space="preserve"> </w:t>
      </w:r>
      <w:r w:rsidR="00840341" w:rsidRPr="00840341">
        <w:t>T</w:t>
      </w:r>
      <w:r w:rsidR="00A25455">
        <w:t>argeted Immune Modulators</w:t>
      </w:r>
      <w:r w:rsidR="00840341" w:rsidRPr="00840341">
        <w:t>, Generalized Myasthenia Gravis (gMG)</w:t>
      </w:r>
      <w:r w:rsidR="00D534FD">
        <w:t xml:space="preserve"> </w:t>
      </w:r>
      <w:r w:rsidR="00A25455">
        <w:t>A</w:t>
      </w:r>
      <w:r w:rsidR="00D534FD">
        <w:t>gent</w:t>
      </w:r>
      <w:r w:rsidR="00A25455">
        <w:t>s</w:t>
      </w:r>
    </w:p>
    <w:p w14:paraId="26CFE8A0" w14:textId="60B4F06A" w:rsidR="008524BA" w:rsidRDefault="0097028A" w:rsidP="00696E3A">
      <w:pPr>
        <w:rPr>
          <w:rFonts w:cs="Arial"/>
          <w:b/>
        </w:rPr>
      </w:pPr>
      <w:r w:rsidRPr="00696E3A">
        <w:rPr>
          <w:b/>
          <w:bCs/>
        </w:rPr>
        <w:t>Age range:</w:t>
      </w:r>
      <w:r w:rsidRPr="00C02553">
        <w:t xml:space="preserve"> </w:t>
      </w:r>
      <w:r w:rsidR="00551668" w:rsidRPr="00551668">
        <w:rPr>
          <w:rFonts w:cs="Arial"/>
        </w:rPr>
        <w:t>All appropriate MO HealthNet participants</w:t>
      </w:r>
      <w:r w:rsidR="009D6764" w:rsidRPr="009D6764">
        <w:rPr>
          <w:rFonts w:cs="Arial"/>
          <w:szCs w:val="20"/>
        </w:rPr>
        <w:t xml:space="preserve"> </w:t>
      </w:r>
      <w:r w:rsidR="009D6764">
        <w:rPr>
          <w:rFonts w:cs="Arial"/>
          <w:szCs w:val="20"/>
        </w:rPr>
        <w:t xml:space="preserve">aged </w:t>
      </w:r>
      <w:r w:rsidR="00E32C19" w:rsidRPr="00B06FF2">
        <w:rPr>
          <w:rFonts w:cs="Arial"/>
          <w:b/>
          <w:bCs/>
          <w:color w:val="1F497D" w:themeColor="text2"/>
          <w:szCs w:val="20"/>
        </w:rPr>
        <w:t>1</w:t>
      </w:r>
      <w:r w:rsidR="00292EDD">
        <w:rPr>
          <w:rFonts w:cs="Arial"/>
          <w:b/>
          <w:bCs/>
          <w:color w:val="1F497D" w:themeColor="text2"/>
          <w:szCs w:val="20"/>
        </w:rPr>
        <w:t>2</w:t>
      </w:r>
      <w:r w:rsidR="00B06FF2" w:rsidRPr="00B06FF2">
        <w:rPr>
          <w:rFonts w:cs="Arial"/>
          <w:color w:val="1F497D" w:themeColor="text2"/>
          <w:szCs w:val="20"/>
        </w:rPr>
        <w:t xml:space="preserve"> </w:t>
      </w:r>
      <w:r w:rsidR="009D6764">
        <w:rPr>
          <w:rFonts w:cs="Arial"/>
          <w:szCs w:val="20"/>
        </w:rPr>
        <w:t>years and older</w:t>
      </w:r>
    </w:p>
    <w:p w14:paraId="7F2A9816" w14:textId="77777777" w:rsidR="005328B2" w:rsidRPr="002C2C41" w:rsidRDefault="005328B2" w:rsidP="005328B2">
      <w:pPr>
        <w:rPr>
          <w:rFonts w:cs="Arial"/>
          <w:szCs w:val="20"/>
        </w:rPr>
      </w:pPr>
    </w:p>
    <w:p w14:paraId="6413C035" w14:textId="4FE30429" w:rsidR="00AE77DB" w:rsidRPr="00C02553" w:rsidRDefault="00AE77DB" w:rsidP="0097028A">
      <w:pPr>
        <w:pStyle w:val="Heading1"/>
        <w:rPr>
          <w:lang w:val="en-US"/>
        </w:rPr>
      </w:pPr>
      <w:r w:rsidRPr="00C02553">
        <w:rPr>
          <w:lang w:val="en-US"/>
        </w:rPr>
        <w:t>Approval Criteria</w:t>
      </w:r>
    </w:p>
    <w:p w14:paraId="4BAA1D7A" w14:textId="77777777" w:rsidR="00635DDB" w:rsidRPr="00696E3A" w:rsidRDefault="00635DDB" w:rsidP="00635DDB">
      <w:pPr>
        <w:rPr>
          <w:b/>
          <w:bCs/>
        </w:rPr>
      </w:pPr>
      <w:r w:rsidRPr="00696E3A">
        <w:rPr>
          <w:b/>
          <w:bCs/>
        </w:rPr>
        <w:t>Initial Therapy:</w:t>
      </w:r>
    </w:p>
    <w:p w14:paraId="683FBA48" w14:textId="77777777" w:rsidR="00F2209C" w:rsidRPr="000D346B" w:rsidRDefault="00F2209C" w:rsidP="00F2209C">
      <w:pPr>
        <w:pStyle w:val="ListParagraph"/>
        <w:numPr>
          <w:ilvl w:val="0"/>
          <w:numId w:val="17"/>
        </w:numPr>
        <w:jc w:val="both"/>
        <w:rPr>
          <w:rFonts w:cs="Arial"/>
          <w:bCs/>
          <w:szCs w:val="20"/>
        </w:rPr>
      </w:pPr>
      <w:r w:rsidRPr="000D346B">
        <w:rPr>
          <w:rFonts w:cs="Arial"/>
          <w:bCs/>
          <w:szCs w:val="20"/>
        </w:rPr>
        <w:t xml:space="preserve">Must meet </w:t>
      </w:r>
      <w:proofErr w:type="gramStart"/>
      <w:r w:rsidRPr="000D346B">
        <w:rPr>
          <w:rFonts w:cs="Arial"/>
          <w:bCs/>
          <w:szCs w:val="20"/>
        </w:rPr>
        <w:t>all of</w:t>
      </w:r>
      <w:proofErr w:type="gramEnd"/>
      <w:r w:rsidRPr="000D346B">
        <w:rPr>
          <w:rFonts w:cs="Arial"/>
          <w:bCs/>
          <w:szCs w:val="20"/>
        </w:rPr>
        <w:t xml:space="preserve"> the following:</w:t>
      </w:r>
    </w:p>
    <w:p w14:paraId="6FDA4C52" w14:textId="4DAC79D9" w:rsidR="00F2209C" w:rsidRDefault="00F2209C" w:rsidP="00F2209C">
      <w:pPr>
        <w:pStyle w:val="ListParagraph"/>
        <w:numPr>
          <w:ilvl w:val="1"/>
          <w:numId w:val="17"/>
        </w:numPr>
        <w:rPr>
          <w:rFonts w:cs="Arial"/>
          <w:bCs/>
          <w:szCs w:val="20"/>
        </w:rPr>
      </w:pPr>
      <w:r w:rsidRPr="000D346B">
        <w:rPr>
          <w:rFonts w:cs="Arial"/>
          <w:bCs/>
          <w:szCs w:val="20"/>
        </w:rPr>
        <w:t>Prescribed by or in consultation with neurologist, rheumatologist, or other specialist in the treated disease state;</w:t>
      </w:r>
      <w:r w:rsidR="00CA0B49">
        <w:rPr>
          <w:rFonts w:cs="Arial"/>
          <w:bCs/>
          <w:szCs w:val="20"/>
        </w:rPr>
        <w:t xml:space="preserve"> </w:t>
      </w:r>
    </w:p>
    <w:p w14:paraId="39ECC128" w14:textId="480068ED" w:rsidR="00F97AA6" w:rsidRPr="00F64BBF" w:rsidRDefault="00DD1E28" w:rsidP="00F2209C">
      <w:pPr>
        <w:pStyle w:val="ListParagraph"/>
        <w:numPr>
          <w:ilvl w:val="1"/>
          <w:numId w:val="17"/>
        </w:numPr>
        <w:rPr>
          <w:rFonts w:cs="Arial"/>
          <w:b/>
          <w:color w:val="1F497D" w:themeColor="text2"/>
          <w:szCs w:val="20"/>
        </w:rPr>
      </w:pPr>
      <w:r w:rsidRPr="00F64BBF">
        <w:rPr>
          <w:rFonts w:cs="Arial"/>
          <w:b/>
          <w:color w:val="1F497D" w:themeColor="text2"/>
          <w:szCs w:val="20"/>
        </w:rPr>
        <w:t xml:space="preserve">Participant is of appropriate age for agent </w:t>
      </w:r>
      <w:r w:rsidR="00542B1F" w:rsidRPr="00F64BBF">
        <w:rPr>
          <w:rFonts w:cs="Arial"/>
          <w:b/>
          <w:color w:val="1F497D" w:themeColor="text2"/>
          <w:szCs w:val="20"/>
        </w:rPr>
        <w:t>requested</w:t>
      </w:r>
      <w:r w:rsidRPr="00F64BBF">
        <w:rPr>
          <w:rFonts w:cs="Arial"/>
          <w:b/>
          <w:color w:val="1F497D" w:themeColor="text2"/>
          <w:szCs w:val="20"/>
        </w:rPr>
        <w:t>:</w:t>
      </w:r>
    </w:p>
    <w:p w14:paraId="2CDFDB4E" w14:textId="49C85E4D" w:rsidR="00770B7B" w:rsidRPr="00F64BBF" w:rsidRDefault="00F97AA6" w:rsidP="00F97AA6">
      <w:pPr>
        <w:pStyle w:val="ListParagraph"/>
        <w:numPr>
          <w:ilvl w:val="2"/>
          <w:numId w:val="17"/>
        </w:numPr>
        <w:rPr>
          <w:rFonts w:cs="Arial"/>
          <w:b/>
          <w:color w:val="1F497D" w:themeColor="text2"/>
          <w:szCs w:val="20"/>
        </w:rPr>
      </w:pPr>
      <w:r w:rsidRPr="00F64BBF">
        <w:rPr>
          <w:rFonts w:cs="Arial"/>
          <w:b/>
          <w:color w:val="1F497D" w:themeColor="text2"/>
          <w:szCs w:val="20"/>
        </w:rPr>
        <w:t>Claim for I</w:t>
      </w:r>
      <w:r w:rsidR="00DD1E28" w:rsidRPr="00F64BBF">
        <w:rPr>
          <w:rFonts w:cs="Arial"/>
          <w:b/>
          <w:color w:val="1F497D" w:themeColor="text2"/>
          <w:szCs w:val="20"/>
        </w:rPr>
        <w:t>maavy</w:t>
      </w:r>
      <w:r w:rsidR="00542B1F" w:rsidRPr="00F64BBF">
        <w:rPr>
          <w:rFonts w:cs="Arial"/>
          <w:b/>
          <w:color w:val="1F497D" w:themeColor="text2"/>
          <w:szCs w:val="20"/>
        </w:rPr>
        <w:t>: Participant is aged ≥ 12 years; OR</w:t>
      </w:r>
    </w:p>
    <w:p w14:paraId="589E9DA4" w14:textId="16C68ABE" w:rsidR="00F97AA6" w:rsidRPr="00F64BBF" w:rsidRDefault="00A820B0" w:rsidP="00F97AA6">
      <w:pPr>
        <w:pStyle w:val="ListParagraph"/>
        <w:numPr>
          <w:ilvl w:val="2"/>
          <w:numId w:val="17"/>
        </w:numPr>
        <w:rPr>
          <w:rFonts w:cs="Arial"/>
          <w:b/>
          <w:color w:val="1F497D" w:themeColor="text2"/>
          <w:szCs w:val="20"/>
        </w:rPr>
      </w:pPr>
      <w:r w:rsidRPr="00F64BBF">
        <w:rPr>
          <w:rFonts w:cs="Arial"/>
          <w:b/>
          <w:color w:val="1F497D" w:themeColor="text2"/>
          <w:szCs w:val="20"/>
        </w:rPr>
        <w:t>Participant is aged ≥ 18 years;</w:t>
      </w:r>
      <w:r w:rsidR="00D524E9">
        <w:rPr>
          <w:rFonts w:cs="Arial"/>
          <w:b/>
          <w:color w:val="1F497D" w:themeColor="text2"/>
          <w:szCs w:val="20"/>
        </w:rPr>
        <w:t xml:space="preserve"> AND</w:t>
      </w:r>
    </w:p>
    <w:p w14:paraId="643E7881" w14:textId="77777777" w:rsidR="00F2209C" w:rsidRDefault="00F2209C" w:rsidP="00F2209C">
      <w:pPr>
        <w:pStyle w:val="ListParagraph"/>
        <w:numPr>
          <w:ilvl w:val="1"/>
          <w:numId w:val="17"/>
        </w:numPr>
        <w:rPr>
          <w:rFonts w:cs="Arial"/>
          <w:bCs/>
          <w:szCs w:val="20"/>
        </w:rPr>
      </w:pPr>
      <w:r>
        <w:rPr>
          <w:rFonts w:cs="Arial"/>
          <w:bCs/>
          <w:szCs w:val="20"/>
        </w:rPr>
        <w:t>Documentation of appropriate diagnosis for requested agent – see below criteria.</w:t>
      </w:r>
    </w:p>
    <w:p w14:paraId="6AEEA6F2" w14:textId="77777777" w:rsidR="00580FDC" w:rsidRDefault="00580FDC" w:rsidP="00483461">
      <w:pPr>
        <w:pStyle w:val="ListParagraph"/>
        <w:numPr>
          <w:ilvl w:val="0"/>
          <w:numId w:val="0"/>
        </w:numPr>
        <w:ind w:left="360"/>
        <w:rPr>
          <w:rFonts w:cs="Arial"/>
          <w:bCs/>
          <w:szCs w:val="20"/>
        </w:rPr>
      </w:pPr>
    </w:p>
    <w:p w14:paraId="4BA1DE01" w14:textId="6D943CD5" w:rsidR="00F2209C" w:rsidRDefault="00F2209C" w:rsidP="00F2209C">
      <w:pPr>
        <w:pStyle w:val="ListParagraph"/>
        <w:numPr>
          <w:ilvl w:val="0"/>
          <w:numId w:val="17"/>
        </w:numPr>
        <w:rPr>
          <w:rFonts w:cs="Arial"/>
          <w:bCs/>
          <w:szCs w:val="20"/>
        </w:rPr>
      </w:pPr>
      <w:r w:rsidRPr="00AA10A6">
        <w:rPr>
          <w:rFonts w:cs="Arial"/>
          <w:b/>
          <w:szCs w:val="20"/>
        </w:rPr>
        <w:t>For a documented diagnosis of gMG</w:t>
      </w:r>
      <w:r w:rsidR="00336891">
        <w:rPr>
          <w:rFonts w:cs="Arial"/>
          <w:bCs/>
          <w:szCs w:val="20"/>
        </w:rPr>
        <w:t xml:space="preserve"> – must meet all of the following:</w:t>
      </w:r>
    </w:p>
    <w:p w14:paraId="63631832" w14:textId="77777777" w:rsidR="00F2209C" w:rsidRPr="000D346B" w:rsidRDefault="00F2209C" w:rsidP="00336891">
      <w:pPr>
        <w:pStyle w:val="ListParagraph"/>
        <w:numPr>
          <w:ilvl w:val="1"/>
          <w:numId w:val="17"/>
        </w:numPr>
        <w:jc w:val="both"/>
        <w:rPr>
          <w:rFonts w:cs="Arial"/>
          <w:bCs/>
          <w:szCs w:val="20"/>
        </w:rPr>
      </w:pPr>
      <w:r w:rsidRPr="000D346B">
        <w:rPr>
          <w:rFonts w:cs="Arial"/>
          <w:bCs/>
          <w:szCs w:val="20"/>
        </w:rPr>
        <w:t xml:space="preserve">Documented disease classification as Myasthenia Gravis Foundation of America (MGFA) Class II, III, or IV; </w:t>
      </w:r>
    </w:p>
    <w:p w14:paraId="6BA42C2C" w14:textId="77777777" w:rsidR="00F2209C" w:rsidRPr="000D346B" w:rsidRDefault="00F2209C" w:rsidP="00336891">
      <w:pPr>
        <w:pStyle w:val="ListParagraph"/>
        <w:numPr>
          <w:ilvl w:val="1"/>
          <w:numId w:val="17"/>
        </w:numPr>
        <w:rPr>
          <w:rFonts w:cs="Arial"/>
          <w:bCs/>
          <w:szCs w:val="20"/>
        </w:rPr>
      </w:pPr>
      <w:r w:rsidRPr="000D346B">
        <w:rPr>
          <w:rFonts w:cs="Arial"/>
          <w:bCs/>
          <w:szCs w:val="20"/>
        </w:rPr>
        <w:t>Adequate therapeutic trial of 2 immunosuppressants (e.g., glucocorticoids, azathioprine, mycophenolate, tacrolimus, cyclosporine, methotrexate) (90/120 days);</w:t>
      </w:r>
    </w:p>
    <w:p w14:paraId="143F9769" w14:textId="77777777" w:rsidR="00F2209C" w:rsidRPr="003E4B14" w:rsidRDefault="00F2209C" w:rsidP="00336891">
      <w:pPr>
        <w:pStyle w:val="NoSpacing"/>
        <w:numPr>
          <w:ilvl w:val="1"/>
          <w:numId w:val="17"/>
        </w:numPr>
        <w:rPr>
          <w:b/>
          <w:bCs/>
          <w:strike/>
          <w:color w:val="1F497D" w:themeColor="text2"/>
          <w:sz w:val="20"/>
          <w:szCs w:val="20"/>
        </w:rPr>
      </w:pPr>
      <w:r w:rsidRPr="003E4B14">
        <w:rPr>
          <w:b/>
          <w:bCs/>
          <w:strike/>
          <w:color w:val="1F497D" w:themeColor="text2"/>
          <w:sz w:val="20"/>
          <w:szCs w:val="20"/>
        </w:rPr>
        <w:t>Documented positive anti-acetylcholine receptor (AChR) or anti-</w:t>
      </w:r>
      <w:r w:rsidRPr="003E4B14">
        <w:rPr>
          <w:b/>
          <w:bCs/>
          <w:strike/>
          <w:color w:val="1F497D" w:themeColor="text2"/>
          <w:spacing w:val="-3"/>
          <w:sz w:val="20"/>
        </w:rPr>
        <w:t>muscle-specific tyrosine kinase (MuSK) antibody test;</w:t>
      </w:r>
      <w:r w:rsidRPr="003E4B14">
        <w:rPr>
          <w:b/>
          <w:bCs/>
          <w:strike/>
          <w:color w:val="1F497D" w:themeColor="text2"/>
          <w:sz w:val="20"/>
          <w:szCs w:val="20"/>
        </w:rPr>
        <w:t xml:space="preserve"> </w:t>
      </w:r>
    </w:p>
    <w:p w14:paraId="66A061B2" w14:textId="0DA9036B" w:rsidR="00F2209C" w:rsidRDefault="00F2209C" w:rsidP="00336891">
      <w:pPr>
        <w:pStyle w:val="NoSpacing"/>
        <w:numPr>
          <w:ilvl w:val="1"/>
          <w:numId w:val="17"/>
        </w:numPr>
        <w:rPr>
          <w:sz w:val="20"/>
          <w:szCs w:val="20"/>
        </w:rPr>
      </w:pPr>
      <w:r w:rsidRPr="00D71EA8">
        <w:rPr>
          <w:sz w:val="20"/>
          <w:szCs w:val="20"/>
        </w:rPr>
        <w:t>Must meet one of the following:</w:t>
      </w:r>
    </w:p>
    <w:p w14:paraId="31D0DF9A" w14:textId="77777777" w:rsidR="00F2209C" w:rsidRDefault="00F2209C" w:rsidP="00336891">
      <w:pPr>
        <w:pStyle w:val="NoSpacing"/>
        <w:numPr>
          <w:ilvl w:val="2"/>
          <w:numId w:val="17"/>
        </w:numPr>
        <w:rPr>
          <w:sz w:val="20"/>
          <w:szCs w:val="20"/>
        </w:rPr>
      </w:pPr>
      <w:r w:rsidRPr="00D71EA8">
        <w:rPr>
          <w:sz w:val="20"/>
          <w:szCs w:val="20"/>
        </w:rPr>
        <w:t xml:space="preserve">Documented baseline Myasthenia Gravis Activities of Daily Living (MG-ADL) score of greater than or equal to 6; </w:t>
      </w:r>
      <w:r w:rsidRPr="00D71EA8">
        <w:rPr>
          <w:b/>
          <w:sz w:val="20"/>
          <w:szCs w:val="20"/>
        </w:rPr>
        <w:t>OR</w:t>
      </w:r>
    </w:p>
    <w:p w14:paraId="351EED0A" w14:textId="77777777" w:rsidR="00F2209C" w:rsidRPr="009E735C" w:rsidRDefault="00F2209C" w:rsidP="00336891">
      <w:pPr>
        <w:pStyle w:val="NoSpacing"/>
        <w:numPr>
          <w:ilvl w:val="2"/>
          <w:numId w:val="17"/>
        </w:numPr>
        <w:rPr>
          <w:sz w:val="20"/>
          <w:szCs w:val="20"/>
        </w:rPr>
      </w:pPr>
      <w:r w:rsidRPr="00D71EA8">
        <w:rPr>
          <w:sz w:val="20"/>
          <w:szCs w:val="20"/>
        </w:rPr>
        <w:t>Documented baseline Quantitative Myasthenia Gravis (QMG) score of greater than or equal to 12</w:t>
      </w:r>
      <w:r>
        <w:rPr>
          <w:sz w:val="20"/>
          <w:szCs w:val="20"/>
        </w:rPr>
        <w:t xml:space="preserve">; </w:t>
      </w:r>
      <w:r>
        <w:rPr>
          <w:b/>
          <w:bCs/>
          <w:sz w:val="20"/>
          <w:szCs w:val="20"/>
        </w:rPr>
        <w:t>AND</w:t>
      </w:r>
    </w:p>
    <w:p w14:paraId="0717CB04" w14:textId="1BF022B0" w:rsidR="005B5A17" w:rsidRPr="000A4381" w:rsidRDefault="00B50974" w:rsidP="00336891">
      <w:pPr>
        <w:pStyle w:val="NoSpacing"/>
        <w:numPr>
          <w:ilvl w:val="1"/>
          <w:numId w:val="17"/>
        </w:numPr>
        <w:rPr>
          <w:b/>
          <w:bCs/>
          <w:color w:val="1F497D" w:themeColor="text2"/>
          <w:sz w:val="20"/>
          <w:szCs w:val="20"/>
        </w:rPr>
      </w:pPr>
      <w:r>
        <w:rPr>
          <w:b/>
          <w:bCs/>
          <w:color w:val="1F497D" w:themeColor="text2"/>
          <w:sz w:val="20"/>
          <w:szCs w:val="20"/>
        </w:rPr>
        <w:t xml:space="preserve">Documented </w:t>
      </w:r>
      <w:r w:rsidR="005B5A17" w:rsidRPr="000A4381">
        <w:rPr>
          <w:b/>
          <w:bCs/>
          <w:color w:val="1F497D" w:themeColor="text2"/>
          <w:sz w:val="20"/>
          <w:szCs w:val="20"/>
        </w:rPr>
        <w:t xml:space="preserve">laboratory </w:t>
      </w:r>
      <w:r w:rsidR="001A3A9C" w:rsidRPr="000A4381">
        <w:rPr>
          <w:b/>
          <w:bCs/>
          <w:color w:val="1F497D" w:themeColor="text2"/>
          <w:sz w:val="20"/>
          <w:szCs w:val="20"/>
        </w:rPr>
        <w:t>results</w:t>
      </w:r>
      <w:r w:rsidR="005B5A17" w:rsidRPr="000A4381">
        <w:rPr>
          <w:b/>
          <w:bCs/>
          <w:color w:val="1F497D" w:themeColor="text2"/>
          <w:sz w:val="20"/>
          <w:szCs w:val="20"/>
        </w:rPr>
        <w:t xml:space="preserve"> confirming gMG antibody status</w:t>
      </w:r>
      <w:r w:rsidR="000A4381">
        <w:rPr>
          <w:b/>
          <w:bCs/>
          <w:color w:val="1F497D" w:themeColor="text2"/>
          <w:sz w:val="20"/>
          <w:szCs w:val="20"/>
        </w:rPr>
        <w:t>;</w:t>
      </w:r>
      <w:r w:rsidR="00AE2055">
        <w:rPr>
          <w:b/>
          <w:bCs/>
          <w:color w:val="1F497D" w:themeColor="text2"/>
          <w:sz w:val="20"/>
          <w:szCs w:val="20"/>
        </w:rPr>
        <w:t xml:space="preserve"> AND</w:t>
      </w:r>
    </w:p>
    <w:p w14:paraId="7E786727" w14:textId="7DBE42DB" w:rsidR="00F2209C" w:rsidRDefault="00F2209C" w:rsidP="00336891">
      <w:pPr>
        <w:pStyle w:val="NoSpacing"/>
        <w:numPr>
          <w:ilvl w:val="1"/>
          <w:numId w:val="17"/>
        </w:numPr>
        <w:rPr>
          <w:sz w:val="20"/>
          <w:szCs w:val="20"/>
        </w:rPr>
      </w:pPr>
      <w:r w:rsidRPr="009E735C">
        <w:rPr>
          <w:sz w:val="20"/>
          <w:szCs w:val="20"/>
        </w:rPr>
        <w:t>Must meet one of the following:</w:t>
      </w:r>
    </w:p>
    <w:p w14:paraId="6C1A5128" w14:textId="77777777" w:rsidR="00F2209C" w:rsidRDefault="00F2209C" w:rsidP="00336891">
      <w:pPr>
        <w:pStyle w:val="NoSpacing"/>
        <w:numPr>
          <w:ilvl w:val="2"/>
          <w:numId w:val="17"/>
        </w:numPr>
        <w:rPr>
          <w:sz w:val="20"/>
          <w:szCs w:val="20"/>
        </w:rPr>
      </w:pPr>
      <w:r w:rsidRPr="009E735C">
        <w:rPr>
          <w:sz w:val="20"/>
          <w:szCs w:val="20"/>
        </w:rPr>
        <w:t>Documented compliance on current therapy regimen;</w:t>
      </w:r>
    </w:p>
    <w:p w14:paraId="7BB0914A" w14:textId="60E9CA01" w:rsidR="00F2209C" w:rsidRPr="00F745E3" w:rsidRDefault="00F2209C" w:rsidP="00CA3A5B">
      <w:pPr>
        <w:pStyle w:val="NoSpacing"/>
        <w:numPr>
          <w:ilvl w:val="2"/>
          <w:numId w:val="17"/>
        </w:numPr>
        <w:rPr>
          <w:b/>
          <w:color w:val="1F497D" w:themeColor="text2"/>
          <w:sz w:val="20"/>
          <w:szCs w:val="20"/>
        </w:rPr>
      </w:pPr>
      <w:r w:rsidRPr="0066345B">
        <w:rPr>
          <w:b/>
          <w:color w:val="1F497D" w:themeColor="text2"/>
          <w:sz w:val="20"/>
          <w:szCs w:val="20"/>
        </w:rPr>
        <w:t xml:space="preserve">Participant has documented diagnosis of anti-MuSK </w:t>
      </w:r>
      <w:r w:rsidR="00CA3A5B" w:rsidRPr="00F745E3">
        <w:rPr>
          <w:b/>
          <w:color w:val="1F497D" w:themeColor="text2"/>
          <w:sz w:val="20"/>
          <w:szCs w:val="20"/>
        </w:rPr>
        <w:t>or</w:t>
      </w:r>
      <w:r w:rsidRPr="00F745E3">
        <w:rPr>
          <w:b/>
          <w:color w:val="1F497D" w:themeColor="text2"/>
          <w:sz w:val="20"/>
          <w:szCs w:val="20"/>
        </w:rPr>
        <w:t xml:space="preserve"> anti-AChR antibody positive gMG</w:t>
      </w:r>
      <w:r w:rsidR="000B4D51" w:rsidRPr="00F745E3">
        <w:rPr>
          <w:b/>
          <w:color w:val="1F497D" w:themeColor="text2"/>
          <w:sz w:val="20"/>
          <w:szCs w:val="20"/>
        </w:rPr>
        <w:t xml:space="preserve"> </w:t>
      </w:r>
      <w:r w:rsidRPr="00F745E3">
        <w:rPr>
          <w:b/>
          <w:color w:val="1F497D" w:themeColor="text2"/>
          <w:sz w:val="20"/>
          <w:szCs w:val="20"/>
        </w:rPr>
        <w:t xml:space="preserve">– must meet </w:t>
      </w:r>
      <w:r w:rsidR="00CA3A5B" w:rsidRPr="00F745E3">
        <w:rPr>
          <w:b/>
          <w:color w:val="1F497D" w:themeColor="text2"/>
          <w:sz w:val="20"/>
          <w:szCs w:val="20"/>
        </w:rPr>
        <w:t>one</w:t>
      </w:r>
      <w:r w:rsidRPr="00F745E3">
        <w:rPr>
          <w:b/>
          <w:color w:val="1F497D" w:themeColor="text2"/>
          <w:sz w:val="20"/>
          <w:szCs w:val="20"/>
        </w:rPr>
        <w:t xml:space="preserve"> of the following:</w:t>
      </w:r>
    </w:p>
    <w:p w14:paraId="11961775" w14:textId="77777777" w:rsidR="00290262" w:rsidRDefault="00290262" w:rsidP="00AA10A6">
      <w:pPr>
        <w:pStyle w:val="NoSpacing"/>
        <w:numPr>
          <w:ilvl w:val="3"/>
          <w:numId w:val="17"/>
        </w:numPr>
        <w:rPr>
          <w:b/>
          <w:bCs/>
          <w:color w:val="1F497D" w:themeColor="text2"/>
          <w:sz w:val="20"/>
          <w:szCs w:val="20"/>
        </w:rPr>
      </w:pPr>
      <w:r>
        <w:rPr>
          <w:b/>
          <w:bCs/>
          <w:color w:val="1F497D" w:themeColor="text2"/>
          <w:sz w:val="20"/>
          <w:szCs w:val="20"/>
        </w:rPr>
        <w:t>Claim is for a preferred agent;</w:t>
      </w:r>
    </w:p>
    <w:p w14:paraId="460EA78A" w14:textId="13724F0B" w:rsidR="00290262" w:rsidRPr="00CA0B49" w:rsidRDefault="00290262" w:rsidP="00AA10A6">
      <w:pPr>
        <w:pStyle w:val="NoSpacing"/>
        <w:numPr>
          <w:ilvl w:val="3"/>
          <w:numId w:val="17"/>
        </w:numPr>
        <w:rPr>
          <w:b/>
          <w:bCs/>
          <w:color w:val="1F497D" w:themeColor="text2"/>
          <w:sz w:val="20"/>
          <w:szCs w:val="20"/>
        </w:rPr>
      </w:pPr>
      <w:r>
        <w:rPr>
          <w:b/>
          <w:bCs/>
          <w:color w:val="1F497D" w:themeColor="text2"/>
          <w:sz w:val="20"/>
          <w:szCs w:val="20"/>
        </w:rPr>
        <w:t>C</w:t>
      </w:r>
      <w:r w:rsidRPr="00CA0B49">
        <w:rPr>
          <w:b/>
          <w:bCs/>
          <w:color w:val="1F497D" w:themeColor="text2"/>
          <w:sz w:val="20"/>
          <w:szCs w:val="20"/>
        </w:rPr>
        <w:t>laim is for Imaavy</w:t>
      </w:r>
      <w:r w:rsidRPr="00B5467E">
        <w:rPr>
          <w:b/>
          <w:bCs/>
          <w:color w:val="1F497D" w:themeColor="text2"/>
          <w:sz w:val="20"/>
          <w:szCs w:val="20"/>
        </w:rPr>
        <w:t xml:space="preserve"> </w:t>
      </w:r>
      <w:r>
        <w:rPr>
          <w:b/>
          <w:bCs/>
          <w:color w:val="1F497D" w:themeColor="text2"/>
          <w:sz w:val="20"/>
          <w:szCs w:val="20"/>
        </w:rPr>
        <w:t>and</w:t>
      </w:r>
      <w:r w:rsidRPr="00B5467E">
        <w:rPr>
          <w:b/>
          <w:bCs/>
          <w:color w:val="1F497D" w:themeColor="text2"/>
          <w:sz w:val="20"/>
          <w:szCs w:val="20"/>
        </w:rPr>
        <w:t xml:space="preserve"> </w:t>
      </w:r>
      <w:r>
        <w:rPr>
          <w:b/>
          <w:bCs/>
          <w:color w:val="1F497D" w:themeColor="text2"/>
          <w:sz w:val="20"/>
          <w:szCs w:val="20"/>
        </w:rPr>
        <w:t>p</w:t>
      </w:r>
      <w:r w:rsidRPr="002A5B7B">
        <w:rPr>
          <w:b/>
          <w:bCs/>
          <w:color w:val="1F497D" w:themeColor="text2"/>
          <w:sz w:val="20"/>
          <w:szCs w:val="20"/>
        </w:rPr>
        <w:t xml:space="preserve">articipant </w:t>
      </w:r>
      <w:r w:rsidRPr="00CA0B49">
        <w:rPr>
          <w:b/>
          <w:bCs/>
          <w:color w:val="1F497D" w:themeColor="text2"/>
          <w:sz w:val="20"/>
          <w:szCs w:val="20"/>
        </w:rPr>
        <w:t>age is 12 years to &lt; 18 years;</w:t>
      </w:r>
      <w:r w:rsidR="00D741F4">
        <w:rPr>
          <w:b/>
          <w:bCs/>
          <w:color w:val="1F497D" w:themeColor="text2"/>
          <w:sz w:val="20"/>
          <w:szCs w:val="20"/>
        </w:rPr>
        <w:t xml:space="preserve"> OR</w:t>
      </w:r>
    </w:p>
    <w:p w14:paraId="3FC2B387" w14:textId="502B8222" w:rsidR="00F2209C" w:rsidRPr="006721CB" w:rsidRDefault="00F2209C" w:rsidP="00336891">
      <w:pPr>
        <w:pStyle w:val="NoSpacing"/>
        <w:numPr>
          <w:ilvl w:val="3"/>
          <w:numId w:val="17"/>
        </w:numPr>
        <w:rPr>
          <w:b/>
          <w:bCs/>
          <w:strike/>
          <w:color w:val="1F497D" w:themeColor="text2"/>
          <w:sz w:val="20"/>
          <w:szCs w:val="20"/>
        </w:rPr>
      </w:pPr>
      <w:r w:rsidRPr="00D741F4">
        <w:rPr>
          <w:bCs/>
          <w:sz w:val="20"/>
          <w:szCs w:val="20"/>
        </w:rPr>
        <w:t>Adequate therapeutic trial of 1 or more preferred agents</w:t>
      </w:r>
      <w:r w:rsidR="00D741F4">
        <w:rPr>
          <w:bCs/>
          <w:sz w:val="20"/>
          <w:szCs w:val="20"/>
        </w:rPr>
        <w:t>:</w:t>
      </w:r>
      <w:r w:rsidRPr="00AA10A6">
        <w:rPr>
          <w:b/>
          <w:strike/>
          <w:sz w:val="20"/>
          <w:szCs w:val="20"/>
        </w:rPr>
        <w:t xml:space="preserve"> </w:t>
      </w:r>
      <w:r w:rsidRPr="00290262">
        <w:rPr>
          <w:b/>
          <w:strike/>
          <w:color w:val="1F497D" w:themeColor="text2"/>
          <w:sz w:val="20"/>
          <w:szCs w:val="20"/>
        </w:rPr>
        <w:t>listed</w:t>
      </w:r>
      <w:r w:rsidRPr="00AA10A6">
        <w:rPr>
          <w:b/>
          <w:strike/>
          <w:color w:val="1F497D" w:themeColor="text2"/>
          <w:sz w:val="20"/>
          <w:szCs w:val="20"/>
        </w:rPr>
        <w:t xml:space="preserve"> </w:t>
      </w:r>
      <w:r w:rsidRPr="006721CB">
        <w:rPr>
          <w:b/>
          <w:bCs/>
          <w:strike/>
          <w:color w:val="1F497D" w:themeColor="text2"/>
          <w:sz w:val="20"/>
          <w:szCs w:val="20"/>
        </w:rPr>
        <w:t>in the Complement Inhibitors, Systemic PDL Edit;</w:t>
      </w:r>
    </w:p>
    <w:p w14:paraId="2B6E0E65" w14:textId="2863EB5C" w:rsidR="00F2209C" w:rsidRPr="00432418" w:rsidRDefault="00F2209C" w:rsidP="00D741F4">
      <w:pPr>
        <w:pStyle w:val="NoSpacing"/>
        <w:numPr>
          <w:ilvl w:val="4"/>
          <w:numId w:val="17"/>
        </w:numPr>
        <w:rPr>
          <w:sz w:val="20"/>
          <w:szCs w:val="20"/>
        </w:rPr>
      </w:pPr>
      <w:r w:rsidRPr="00432418">
        <w:rPr>
          <w:sz w:val="20"/>
          <w:szCs w:val="20"/>
        </w:rPr>
        <w:t xml:space="preserve">Documented trial period of preferred agents; </w:t>
      </w:r>
    </w:p>
    <w:p w14:paraId="382B160E" w14:textId="551D608D" w:rsidR="00F2209C" w:rsidRPr="00432418" w:rsidRDefault="00F2209C" w:rsidP="00D741F4">
      <w:pPr>
        <w:pStyle w:val="NoSpacing"/>
        <w:numPr>
          <w:ilvl w:val="4"/>
          <w:numId w:val="17"/>
        </w:numPr>
        <w:rPr>
          <w:sz w:val="20"/>
          <w:szCs w:val="20"/>
        </w:rPr>
      </w:pPr>
      <w:r w:rsidRPr="00432418">
        <w:rPr>
          <w:sz w:val="20"/>
          <w:szCs w:val="20"/>
        </w:rPr>
        <w:t>Documented ADE/ADR to preferred agents</w:t>
      </w:r>
      <w:r w:rsidR="006721CB">
        <w:rPr>
          <w:sz w:val="20"/>
          <w:szCs w:val="20"/>
        </w:rPr>
        <w:t xml:space="preserve">; </w:t>
      </w:r>
      <w:r w:rsidR="006721CB" w:rsidRPr="006721CB">
        <w:rPr>
          <w:b/>
          <w:bCs/>
          <w:color w:val="1F497D" w:themeColor="text2"/>
          <w:sz w:val="20"/>
          <w:szCs w:val="20"/>
        </w:rPr>
        <w:t>OR</w:t>
      </w:r>
    </w:p>
    <w:p w14:paraId="2FC52A48" w14:textId="21E0FB46" w:rsidR="00AA7991" w:rsidRPr="00885AF3" w:rsidRDefault="00337C7C" w:rsidP="00336891">
      <w:pPr>
        <w:pStyle w:val="NoSpacing"/>
        <w:numPr>
          <w:ilvl w:val="2"/>
          <w:numId w:val="17"/>
        </w:numPr>
        <w:rPr>
          <w:b/>
          <w:bCs/>
          <w:color w:val="1F497D" w:themeColor="text2"/>
          <w:sz w:val="20"/>
          <w:szCs w:val="20"/>
        </w:rPr>
      </w:pPr>
      <w:r w:rsidRPr="00885AF3">
        <w:rPr>
          <w:b/>
          <w:bCs/>
          <w:color w:val="1F497D" w:themeColor="text2"/>
          <w:sz w:val="20"/>
          <w:szCs w:val="20"/>
        </w:rPr>
        <w:t xml:space="preserve">Participant </w:t>
      </w:r>
      <w:r w:rsidR="009722E5">
        <w:rPr>
          <w:b/>
          <w:bCs/>
          <w:color w:val="1F497D" w:themeColor="text2"/>
          <w:sz w:val="20"/>
          <w:szCs w:val="20"/>
        </w:rPr>
        <w:t>ha</w:t>
      </w:r>
      <w:r w:rsidR="00F0489B" w:rsidRPr="00885AF3">
        <w:rPr>
          <w:b/>
          <w:bCs/>
          <w:color w:val="1F497D" w:themeColor="text2"/>
          <w:sz w:val="20"/>
          <w:szCs w:val="20"/>
        </w:rPr>
        <w:t xml:space="preserve">s </w:t>
      </w:r>
      <w:r w:rsidR="009722E5">
        <w:rPr>
          <w:b/>
          <w:bCs/>
          <w:color w:val="1F497D" w:themeColor="text2"/>
          <w:sz w:val="20"/>
          <w:szCs w:val="20"/>
        </w:rPr>
        <w:t xml:space="preserve">documented </w:t>
      </w:r>
      <w:r w:rsidR="00A266D2">
        <w:rPr>
          <w:b/>
          <w:bCs/>
          <w:color w:val="1F497D" w:themeColor="text2"/>
          <w:sz w:val="20"/>
          <w:szCs w:val="20"/>
        </w:rPr>
        <w:t>anti-LRP4</w:t>
      </w:r>
      <w:r w:rsidR="007D5BED">
        <w:rPr>
          <w:b/>
          <w:bCs/>
          <w:color w:val="1F497D" w:themeColor="text2"/>
          <w:sz w:val="20"/>
          <w:szCs w:val="20"/>
        </w:rPr>
        <w:t xml:space="preserve"> antibody positive or </w:t>
      </w:r>
      <w:r w:rsidR="00E571BF">
        <w:rPr>
          <w:b/>
          <w:bCs/>
          <w:color w:val="1F497D" w:themeColor="text2"/>
          <w:sz w:val="20"/>
          <w:szCs w:val="20"/>
        </w:rPr>
        <w:t>seronegative</w:t>
      </w:r>
      <w:r w:rsidR="0001487D">
        <w:rPr>
          <w:b/>
          <w:bCs/>
          <w:color w:val="1F497D" w:themeColor="text2"/>
          <w:sz w:val="20"/>
          <w:szCs w:val="20"/>
        </w:rPr>
        <w:t xml:space="preserve"> gMG</w:t>
      </w:r>
      <w:r w:rsidR="00424D9D">
        <w:rPr>
          <w:b/>
          <w:bCs/>
          <w:color w:val="1F497D" w:themeColor="text2"/>
          <w:sz w:val="20"/>
          <w:szCs w:val="20"/>
        </w:rPr>
        <w:t xml:space="preserve"> </w:t>
      </w:r>
      <w:r w:rsidR="00F0489B" w:rsidRPr="00885AF3">
        <w:rPr>
          <w:b/>
          <w:bCs/>
          <w:color w:val="1F497D" w:themeColor="text2"/>
          <w:sz w:val="20"/>
          <w:szCs w:val="20"/>
        </w:rPr>
        <w:t>and claim is for Vyvgart</w:t>
      </w:r>
      <w:r w:rsidR="007D5BED">
        <w:rPr>
          <w:b/>
          <w:bCs/>
          <w:color w:val="1F497D" w:themeColor="text2"/>
          <w:sz w:val="20"/>
          <w:szCs w:val="20"/>
        </w:rPr>
        <w:t>.</w:t>
      </w:r>
    </w:p>
    <w:p w14:paraId="788D5564" w14:textId="77777777" w:rsidR="00580FDC" w:rsidRDefault="00580FDC" w:rsidP="00483461">
      <w:pPr>
        <w:pStyle w:val="NoSpacing"/>
        <w:ind w:left="360"/>
        <w:rPr>
          <w:sz w:val="20"/>
          <w:szCs w:val="20"/>
        </w:rPr>
      </w:pPr>
    </w:p>
    <w:p w14:paraId="67F9D6FF" w14:textId="2F91699C" w:rsidR="00F2209C" w:rsidRPr="00B31ACD" w:rsidRDefault="00F2209C" w:rsidP="00F2209C">
      <w:pPr>
        <w:pStyle w:val="NoSpacing"/>
        <w:numPr>
          <w:ilvl w:val="0"/>
          <w:numId w:val="17"/>
        </w:numPr>
        <w:rPr>
          <w:sz w:val="20"/>
          <w:szCs w:val="20"/>
        </w:rPr>
      </w:pPr>
      <w:r w:rsidRPr="00483461">
        <w:rPr>
          <w:b/>
          <w:sz w:val="20"/>
          <w:szCs w:val="20"/>
        </w:rPr>
        <w:t>For a documented diagnosis of CIDP</w:t>
      </w:r>
      <w:r w:rsidR="00E714E7">
        <w:rPr>
          <w:sz w:val="20"/>
          <w:szCs w:val="20"/>
        </w:rPr>
        <w:t xml:space="preserve"> – must meet all of the following:</w:t>
      </w:r>
    </w:p>
    <w:p w14:paraId="569991C9" w14:textId="77777777" w:rsidR="00F2209C" w:rsidRPr="00B31ACD" w:rsidRDefault="00F2209C" w:rsidP="00E714E7">
      <w:pPr>
        <w:pStyle w:val="NoSpacing"/>
        <w:numPr>
          <w:ilvl w:val="1"/>
          <w:numId w:val="17"/>
        </w:numPr>
        <w:rPr>
          <w:sz w:val="20"/>
          <w:szCs w:val="20"/>
        </w:rPr>
      </w:pPr>
      <w:r w:rsidRPr="00B31ACD">
        <w:rPr>
          <w:sz w:val="20"/>
          <w:szCs w:val="20"/>
        </w:rPr>
        <w:t>Claim is for Vyvgart Hytrulo;</w:t>
      </w:r>
    </w:p>
    <w:p w14:paraId="5C7AB225" w14:textId="45CE6CAC" w:rsidR="00F2209C" w:rsidRPr="00B31ACD" w:rsidRDefault="00F2209C" w:rsidP="00E714E7">
      <w:pPr>
        <w:pStyle w:val="NoSpacing"/>
        <w:numPr>
          <w:ilvl w:val="1"/>
          <w:numId w:val="17"/>
        </w:numPr>
        <w:rPr>
          <w:sz w:val="20"/>
          <w:szCs w:val="20"/>
        </w:rPr>
      </w:pPr>
      <w:r w:rsidRPr="00B31ACD">
        <w:rPr>
          <w:sz w:val="20"/>
          <w:szCs w:val="20"/>
        </w:rPr>
        <w:lastRenderedPageBreak/>
        <w:t>Documented baseline measure of disability using a validated measure of impairment (e.g., Inflammatory Rasch-built Overall Disability Scale [I-RODS], Inflammatory Neuropathy Cause and Treatment Disability Scale [INCAT]);</w:t>
      </w:r>
    </w:p>
    <w:p w14:paraId="6A112562" w14:textId="77777777" w:rsidR="00F2209C" w:rsidRPr="00B31ACD" w:rsidRDefault="00F2209C" w:rsidP="00E714E7">
      <w:pPr>
        <w:pStyle w:val="NoSpacing"/>
        <w:numPr>
          <w:ilvl w:val="1"/>
          <w:numId w:val="17"/>
        </w:numPr>
        <w:rPr>
          <w:sz w:val="20"/>
          <w:szCs w:val="20"/>
        </w:rPr>
      </w:pPr>
      <w:r w:rsidRPr="00B31ACD">
        <w:rPr>
          <w:sz w:val="20"/>
          <w:szCs w:val="20"/>
        </w:rPr>
        <w:t>Documented baseline quantitative grip measure (e.g., Jamar or Vigorimeter dynamometer); AND</w:t>
      </w:r>
    </w:p>
    <w:p w14:paraId="2ED408AE" w14:textId="77777777" w:rsidR="00F2209C" w:rsidRPr="00B31ACD" w:rsidRDefault="00F2209C" w:rsidP="00E714E7">
      <w:pPr>
        <w:pStyle w:val="NoSpacing"/>
        <w:numPr>
          <w:ilvl w:val="1"/>
          <w:numId w:val="17"/>
        </w:numPr>
        <w:rPr>
          <w:sz w:val="20"/>
          <w:szCs w:val="20"/>
        </w:rPr>
      </w:pPr>
      <w:r w:rsidRPr="00B31ACD">
        <w:rPr>
          <w:sz w:val="20"/>
          <w:szCs w:val="20"/>
        </w:rPr>
        <w:t>Documented therapeutic trial of IVIG or SCIG in the past 12 months.</w:t>
      </w:r>
    </w:p>
    <w:p w14:paraId="1DDF451A" w14:textId="77777777" w:rsidR="00452F7C" w:rsidRDefault="00452F7C" w:rsidP="00483461">
      <w:pPr>
        <w:pStyle w:val="ListParagraph"/>
        <w:numPr>
          <w:ilvl w:val="0"/>
          <w:numId w:val="0"/>
        </w:numPr>
        <w:ind w:left="360"/>
        <w:jc w:val="both"/>
        <w:rPr>
          <w:rFonts w:cs="Arial"/>
          <w:b/>
          <w:color w:val="1F497D" w:themeColor="text2"/>
          <w:szCs w:val="20"/>
        </w:rPr>
      </w:pPr>
    </w:p>
    <w:p w14:paraId="03BF7889" w14:textId="27C724E6" w:rsidR="00413FA2" w:rsidRPr="009111A2" w:rsidRDefault="00413FA2" w:rsidP="00413FA2">
      <w:pPr>
        <w:pStyle w:val="ListParagraph"/>
        <w:numPr>
          <w:ilvl w:val="0"/>
          <w:numId w:val="28"/>
        </w:numPr>
        <w:jc w:val="both"/>
        <w:rPr>
          <w:rFonts w:cs="Arial"/>
          <w:b/>
          <w:color w:val="1F497D" w:themeColor="text2"/>
          <w:szCs w:val="20"/>
        </w:rPr>
      </w:pPr>
      <w:r w:rsidRPr="009111A2">
        <w:rPr>
          <w:rFonts w:cs="Arial"/>
          <w:b/>
          <w:color w:val="1F497D" w:themeColor="text2"/>
          <w:szCs w:val="20"/>
        </w:rPr>
        <w:t>For a documented diagnosis of Immunoglobulin G4-Related Disease (IgG4-RD)</w:t>
      </w:r>
      <w:r w:rsidR="00D81874" w:rsidRPr="009111A2">
        <w:rPr>
          <w:rFonts w:cs="Arial"/>
          <w:b/>
          <w:color w:val="1F497D" w:themeColor="text2"/>
          <w:szCs w:val="20"/>
        </w:rPr>
        <w:t xml:space="preserve"> – must meet all of the following:</w:t>
      </w:r>
    </w:p>
    <w:p w14:paraId="3C224F2D" w14:textId="77777777" w:rsidR="00413FA2" w:rsidRPr="009111A2" w:rsidRDefault="00413FA2" w:rsidP="00D81874">
      <w:pPr>
        <w:pStyle w:val="ListParagraph"/>
        <w:numPr>
          <w:ilvl w:val="1"/>
          <w:numId w:val="20"/>
        </w:numPr>
        <w:ind w:left="720"/>
        <w:rPr>
          <w:rFonts w:cs="Arial"/>
          <w:b/>
          <w:color w:val="1F497D" w:themeColor="text2"/>
          <w:szCs w:val="20"/>
        </w:rPr>
      </w:pPr>
      <w:r w:rsidRPr="009111A2">
        <w:rPr>
          <w:rFonts w:cs="Arial"/>
          <w:b/>
          <w:color w:val="1F497D" w:themeColor="text2"/>
          <w:szCs w:val="20"/>
        </w:rPr>
        <w:t>Claim is for Uplizna;</w:t>
      </w:r>
    </w:p>
    <w:p w14:paraId="0B444E0A" w14:textId="77777777" w:rsidR="00413FA2" w:rsidRPr="009111A2" w:rsidRDefault="00413FA2" w:rsidP="00D81874">
      <w:pPr>
        <w:pStyle w:val="ListParagraph"/>
        <w:numPr>
          <w:ilvl w:val="1"/>
          <w:numId w:val="20"/>
        </w:numPr>
        <w:ind w:left="720"/>
        <w:rPr>
          <w:rFonts w:cs="Arial"/>
          <w:b/>
          <w:color w:val="1F497D" w:themeColor="text2"/>
          <w:szCs w:val="20"/>
        </w:rPr>
      </w:pPr>
      <w:r w:rsidRPr="009111A2">
        <w:rPr>
          <w:rFonts w:cs="Arial"/>
          <w:b/>
          <w:color w:val="1F497D" w:themeColor="text2"/>
          <w:szCs w:val="20"/>
        </w:rPr>
        <w:t>Documented diagnosis of Immunoglobulin G4-Related Disease (IgG4-RD);</w:t>
      </w:r>
    </w:p>
    <w:p w14:paraId="56727D32" w14:textId="77777777" w:rsidR="00413FA2" w:rsidRPr="009111A2" w:rsidRDefault="00413FA2" w:rsidP="00D81874">
      <w:pPr>
        <w:pStyle w:val="ListParagraph"/>
        <w:numPr>
          <w:ilvl w:val="1"/>
          <w:numId w:val="20"/>
        </w:numPr>
        <w:ind w:left="720"/>
        <w:rPr>
          <w:rFonts w:cs="Arial"/>
          <w:b/>
          <w:color w:val="1F497D" w:themeColor="text2"/>
          <w:szCs w:val="20"/>
        </w:rPr>
      </w:pPr>
      <w:r w:rsidRPr="009111A2">
        <w:rPr>
          <w:rFonts w:cs="Arial"/>
          <w:b/>
          <w:color w:val="1F497D" w:themeColor="text2"/>
          <w:szCs w:val="20"/>
        </w:rPr>
        <w:t>Participant required corticosteroids to control disease flare within the past 3 months; AND</w:t>
      </w:r>
    </w:p>
    <w:p w14:paraId="0139BD69" w14:textId="77777777" w:rsidR="00413FA2" w:rsidRPr="009111A2" w:rsidRDefault="00413FA2" w:rsidP="00D81874">
      <w:pPr>
        <w:pStyle w:val="ListParagraph"/>
        <w:numPr>
          <w:ilvl w:val="1"/>
          <w:numId w:val="20"/>
        </w:numPr>
        <w:ind w:left="720"/>
        <w:jc w:val="both"/>
        <w:rPr>
          <w:rFonts w:cs="Arial"/>
          <w:b/>
          <w:color w:val="1F497D" w:themeColor="text2"/>
          <w:szCs w:val="20"/>
        </w:rPr>
      </w:pPr>
      <w:r w:rsidRPr="009111A2">
        <w:rPr>
          <w:rFonts w:cs="Arial"/>
          <w:b/>
          <w:color w:val="1F497D" w:themeColor="text2"/>
          <w:szCs w:val="20"/>
        </w:rPr>
        <w:t>Participant has confirmed history of organ involvement.</w:t>
      </w:r>
    </w:p>
    <w:p w14:paraId="6029B0C7" w14:textId="77777777" w:rsidR="00452F7C" w:rsidRDefault="00452F7C" w:rsidP="00483461">
      <w:pPr>
        <w:pStyle w:val="ListParagraph"/>
        <w:numPr>
          <w:ilvl w:val="0"/>
          <w:numId w:val="0"/>
        </w:numPr>
        <w:ind w:left="360"/>
        <w:rPr>
          <w:rFonts w:cs="Arial"/>
          <w:b/>
          <w:color w:val="1F497D" w:themeColor="text2"/>
          <w:szCs w:val="20"/>
        </w:rPr>
      </w:pPr>
    </w:p>
    <w:p w14:paraId="44D3A225" w14:textId="59B06BF0" w:rsidR="005978B5" w:rsidRPr="00D1720B" w:rsidRDefault="00B02671" w:rsidP="005978B5">
      <w:pPr>
        <w:pStyle w:val="ListParagraph"/>
        <w:numPr>
          <w:ilvl w:val="0"/>
          <w:numId w:val="28"/>
        </w:numPr>
        <w:rPr>
          <w:rFonts w:cs="Arial"/>
          <w:b/>
          <w:color w:val="1F497D" w:themeColor="text2"/>
          <w:szCs w:val="20"/>
        </w:rPr>
      </w:pPr>
      <w:r w:rsidRPr="005978B5">
        <w:rPr>
          <w:rFonts w:cs="Arial"/>
          <w:b/>
          <w:color w:val="1F497D" w:themeColor="text2"/>
          <w:szCs w:val="20"/>
        </w:rPr>
        <w:t xml:space="preserve">For a documented diagnosis of </w:t>
      </w:r>
      <w:r w:rsidR="004377B6" w:rsidRPr="005978B5">
        <w:rPr>
          <w:rFonts w:cs="Arial"/>
          <w:b/>
          <w:color w:val="1F497D" w:themeColor="text2"/>
          <w:szCs w:val="20"/>
        </w:rPr>
        <w:t>neuromyelitis optica spectrum disorder (NMOSD)</w:t>
      </w:r>
      <w:r w:rsidR="005978B5" w:rsidRPr="005978B5">
        <w:rPr>
          <w:rFonts w:cs="Arial"/>
          <w:b/>
          <w:color w:val="1F497D" w:themeColor="text2"/>
          <w:szCs w:val="20"/>
        </w:rPr>
        <w:t xml:space="preserve"> </w:t>
      </w:r>
      <w:r w:rsidRPr="005978B5">
        <w:rPr>
          <w:rFonts w:cs="Arial"/>
          <w:b/>
          <w:color w:val="1F497D" w:themeColor="text2"/>
          <w:szCs w:val="20"/>
        </w:rPr>
        <w:t xml:space="preserve">– must meet </w:t>
      </w:r>
      <w:r w:rsidRPr="00D1720B">
        <w:rPr>
          <w:rFonts w:cs="Arial"/>
          <w:b/>
          <w:color w:val="1F497D" w:themeColor="text2"/>
          <w:szCs w:val="20"/>
        </w:rPr>
        <w:t>all</w:t>
      </w:r>
      <w:r w:rsidR="005978B5" w:rsidRPr="00D1720B">
        <w:rPr>
          <w:rFonts w:cs="Arial"/>
          <w:b/>
          <w:color w:val="1F497D" w:themeColor="text2"/>
          <w:szCs w:val="20"/>
        </w:rPr>
        <w:t xml:space="preserve"> of the following:</w:t>
      </w:r>
    </w:p>
    <w:p w14:paraId="22CE2955" w14:textId="2C62505C" w:rsidR="0045290A" w:rsidRPr="00D1720B" w:rsidRDefault="0045290A" w:rsidP="005978B5">
      <w:pPr>
        <w:pStyle w:val="ListParagraph"/>
        <w:numPr>
          <w:ilvl w:val="1"/>
          <w:numId w:val="28"/>
        </w:numPr>
        <w:ind w:left="720"/>
        <w:rPr>
          <w:rFonts w:cs="Arial"/>
          <w:b/>
          <w:color w:val="1F497D" w:themeColor="text2"/>
          <w:szCs w:val="20"/>
        </w:rPr>
      </w:pPr>
      <w:r w:rsidRPr="00D1720B">
        <w:rPr>
          <w:rFonts w:cs="Arial"/>
          <w:b/>
          <w:color w:val="1F497D" w:themeColor="text2"/>
          <w:szCs w:val="20"/>
        </w:rPr>
        <w:t>Claim is for Uplizna;</w:t>
      </w:r>
    </w:p>
    <w:p w14:paraId="060040B6" w14:textId="2A29DB48" w:rsidR="005978B5" w:rsidRPr="00CA5038" w:rsidRDefault="005978B5" w:rsidP="005978B5">
      <w:pPr>
        <w:pStyle w:val="ListParagraph"/>
        <w:numPr>
          <w:ilvl w:val="1"/>
          <w:numId w:val="28"/>
        </w:numPr>
        <w:ind w:left="720"/>
        <w:rPr>
          <w:rFonts w:cs="Arial"/>
          <w:b/>
          <w:color w:val="1F497D" w:themeColor="text2"/>
          <w:szCs w:val="20"/>
        </w:rPr>
      </w:pPr>
      <w:r w:rsidRPr="00CA5038">
        <w:rPr>
          <w:rFonts w:cs="Arial"/>
          <w:b/>
          <w:color w:val="1F497D" w:themeColor="text2"/>
          <w:szCs w:val="20"/>
        </w:rPr>
        <w:t>Documented diagnosis of neuromyelitis optica spectrum disorder (NMOSD);</w:t>
      </w:r>
    </w:p>
    <w:p w14:paraId="52BF3360" w14:textId="4C8E4E1A" w:rsidR="005978B5" w:rsidRPr="00CA5038" w:rsidRDefault="005978B5" w:rsidP="005978B5">
      <w:pPr>
        <w:pStyle w:val="ListParagraph"/>
        <w:numPr>
          <w:ilvl w:val="1"/>
          <w:numId w:val="28"/>
        </w:numPr>
        <w:ind w:left="720"/>
        <w:rPr>
          <w:rFonts w:cs="Arial"/>
          <w:b/>
          <w:color w:val="1F497D" w:themeColor="text2"/>
          <w:szCs w:val="20"/>
        </w:rPr>
      </w:pPr>
      <w:r w:rsidRPr="00CA5038">
        <w:rPr>
          <w:rFonts w:cs="Arial"/>
          <w:b/>
          <w:color w:val="1F497D" w:themeColor="text2"/>
          <w:szCs w:val="20"/>
        </w:rPr>
        <w:t>Participant is seropositive for anti-aquaporin-4 (AQP4) antibodies;</w:t>
      </w:r>
    </w:p>
    <w:p w14:paraId="0C22B8A1" w14:textId="6AAC9CDA" w:rsidR="005978B5" w:rsidRPr="00CA5038" w:rsidRDefault="005978B5" w:rsidP="005978B5">
      <w:pPr>
        <w:pStyle w:val="ListParagraph"/>
        <w:numPr>
          <w:ilvl w:val="1"/>
          <w:numId w:val="28"/>
        </w:numPr>
        <w:ind w:left="720"/>
        <w:rPr>
          <w:rFonts w:cs="Arial"/>
          <w:b/>
          <w:color w:val="1F497D" w:themeColor="text2"/>
          <w:szCs w:val="20"/>
        </w:rPr>
      </w:pPr>
      <w:r w:rsidRPr="00CA5038">
        <w:rPr>
          <w:rFonts w:cs="Arial"/>
          <w:b/>
          <w:color w:val="1F497D" w:themeColor="text2"/>
          <w:szCs w:val="20"/>
        </w:rPr>
        <w:t>Documented baseline number and frequency of acute attacks</w:t>
      </w:r>
      <w:r w:rsidR="005B148B">
        <w:rPr>
          <w:rFonts w:cs="Arial"/>
          <w:b/>
          <w:color w:val="1F497D" w:themeColor="text2"/>
          <w:szCs w:val="20"/>
        </w:rPr>
        <w:t>; AND</w:t>
      </w:r>
    </w:p>
    <w:p w14:paraId="5F721ABD" w14:textId="7F7356B9" w:rsidR="005978B5" w:rsidRPr="00483461" w:rsidRDefault="005978B5" w:rsidP="12360DF4">
      <w:pPr>
        <w:pStyle w:val="ListParagraph"/>
        <w:tabs>
          <w:tab w:val="left" w:pos="720"/>
        </w:tabs>
        <w:ind w:left="720"/>
        <w:rPr>
          <w:rFonts w:cs="Arial"/>
          <w:b/>
          <w:color w:val="1F497D" w:themeColor="text2"/>
          <w:szCs w:val="20"/>
        </w:rPr>
      </w:pPr>
      <w:r w:rsidRPr="12360DF4">
        <w:rPr>
          <w:rFonts w:cs="Arial"/>
          <w:b/>
          <w:color w:val="1F497D" w:themeColor="text2"/>
        </w:rPr>
        <w:t>Documented therapeutic trial of Enspryng (trial defined as at least 6 months of therapy)</w:t>
      </w:r>
      <w:r w:rsidR="004F1F1C" w:rsidRPr="12360DF4">
        <w:rPr>
          <w:rFonts w:cs="Arial"/>
          <w:b/>
          <w:color w:val="1F497D" w:themeColor="text2"/>
        </w:rPr>
        <w:t xml:space="preserve">; criteria for Enspryng can be found in the </w:t>
      </w:r>
      <w:r w:rsidR="00D6139C" w:rsidRPr="12360DF4">
        <w:rPr>
          <w:rFonts w:cs="Arial"/>
          <w:b/>
          <w:color w:val="1F497D" w:themeColor="text2"/>
        </w:rPr>
        <w:t xml:space="preserve">Targeted Immune Modulators, Interleukin-6 (IL-6) Receptor Inhibitors PDL Edit located here </w:t>
      </w:r>
      <w:hyperlink r:id="rId12">
        <w:r w:rsidR="00D6139C" w:rsidRPr="12360DF4">
          <w:rPr>
            <w:rStyle w:val="Hyperlink"/>
            <w:rFonts w:cs="Arial"/>
            <w:b/>
            <w:bCs/>
            <w:color w:val="1F497D" w:themeColor="text2"/>
          </w:rPr>
          <w:t>Pharmacy Clinical Edits and Preferred Drug Lists | mydss.mo.gov.</w:t>
        </w:r>
      </w:hyperlink>
    </w:p>
    <w:p w14:paraId="18F98F7B" w14:textId="77777777" w:rsidR="00D216AA" w:rsidRDefault="00D216AA" w:rsidP="00635DDB">
      <w:pPr>
        <w:rPr>
          <w:b/>
          <w:bCs/>
        </w:rPr>
      </w:pPr>
    </w:p>
    <w:p w14:paraId="7EC2017B" w14:textId="101BE3A9" w:rsidR="00635DDB" w:rsidRPr="00696E3A" w:rsidRDefault="00635DDB" w:rsidP="00635DDB">
      <w:pPr>
        <w:rPr>
          <w:b/>
          <w:bCs/>
        </w:rPr>
      </w:pPr>
      <w:r w:rsidRPr="00696E3A">
        <w:rPr>
          <w:b/>
          <w:bCs/>
        </w:rPr>
        <w:t>Continuation of Therapy:</w:t>
      </w:r>
    </w:p>
    <w:p w14:paraId="7AFEDC06" w14:textId="77777777" w:rsidR="00820752" w:rsidRDefault="00820752" w:rsidP="00820752">
      <w:pPr>
        <w:pStyle w:val="ListParagraph"/>
        <w:numPr>
          <w:ilvl w:val="0"/>
          <w:numId w:val="18"/>
        </w:numPr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Diagnosis-specific documentation as detailed below:</w:t>
      </w:r>
    </w:p>
    <w:p w14:paraId="1E4BCAD1" w14:textId="77777777" w:rsidR="00820752" w:rsidRDefault="00820752" w:rsidP="00820752">
      <w:pPr>
        <w:pStyle w:val="ListParagraph"/>
        <w:numPr>
          <w:ilvl w:val="1"/>
          <w:numId w:val="18"/>
        </w:numPr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gMG:</w:t>
      </w:r>
    </w:p>
    <w:p w14:paraId="790B0E9A" w14:textId="20F3F0F6" w:rsidR="00820752" w:rsidRPr="000733CA" w:rsidRDefault="00820752" w:rsidP="12360DF4">
      <w:pPr>
        <w:pStyle w:val="ListParagraph"/>
        <w:jc w:val="both"/>
        <w:rPr>
          <w:rFonts w:cs="Arial"/>
        </w:rPr>
      </w:pPr>
      <w:r w:rsidRPr="12360DF4">
        <w:rPr>
          <w:rFonts w:cs="Arial"/>
        </w:rPr>
        <w:t>Documented improvement of at least 2 points in total MG-ADL score or 3 points in total QMG score from baseline.</w:t>
      </w:r>
    </w:p>
    <w:p w14:paraId="383C16D1" w14:textId="59BDDC9A" w:rsidR="00820752" w:rsidRPr="000D346B" w:rsidRDefault="00820752" w:rsidP="00820752">
      <w:pPr>
        <w:pStyle w:val="ListParagraph"/>
        <w:numPr>
          <w:ilvl w:val="2"/>
          <w:numId w:val="18"/>
        </w:numPr>
        <w:jc w:val="both"/>
        <w:rPr>
          <w:rFonts w:cs="Arial"/>
          <w:bCs/>
          <w:szCs w:val="20"/>
        </w:rPr>
      </w:pPr>
      <w:r w:rsidRPr="000D346B">
        <w:rPr>
          <w:rFonts w:cs="Arial"/>
          <w:bCs/>
          <w:szCs w:val="20"/>
        </w:rPr>
        <w:t xml:space="preserve">Additional continuation criteria for Vyvgart and Vyvgart Hytrulo: </w:t>
      </w:r>
    </w:p>
    <w:p w14:paraId="744426EA" w14:textId="77777777" w:rsidR="00820752" w:rsidRPr="000D346B" w:rsidRDefault="00820752" w:rsidP="001B2BA1">
      <w:pPr>
        <w:pStyle w:val="ListParagraph"/>
        <w:numPr>
          <w:ilvl w:val="3"/>
          <w:numId w:val="18"/>
        </w:numPr>
        <w:rPr>
          <w:rFonts w:cs="Arial"/>
          <w:bCs/>
          <w:szCs w:val="20"/>
        </w:rPr>
      </w:pPr>
      <w:r w:rsidRPr="000D346B">
        <w:rPr>
          <w:rFonts w:cs="Arial"/>
          <w:bCs/>
          <w:szCs w:val="20"/>
        </w:rPr>
        <w:t>Minimum time between treatment cycles should be no less than 50 days from the start of previous treatment cycle and the start of the next treatment cycle.</w:t>
      </w:r>
    </w:p>
    <w:p w14:paraId="7595DAC9" w14:textId="77777777" w:rsidR="00820752" w:rsidRPr="000D346B" w:rsidRDefault="00820752" w:rsidP="001B2BA1">
      <w:pPr>
        <w:pStyle w:val="NoSpacing"/>
        <w:numPr>
          <w:ilvl w:val="2"/>
          <w:numId w:val="18"/>
        </w:numPr>
        <w:rPr>
          <w:bCs/>
          <w:sz w:val="20"/>
          <w:szCs w:val="20"/>
        </w:rPr>
      </w:pPr>
      <w:r w:rsidRPr="000D346B">
        <w:rPr>
          <w:bCs/>
          <w:sz w:val="20"/>
          <w:szCs w:val="20"/>
        </w:rPr>
        <w:t xml:space="preserve">Additional continuation criteria for Rystiggo: </w:t>
      </w:r>
    </w:p>
    <w:p w14:paraId="10F753EC" w14:textId="77777777" w:rsidR="00820752" w:rsidRDefault="00820752" w:rsidP="001B2BA1">
      <w:pPr>
        <w:pStyle w:val="NoSpacing"/>
        <w:numPr>
          <w:ilvl w:val="3"/>
          <w:numId w:val="18"/>
        </w:numPr>
        <w:rPr>
          <w:bCs/>
          <w:sz w:val="20"/>
          <w:szCs w:val="20"/>
        </w:rPr>
      </w:pPr>
      <w:r w:rsidRPr="000D346B">
        <w:rPr>
          <w:bCs/>
          <w:sz w:val="20"/>
          <w:szCs w:val="20"/>
        </w:rPr>
        <w:t>Minimum time between treatment cycles should be no less than 63 days from the start of previous treatment cycle and the start of the next treatment cycle.</w:t>
      </w:r>
    </w:p>
    <w:p w14:paraId="7B5B44CB" w14:textId="77777777" w:rsidR="00820752" w:rsidRPr="007153C6" w:rsidRDefault="00820752" w:rsidP="001B2BA1">
      <w:pPr>
        <w:pStyle w:val="NoSpacing"/>
        <w:numPr>
          <w:ilvl w:val="1"/>
          <w:numId w:val="18"/>
        </w:numPr>
        <w:rPr>
          <w:bCs/>
          <w:sz w:val="20"/>
          <w:szCs w:val="20"/>
        </w:rPr>
      </w:pPr>
      <w:r w:rsidRPr="007153C6">
        <w:rPr>
          <w:bCs/>
          <w:sz w:val="20"/>
          <w:szCs w:val="20"/>
        </w:rPr>
        <w:t>CIDP:</w:t>
      </w:r>
    </w:p>
    <w:p w14:paraId="776B2B8F" w14:textId="77777777" w:rsidR="00820752" w:rsidRPr="007153C6" w:rsidRDefault="00820752" w:rsidP="001B2BA1">
      <w:pPr>
        <w:pStyle w:val="NoSpacing"/>
        <w:numPr>
          <w:ilvl w:val="2"/>
          <w:numId w:val="18"/>
        </w:numPr>
        <w:rPr>
          <w:bCs/>
          <w:sz w:val="20"/>
          <w:szCs w:val="20"/>
        </w:rPr>
      </w:pPr>
      <w:r w:rsidRPr="007153C6">
        <w:rPr>
          <w:bCs/>
          <w:sz w:val="20"/>
          <w:szCs w:val="20"/>
        </w:rPr>
        <w:t>Clinical benefit of therapy demonstrated by all of the following:</w:t>
      </w:r>
    </w:p>
    <w:p w14:paraId="65730B0D" w14:textId="77777777" w:rsidR="00820752" w:rsidRPr="007153C6" w:rsidRDefault="00820752" w:rsidP="001B2BA1">
      <w:pPr>
        <w:pStyle w:val="NoSpacing"/>
        <w:numPr>
          <w:ilvl w:val="3"/>
          <w:numId w:val="18"/>
        </w:numPr>
        <w:rPr>
          <w:bCs/>
          <w:sz w:val="20"/>
          <w:szCs w:val="20"/>
        </w:rPr>
      </w:pPr>
      <w:r w:rsidRPr="007153C6">
        <w:rPr>
          <w:bCs/>
          <w:sz w:val="20"/>
          <w:szCs w:val="20"/>
        </w:rPr>
        <w:t xml:space="preserve">Improvement from baseline measure of disability; </w:t>
      </w:r>
      <w:r w:rsidRPr="00DC6BF5">
        <w:rPr>
          <w:b/>
          <w:sz w:val="20"/>
          <w:szCs w:val="20"/>
        </w:rPr>
        <w:t>AND</w:t>
      </w:r>
    </w:p>
    <w:p w14:paraId="097BE68A" w14:textId="77777777" w:rsidR="00820752" w:rsidRDefault="00820752" w:rsidP="001B2BA1">
      <w:pPr>
        <w:pStyle w:val="NoSpacing"/>
        <w:numPr>
          <w:ilvl w:val="3"/>
          <w:numId w:val="18"/>
        </w:numPr>
        <w:rPr>
          <w:bCs/>
          <w:sz w:val="20"/>
          <w:szCs w:val="20"/>
        </w:rPr>
      </w:pPr>
      <w:r w:rsidRPr="007153C6">
        <w:rPr>
          <w:bCs/>
          <w:sz w:val="20"/>
          <w:szCs w:val="20"/>
        </w:rPr>
        <w:t>Improvement of quantitative grip measure.</w:t>
      </w:r>
    </w:p>
    <w:p w14:paraId="28942247" w14:textId="76A1AC73" w:rsidR="00F758C1" w:rsidRPr="009111A2" w:rsidRDefault="004C5C1A" w:rsidP="00F758C1">
      <w:pPr>
        <w:pStyle w:val="NoSpacing"/>
        <w:numPr>
          <w:ilvl w:val="1"/>
          <w:numId w:val="18"/>
        </w:numPr>
        <w:rPr>
          <w:b/>
          <w:color w:val="1F497D" w:themeColor="text2"/>
          <w:sz w:val="20"/>
          <w:szCs w:val="20"/>
        </w:rPr>
      </w:pPr>
      <w:r w:rsidRPr="009111A2">
        <w:rPr>
          <w:b/>
          <w:color w:val="1F497D" w:themeColor="text2"/>
          <w:sz w:val="20"/>
          <w:szCs w:val="20"/>
        </w:rPr>
        <w:t>IgG4-RD</w:t>
      </w:r>
      <w:r w:rsidR="00134343">
        <w:rPr>
          <w:b/>
          <w:color w:val="1F497D" w:themeColor="text2"/>
          <w:sz w:val="20"/>
          <w:szCs w:val="20"/>
        </w:rPr>
        <w:t xml:space="preserve"> and NMOSD</w:t>
      </w:r>
      <w:r w:rsidRPr="009111A2">
        <w:rPr>
          <w:b/>
          <w:color w:val="1F497D" w:themeColor="text2"/>
          <w:sz w:val="20"/>
          <w:szCs w:val="20"/>
        </w:rPr>
        <w:t>:</w:t>
      </w:r>
    </w:p>
    <w:p w14:paraId="15179270" w14:textId="5F197467" w:rsidR="004C5C1A" w:rsidRPr="009111A2" w:rsidRDefault="009111A2" w:rsidP="009111A2">
      <w:pPr>
        <w:pStyle w:val="ListParagraph"/>
        <w:numPr>
          <w:ilvl w:val="2"/>
          <w:numId w:val="18"/>
        </w:numPr>
        <w:rPr>
          <w:rFonts w:eastAsia="Arial"/>
          <w:b/>
          <w:color w:val="1F497D" w:themeColor="text2"/>
          <w:szCs w:val="20"/>
        </w:rPr>
      </w:pPr>
      <w:r w:rsidRPr="009111A2">
        <w:rPr>
          <w:rFonts w:eastAsia="Arial"/>
          <w:b/>
          <w:color w:val="1F497D" w:themeColor="text2"/>
          <w:szCs w:val="20"/>
        </w:rPr>
        <w:t>Documentation of decrease or stabilization in number and frequency of flares from baseline.</w:t>
      </w:r>
    </w:p>
    <w:p w14:paraId="0B0C0D72" w14:textId="77777777" w:rsidR="005328B2" w:rsidRPr="002C2C41" w:rsidRDefault="005328B2" w:rsidP="0064149A">
      <w:pPr>
        <w:rPr>
          <w:rFonts w:cs="Arial"/>
          <w:szCs w:val="20"/>
        </w:rPr>
      </w:pPr>
    </w:p>
    <w:p w14:paraId="6413C03A" w14:textId="3393631A" w:rsidR="00AE77DB" w:rsidRPr="00C02553" w:rsidRDefault="00AE77DB" w:rsidP="005A2F1E">
      <w:pPr>
        <w:pStyle w:val="Heading1"/>
        <w:rPr>
          <w:lang w:val="en-US"/>
        </w:rPr>
      </w:pPr>
      <w:r w:rsidRPr="00C02553">
        <w:rPr>
          <w:lang w:val="en-US"/>
        </w:rPr>
        <w:t>Denial Criteria</w:t>
      </w:r>
    </w:p>
    <w:p w14:paraId="730C2B10" w14:textId="77777777" w:rsidR="00904D7A" w:rsidRPr="00C722C9" w:rsidRDefault="00904D7A" w:rsidP="00C722C9">
      <w:pPr>
        <w:pStyle w:val="ListParagraph"/>
      </w:pPr>
      <w:r w:rsidRPr="00C722C9">
        <w:t>Therapy will deny with presence of one of the following:</w:t>
      </w:r>
    </w:p>
    <w:p w14:paraId="34DD01B8" w14:textId="247F0BF0" w:rsidR="00904D7A" w:rsidRPr="005328B2" w:rsidRDefault="00904D7A" w:rsidP="00C722C9">
      <w:pPr>
        <w:pStyle w:val="ListParagraph"/>
        <w:numPr>
          <w:ilvl w:val="1"/>
          <w:numId w:val="6"/>
        </w:numPr>
      </w:pPr>
      <w:r w:rsidRPr="005328B2">
        <w:t>Any approval criteria are not met;</w:t>
      </w:r>
      <w:r>
        <w:t xml:space="preserve"> </w:t>
      </w:r>
    </w:p>
    <w:p w14:paraId="4A87D710" w14:textId="77777777" w:rsidR="00932422" w:rsidRPr="00A33FF6" w:rsidRDefault="00932422" w:rsidP="00932422">
      <w:pPr>
        <w:pStyle w:val="ListParagraph"/>
        <w:numPr>
          <w:ilvl w:val="1"/>
          <w:numId w:val="6"/>
        </w:numPr>
        <w:rPr>
          <w:rFonts w:cs="Arial"/>
          <w:noProof/>
          <w:szCs w:val="20"/>
        </w:rPr>
      </w:pPr>
      <w:r w:rsidRPr="00A33FF6">
        <w:rPr>
          <w:rFonts w:cs="Arial"/>
          <w:noProof/>
          <w:szCs w:val="20"/>
        </w:rPr>
        <w:t>Participant is currently pregnant;</w:t>
      </w:r>
    </w:p>
    <w:p w14:paraId="62FE896F" w14:textId="23CDA2E6" w:rsidR="008A154D" w:rsidRPr="008A154D" w:rsidRDefault="008A154D" w:rsidP="00932422">
      <w:pPr>
        <w:pStyle w:val="ListParagraph"/>
        <w:numPr>
          <w:ilvl w:val="1"/>
          <w:numId w:val="6"/>
        </w:numPr>
        <w:rPr>
          <w:rFonts w:cs="Arial"/>
          <w:b/>
          <w:bCs/>
          <w:noProof/>
          <w:color w:val="1F497D" w:themeColor="text2"/>
          <w:szCs w:val="20"/>
        </w:rPr>
      </w:pPr>
      <w:r w:rsidRPr="008A154D">
        <w:rPr>
          <w:rFonts w:cs="Arial"/>
          <w:b/>
          <w:bCs/>
          <w:noProof/>
          <w:color w:val="1F497D" w:themeColor="text2"/>
          <w:szCs w:val="20"/>
        </w:rPr>
        <w:t>Dose exceeds 300 mg per infusion (Uplizna);</w:t>
      </w:r>
    </w:p>
    <w:p w14:paraId="58524DEA" w14:textId="5D496041" w:rsidR="00932422" w:rsidRPr="00A33FF6" w:rsidRDefault="00932422" w:rsidP="00932422">
      <w:pPr>
        <w:pStyle w:val="ListParagraph"/>
        <w:numPr>
          <w:ilvl w:val="1"/>
          <w:numId w:val="6"/>
        </w:numPr>
        <w:rPr>
          <w:rFonts w:cs="Arial"/>
          <w:noProof/>
          <w:szCs w:val="20"/>
        </w:rPr>
      </w:pPr>
      <w:r w:rsidRPr="00A33FF6">
        <w:rPr>
          <w:rFonts w:cs="Arial"/>
          <w:noProof/>
          <w:szCs w:val="20"/>
        </w:rPr>
        <w:t>Dose exceeds 1,200 mg (60 mL) per infusion (Vyvgart);</w:t>
      </w:r>
    </w:p>
    <w:p w14:paraId="6883E053" w14:textId="77777777" w:rsidR="00932422" w:rsidRPr="00A33FF6" w:rsidRDefault="00932422" w:rsidP="00932422">
      <w:pPr>
        <w:pStyle w:val="ListParagraph"/>
        <w:numPr>
          <w:ilvl w:val="1"/>
          <w:numId w:val="6"/>
        </w:numPr>
        <w:rPr>
          <w:rFonts w:cs="Arial"/>
          <w:noProof/>
          <w:szCs w:val="20"/>
        </w:rPr>
      </w:pPr>
      <w:r w:rsidRPr="00A33FF6">
        <w:rPr>
          <w:rFonts w:cs="Arial"/>
          <w:noProof/>
          <w:szCs w:val="20"/>
        </w:rPr>
        <w:t>Dose exceeds 1,008 mg/11,200 units (5.6 mL) per injection (Vyvgart Hytrulo);</w:t>
      </w:r>
      <w:r w:rsidRPr="00B02D55">
        <w:rPr>
          <w:rFonts w:cs="Arial"/>
          <w:b/>
          <w:bCs/>
          <w:noProof/>
          <w:szCs w:val="20"/>
        </w:rPr>
        <w:t xml:space="preserve"> </w:t>
      </w:r>
      <w:r w:rsidRPr="00A33FF6">
        <w:rPr>
          <w:rFonts w:cs="Arial"/>
          <w:b/>
          <w:bCs/>
          <w:noProof/>
          <w:szCs w:val="20"/>
        </w:rPr>
        <w:t>OR</w:t>
      </w:r>
    </w:p>
    <w:p w14:paraId="2641B396" w14:textId="77777777" w:rsidR="00932422" w:rsidRDefault="00932422" w:rsidP="00932422">
      <w:pPr>
        <w:pStyle w:val="ListParagraph"/>
        <w:numPr>
          <w:ilvl w:val="1"/>
          <w:numId w:val="6"/>
        </w:numPr>
        <w:rPr>
          <w:rFonts w:cs="Arial"/>
          <w:noProof/>
          <w:szCs w:val="20"/>
        </w:rPr>
      </w:pPr>
      <w:r w:rsidRPr="00A33FF6">
        <w:rPr>
          <w:rFonts w:cs="Arial"/>
          <w:noProof/>
          <w:szCs w:val="20"/>
        </w:rPr>
        <w:t>Dose exceeds 840 mg (6 mL) per infusion (Rystiggo)</w:t>
      </w:r>
      <w:r>
        <w:rPr>
          <w:rFonts w:cs="Arial"/>
          <w:noProof/>
          <w:szCs w:val="20"/>
        </w:rPr>
        <w:t>.</w:t>
      </w:r>
    </w:p>
    <w:p w14:paraId="41933664" w14:textId="77777777" w:rsidR="00932422" w:rsidRPr="00A33FF6" w:rsidRDefault="00932422" w:rsidP="00932422">
      <w:pPr>
        <w:pStyle w:val="ListParagraph"/>
        <w:rPr>
          <w:noProof/>
        </w:rPr>
      </w:pPr>
      <w:r>
        <w:rPr>
          <w:noProof/>
        </w:rPr>
        <w:t>Additional denial criteria for documented diagnosis of gMG:</w:t>
      </w:r>
      <w:r w:rsidRPr="00A33FF6">
        <w:rPr>
          <w:noProof/>
        </w:rPr>
        <w:t xml:space="preserve"> </w:t>
      </w:r>
    </w:p>
    <w:p w14:paraId="479A7D4F" w14:textId="77777777" w:rsidR="00932422" w:rsidRPr="00B2440F" w:rsidRDefault="00932422" w:rsidP="00495A53">
      <w:pPr>
        <w:pStyle w:val="ListParagraph"/>
        <w:numPr>
          <w:ilvl w:val="1"/>
          <w:numId w:val="6"/>
        </w:numPr>
        <w:rPr>
          <w:rFonts w:cs="Arial"/>
          <w:b/>
          <w:strike/>
          <w:color w:val="1F497D" w:themeColor="text2"/>
        </w:rPr>
      </w:pPr>
      <w:r w:rsidRPr="12360DF4">
        <w:rPr>
          <w:rFonts w:cs="Arial"/>
        </w:rPr>
        <w:t>Concurrent therapy with a systemic complement inhibitor</w:t>
      </w:r>
      <w:r w:rsidRPr="00B2440F">
        <w:rPr>
          <w:rFonts w:cs="Arial"/>
          <w:b/>
          <w:strike/>
          <w:color w:val="1F497D" w:themeColor="text2"/>
        </w:rPr>
        <w:t>; OR</w:t>
      </w:r>
    </w:p>
    <w:p w14:paraId="0CC61785" w14:textId="384DB0BE" w:rsidR="00932422" w:rsidRPr="00B2440F" w:rsidRDefault="00932422" w:rsidP="00495A53">
      <w:pPr>
        <w:pStyle w:val="ListParagraph"/>
        <w:numPr>
          <w:ilvl w:val="1"/>
          <w:numId w:val="6"/>
        </w:numPr>
        <w:rPr>
          <w:rFonts w:cs="Arial"/>
          <w:b/>
          <w:strike/>
          <w:color w:val="1F497D" w:themeColor="text2"/>
        </w:rPr>
      </w:pPr>
      <w:r w:rsidRPr="00B2440F">
        <w:rPr>
          <w:rFonts w:cs="Arial"/>
          <w:b/>
          <w:strike/>
          <w:color w:val="1F497D" w:themeColor="text2"/>
        </w:rPr>
        <w:t>Therapy exceeds 24 infusions/injections per year.</w:t>
      </w:r>
    </w:p>
    <w:p w14:paraId="4D21EAF1" w14:textId="7235D914" w:rsidR="001E4CBA" w:rsidRPr="002C2C41" w:rsidRDefault="7E0E5BF1" w:rsidP="00B2440F">
      <w:pPr>
        <w:spacing w:line="259" w:lineRule="auto"/>
        <w:rPr>
          <w:rFonts w:cs="Arial"/>
        </w:rPr>
      </w:pPr>
      <w:r w:rsidRPr="12360DF4">
        <w:rPr>
          <w:rFonts w:cs="Arial"/>
        </w:rPr>
        <w:lastRenderedPageBreak/>
        <w:t>.</w:t>
      </w:r>
    </w:p>
    <w:p w14:paraId="050492C1" w14:textId="77777777" w:rsidR="00BC5635" w:rsidRPr="00C02553" w:rsidRDefault="00BC5635" w:rsidP="00343D6B">
      <w:pPr>
        <w:pStyle w:val="Heading1"/>
        <w:rPr>
          <w:lang w:val="en-US"/>
        </w:rPr>
      </w:pPr>
      <w:bookmarkStart w:id="1" w:name="_Hlk34120952"/>
      <w:r w:rsidRPr="00C02553">
        <w:rPr>
          <w:lang w:val="en-US"/>
        </w:rPr>
        <w:t>Disposition of Edit</w:t>
      </w:r>
    </w:p>
    <w:p w14:paraId="2A6C8BA0" w14:textId="2F3144DB" w:rsidR="00BC5635" w:rsidRPr="00C02553" w:rsidRDefault="00C26001" w:rsidP="00696E3A">
      <w:r w:rsidRPr="00696E3A">
        <w:rPr>
          <w:b/>
          <w:bCs/>
        </w:rPr>
        <w:t>Denial:</w:t>
      </w:r>
      <w:r w:rsidR="00074464" w:rsidRPr="00C02553">
        <w:t xml:space="preserve"> </w:t>
      </w:r>
      <w:r w:rsidR="00973BD6" w:rsidRPr="00973BD6">
        <w:t>Exception Code “0</w:t>
      </w:r>
      <w:r w:rsidR="00126B60">
        <w:t>160</w:t>
      </w:r>
      <w:r w:rsidR="00973BD6" w:rsidRPr="00973BD6">
        <w:t>” (</w:t>
      </w:r>
      <w:r w:rsidR="00126B60">
        <w:t>Preferred Drug List</w:t>
      </w:r>
      <w:r w:rsidR="00973BD6" w:rsidRPr="00973BD6">
        <w:t>)</w:t>
      </w:r>
    </w:p>
    <w:p w14:paraId="297E1B37" w14:textId="7EFB55E8" w:rsidR="002A02F4" w:rsidRPr="00C02553" w:rsidRDefault="00C26001" w:rsidP="00696E3A">
      <w:r w:rsidRPr="00696E3A">
        <w:rPr>
          <w:b/>
          <w:bCs/>
        </w:rPr>
        <w:t>Rule Type:</w:t>
      </w:r>
      <w:r w:rsidR="00074464" w:rsidRPr="00C02553">
        <w:t xml:space="preserve"> </w:t>
      </w:r>
      <w:r w:rsidR="00126B60">
        <w:t>PDL</w:t>
      </w:r>
    </w:p>
    <w:p w14:paraId="5D43D3D3" w14:textId="5BBFBF7D" w:rsidR="00343D6B" w:rsidRPr="00C02553" w:rsidRDefault="00343D6B" w:rsidP="00696E3A">
      <w:r w:rsidRPr="00696E3A">
        <w:rPr>
          <w:b/>
          <w:bCs/>
        </w:rPr>
        <w:t>Default Approval Period:</w:t>
      </w:r>
      <w:r w:rsidR="00973BD6">
        <w:t xml:space="preserve"> </w:t>
      </w:r>
      <w:r w:rsidR="00126B60">
        <w:t>1 year</w:t>
      </w:r>
    </w:p>
    <w:p w14:paraId="6649BF8C" w14:textId="77777777" w:rsidR="00343D6B" w:rsidRPr="002C2C41" w:rsidRDefault="00343D6B" w:rsidP="00343D6B">
      <w:pPr>
        <w:rPr>
          <w:rFonts w:cs="Arial"/>
          <w:szCs w:val="20"/>
        </w:rPr>
      </w:pPr>
    </w:p>
    <w:bookmarkEnd w:id="1"/>
    <w:p w14:paraId="6413C0CF" w14:textId="530C1EC9" w:rsidR="00AE77DB" w:rsidRPr="00C02553" w:rsidRDefault="00AE77DB" w:rsidP="00343D6B">
      <w:pPr>
        <w:pStyle w:val="Heading1"/>
        <w:rPr>
          <w:lang w:val="en-US"/>
        </w:rPr>
      </w:pPr>
      <w:r w:rsidRPr="00C02553">
        <w:rPr>
          <w:lang w:val="en-US"/>
        </w:rPr>
        <w:t>References</w:t>
      </w:r>
    </w:p>
    <w:p w14:paraId="0D1D47DA" w14:textId="25201D3A" w:rsidR="00B95B89" w:rsidRPr="00B83359" w:rsidRDefault="00B95B89" w:rsidP="00B95B89">
      <w:pPr>
        <w:pStyle w:val="ListParagraph"/>
      </w:pPr>
      <w:r w:rsidRPr="00B83359">
        <w:t>Evidence-Based Medicine and Fiscal Analysis: “Therapeutic Class Review: IMMUNOLOGIC AGENTS: Targeted Immun</w:t>
      </w:r>
      <w:r w:rsidR="004B4BFB" w:rsidRPr="00B83359">
        <w:t>om</w:t>
      </w:r>
      <w:r w:rsidRPr="00B83359">
        <w:t>odulators</w:t>
      </w:r>
      <w:r w:rsidR="00B83359" w:rsidRPr="00B83359">
        <w:t xml:space="preserve">, Generalized Myasthenia Gravis”. </w:t>
      </w:r>
      <w:r w:rsidRPr="00B83359">
        <w:t>Gainwell Technologies; Last updated March 20, 2026.</w:t>
      </w:r>
    </w:p>
    <w:p w14:paraId="280DA2F1" w14:textId="2820C156" w:rsidR="000B6EE6" w:rsidRPr="00836BFF" w:rsidRDefault="29677022" w:rsidP="2DE39F0E">
      <w:pPr>
        <w:pStyle w:val="ListParagraph"/>
        <w:rPr>
          <w:shd w:val="clear" w:color="auto" w:fill="FFFFFF"/>
        </w:rPr>
      </w:pPr>
      <w:r w:rsidRPr="2DE39F0E">
        <w:rPr>
          <w:rFonts w:eastAsia="Arial" w:cs="Arial"/>
          <w:color w:val="000000" w:themeColor="text1"/>
          <w:szCs w:val="20"/>
        </w:rPr>
        <w:t>Evidence-Based Medicine Analysis: “Neonatal Fc Receptor Antagonists”, UMKC-DIC; May 2026.</w:t>
      </w:r>
      <w:r w:rsidRPr="2DE39F0E">
        <w:t xml:space="preserve"> </w:t>
      </w:r>
    </w:p>
    <w:p w14:paraId="474DD632" w14:textId="284E4CD6" w:rsidR="000B6EE6" w:rsidRPr="00836BFF" w:rsidRDefault="000B6EE6" w:rsidP="000B6EE6">
      <w:pPr>
        <w:pStyle w:val="ListParagraph"/>
        <w:rPr>
          <w:shd w:val="clear" w:color="auto" w:fill="FFFFFF"/>
        </w:rPr>
      </w:pPr>
      <w:r w:rsidRPr="00836BFF">
        <w:rPr>
          <w:shd w:val="clear" w:color="auto" w:fill="FFFFFF"/>
        </w:rPr>
        <w:t xml:space="preserve">Vyvgart [package insert]. Boston, MA: argenx BV; </w:t>
      </w:r>
      <w:r w:rsidR="00866EE9">
        <w:rPr>
          <w:shd w:val="clear" w:color="auto" w:fill="FFFFFF"/>
        </w:rPr>
        <w:t>May 2026</w:t>
      </w:r>
      <w:r w:rsidRPr="00836BFF">
        <w:rPr>
          <w:shd w:val="clear" w:color="auto" w:fill="FFFFFF"/>
        </w:rPr>
        <w:t>.</w:t>
      </w:r>
    </w:p>
    <w:p w14:paraId="101F06B9" w14:textId="34114850" w:rsidR="000B6EE6" w:rsidRPr="00836BFF" w:rsidRDefault="000B6EE6" w:rsidP="000B6EE6">
      <w:pPr>
        <w:pStyle w:val="ListParagraph"/>
        <w:rPr>
          <w:shd w:val="clear" w:color="auto" w:fill="FFFFFF"/>
        </w:rPr>
      </w:pPr>
      <w:r w:rsidRPr="00836BFF">
        <w:rPr>
          <w:shd w:val="clear" w:color="auto" w:fill="FFFFFF"/>
        </w:rPr>
        <w:t xml:space="preserve">Vyvgart Hytrulo [package insert]. Boston, MA: argenx BV; </w:t>
      </w:r>
      <w:r w:rsidR="00486C21">
        <w:rPr>
          <w:shd w:val="clear" w:color="auto" w:fill="FFFFFF"/>
        </w:rPr>
        <w:t>May 2026</w:t>
      </w:r>
      <w:r w:rsidRPr="00836BFF">
        <w:rPr>
          <w:shd w:val="clear" w:color="auto" w:fill="FFFFFF"/>
        </w:rPr>
        <w:t>.</w:t>
      </w:r>
    </w:p>
    <w:p w14:paraId="506321BC" w14:textId="633DFB82" w:rsidR="00877783" w:rsidRPr="006675F9" w:rsidRDefault="00877783" w:rsidP="00877783">
      <w:pPr>
        <w:pStyle w:val="ListParagraph"/>
        <w:rPr>
          <w:shd w:val="clear" w:color="auto" w:fill="FFFFFF"/>
        </w:rPr>
      </w:pPr>
      <w:r w:rsidRPr="006675F9">
        <w:rPr>
          <w:shd w:val="clear" w:color="auto" w:fill="FFFFFF"/>
        </w:rPr>
        <w:t>Uplizna</w:t>
      </w:r>
      <w:r w:rsidRPr="006675F9">
        <w:rPr>
          <w:shd w:val="clear" w:color="auto" w:fill="FFFFFF"/>
          <w:vertAlign w:val="superscript"/>
        </w:rPr>
        <w:t>®</w:t>
      </w:r>
      <w:r w:rsidRPr="006675F9">
        <w:rPr>
          <w:shd w:val="clear" w:color="auto" w:fill="FFFFFF"/>
        </w:rPr>
        <w:t xml:space="preserve"> (inebilizumab-cdon) [package insert]. </w:t>
      </w:r>
      <w:r>
        <w:rPr>
          <w:shd w:val="clear" w:color="auto" w:fill="FFFFFF"/>
        </w:rPr>
        <w:t>Dublin, Ireland</w:t>
      </w:r>
      <w:r w:rsidRPr="006675F9">
        <w:rPr>
          <w:shd w:val="clear" w:color="auto" w:fill="FFFFFF"/>
        </w:rPr>
        <w:t xml:space="preserve">: </w:t>
      </w:r>
      <w:r>
        <w:rPr>
          <w:shd w:val="clear" w:color="auto" w:fill="FFFFFF"/>
        </w:rPr>
        <w:t>Horizon Therapeutics</w:t>
      </w:r>
      <w:r w:rsidRPr="006675F9">
        <w:rPr>
          <w:shd w:val="clear" w:color="auto" w:fill="FFFFFF"/>
        </w:rPr>
        <w:t xml:space="preserve">; </w:t>
      </w:r>
      <w:r w:rsidR="00B43610">
        <w:rPr>
          <w:shd w:val="clear" w:color="auto" w:fill="FFFFFF"/>
        </w:rPr>
        <w:t>December</w:t>
      </w:r>
      <w:r>
        <w:rPr>
          <w:shd w:val="clear" w:color="auto" w:fill="FFFFFF"/>
        </w:rPr>
        <w:t xml:space="preserve"> 2025</w:t>
      </w:r>
      <w:r w:rsidRPr="006675F9">
        <w:rPr>
          <w:shd w:val="clear" w:color="auto" w:fill="FFFFFF"/>
        </w:rPr>
        <w:t>.</w:t>
      </w:r>
    </w:p>
    <w:p w14:paraId="1151906C" w14:textId="416FFC9F" w:rsidR="000B6EE6" w:rsidRPr="00836BFF" w:rsidRDefault="000B6EE6" w:rsidP="000B6EE6">
      <w:pPr>
        <w:pStyle w:val="ListParagraph"/>
        <w:rPr>
          <w:shd w:val="clear" w:color="auto" w:fill="FFFFFF"/>
        </w:rPr>
      </w:pPr>
      <w:r w:rsidRPr="00836BFF">
        <w:rPr>
          <w:shd w:val="clear" w:color="auto" w:fill="FFFFFF"/>
        </w:rPr>
        <w:t xml:space="preserve">Rystiggo [package insert]. Smyrna, GA: UCB, Inc.; </w:t>
      </w:r>
      <w:r w:rsidR="00BA6FCE">
        <w:rPr>
          <w:shd w:val="clear" w:color="auto" w:fill="FFFFFF"/>
        </w:rPr>
        <w:t>December 2025</w:t>
      </w:r>
      <w:r w:rsidRPr="00836BFF">
        <w:rPr>
          <w:shd w:val="clear" w:color="auto" w:fill="FFFFFF"/>
        </w:rPr>
        <w:t>.</w:t>
      </w:r>
    </w:p>
    <w:p w14:paraId="534F6A8B" w14:textId="2B89923D" w:rsidR="009F0198" w:rsidRPr="006675F9" w:rsidRDefault="009F0198" w:rsidP="009F0198">
      <w:pPr>
        <w:pStyle w:val="ListParagraph"/>
        <w:rPr>
          <w:shd w:val="clear" w:color="auto" w:fill="FFFFFF"/>
        </w:rPr>
      </w:pPr>
      <w:r w:rsidRPr="006675F9">
        <w:rPr>
          <w:shd w:val="clear" w:color="auto" w:fill="FFFFFF"/>
        </w:rPr>
        <w:t>IPD Analytics. New Drug Review: Uplizna (inebilizumab-cdon)</w:t>
      </w:r>
      <w:r w:rsidRPr="006675F9" w:rsidDel="005A5E7D">
        <w:rPr>
          <w:shd w:val="clear" w:color="auto" w:fill="FFFFFF"/>
        </w:rPr>
        <w:t xml:space="preserve">. </w:t>
      </w:r>
      <w:r w:rsidRPr="006675F9">
        <w:rPr>
          <w:shd w:val="clear" w:color="auto" w:fill="FFFFFF"/>
        </w:rPr>
        <w:t>June 2020.</w:t>
      </w:r>
    </w:p>
    <w:p w14:paraId="011E2EF8" w14:textId="77777777" w:rsidR="000B6EE6" w:rsidRPr="00836BFF" w:rsidRDefault="000B6EE6" w:rsidP="000B6EE6">
      <w:pPr>
        <w:pStyle w:val="ListParagraph"/>
        <w:rPr>
          <w:shd w:val="clear" w:color="auto" w:fill="FFFFFF"/>
        </w:rPr>
      </w:pPr>
      <w:r w:rsidRPr="00836BFF">
        <w:rPr>
          <w:shd w:val="clear" w:color="auto" w:fill="FFFFFF"/>
        </w:rPr>
        <w:t>IPD Analytics: New Drug Review: Vyvgart (efgartigimod alfa-fcab). January 2022.</w:t>
      </w:r>
    </w:p>
    <w:p w14:paraId="7DFC8840" w14:textId="77777777" w:rsidR="000B6EE6" w:rsidRPr="00836BFF" w:rsidRDefault="000B6EE6" w:rsidP="000B6EE6">
      <w:pPr>
        <w:pStyle w:val="ListParagraph"/>
        <w:rPr>
          <w:shd w:val="clear" w:color="auto" w:fill="FFFFFF"/>
        </w:rPr>
      </w:pPr>
      <w:r w:rsidRPr="00836BFF">
        <w:rPr>
          <w:shd w:val="clear" w:color="auto" w:fill="FFFFFF"/>
        </w:rPr>
        <w:t>IPD Analytics. New Drug Review. Vyvgart Hytrulo (efgartigimod alfa and</w:t>
      </w:r>
    </w:p>
    <w:p w14:paraId="5C040D3D" w14:textId="77777777" w:rsidR="000B6EE6" w:rsidRPr="00836BFF" w:rsidRDefault="000B6EE6" w:rsidP="00B3716F">
      <w:pPr>
        <w:pStyle w:val="ListParagraph"/>
        <w:numPr>
          <w:ilvl w:val="0"/>
          <w:numId w:val="0"/>
        </w:numPr>
        <w:ind w:left="360"/>
        <w:rPr>
          <w:shd w:val="clear" w:color="auto" w:fill="FFFFFF"/>
        </w:rPr>
      </w:pPr>
      <w:r w:rsidRPr="00836BFF">
        <w:rPr>
          <w:shd w:val="clear" w:color="auto" w:fill="FFFFFF"/>
        </w:rPr>
        <w:t>hyaluronidase-qvfc). July 2023.</w:t>
      </w:r>
    </w:p>
    <w:p w14:paraId="227CCAA2" w14:textId="77777777" w:rsidR="000B6EE6" w:rsidRPr="00836BFF" w:rsidRDefault="000B6EE6" w:rsidP="000B6EE6">
      <w:pPr>
        <w:pStyle w:val="ListParagraph"/>
        <w:rPr>
          <w:shd w:val="clear" w:color="auto" w:fill="FFFFFF"/>
        </w:rPr>
      </w:pPr>
      <w:r w:rsidRPr="00836BFF">
        <w:rPr>
          <w:shd w:val="clear" w:color="auto" w:fill="FFFFFF"/>
        </w:rPr>
        <w:t xml:space="preserve">IPD Analytics. New Drug Review. Rystiggo (rozanolixizumab-noli). August 2023. </w:t>
      </w:r>
    </w:p>
    <w:p w14:paraId="10ED3D28" w14:textId="7B6FEBC7" w:rsidR="00390CBF" w:rsidRPr="00836BFF" w:rsidRDefault="00390CBF" w:rsidP="00390CBF">
      <w:pPr>
        <w:pStyle w:val="ListParagraph"/>
        <w:rPr>
          <w:shd w:val="clear" w:color="auto" w:fill="FFFFFF"/>
        </w:rPr>
      </w:pPr>
      <w:r w:rsidRPr="00836BFF">
        <w:rPr>
          <w:shd w:val="clear" w:color="auto" w:fill="FFFFFF"/>
        </w:rPr>
        <w:t xml:space="preserve">IPD Analytics. New Drug Review. </w:t>
      </w:r>
      <w:r>
        <w:rPr>
          <w:shd w:val="clear" w:color="auto" w:fill="FFFFFF"/>
        </w:rPr>
        <w:t>Imaavy</w:t>
      </w:r>
      <w:r w:rsidRPr="00836BFF">
        <w:rPr>
          <w:shd w:val="clear" w:color="auto" w:fill="FFFFFF"/>
        </w:rPr>
        <w:t xml:space="preserve"> (</w:t>
      </w:r>
      <w:r>
        <w:rPr>
          <w:shd w:val="clear" w:color="auto" w:fill="FFFFFF"/>
        </w:rPr>
        <w:t>nipocalimab-aahu</w:t>
      </w:r>
      <w:r w:rsidRPr="00836BFF">
        <w:rPr>
          <w:shd w:val="clear" w:color="auto" w:fill="FFFFFF"/>
        </w:rPr>
        <w:t xml:space="preserve">). </w:t>
      </w:r>
      <w:r w:rsidR="00A41ACE">
        <w:rPr>
          <w:shd w:val="clear" w:color="auto" w:fill="FFFFFF"/>
        </w:rPr>
        <w:t>May 2025</w:t>
      </w:r>
      <w:r w:rsidRPr="00836BFF">
        <w:rPr>
          <w:shd w:val="clear" w:color="auto" w:fill="FFFFFF"/>
        </w:rPr>
        <w:t xml:space="preserve">. </w:t>
      </w:r>
    </w:p>
    <w:p w14:paraId="28766ACA" w14:textId="32FE787C" w:rsidR="000B6EE6" w:rsidRPr="00836BFF" w:rsidRDefault="000B6EE6" w:rsidP="000B6EE6">
      <w:pPr>
        <w:pStyle w:val="ListParagraph"/>
        <w:rPr>
          <w:shd w:val="clear" w:color="auto" w:fill="FFFFFF"/>
        </w:rPr>
      </w:pPr>
      <w:r w:rsidRPr="00836BFF">
        <w:rPr>
          <w:shd w:val="clear" w:color="auto" w:fill="FFFFFF"/>
        </w:rPr>
        <w:t>Narayanaswami P, Sanders DB, Wolfe G, et al. International Consensus Guidance for Management of Myasthenia Gravis: 2020 Update. Neurology. 2021;96(3):114-122. doi:10.1212/WNL.0000000000011124.</w:t>
      </w:r>
    </w:p>
    <w:p w14:paraId="61EB9B3A" w14:textId="77777777" w:rsidR="000B6EE6" w:rsidRPr="00836BFF" w:rsidRDefault="000B6EE6" w:rsidP="000B6EE6">
      <w:pPr>
        <w:pStyle w:val="ListParagraph"/>
        <w:rPr>
          <w:rStyle w:val="Hyperlink"/>
          <w:rFonts w:cs="Arial"/>
          <w:color w:val="auto"/>
          <w:szCs w:val="20"/>
          <w:u w:val="none"/>
          <w:shd w:val="clear" w:color="auto" w:fill="FFFFFF"/>
        </w:rPr>
      </w:pPr>
      <w:r w:rsidRPr="00836BFF">
        <w:t>Farmakidis C, Pasnoor M, Dimachkie M, Barohn RJ. Treatment of Myasthenia Gravis. </w:t>
      </w:r>
      <w:r w:rsidRPr="00836BFF">
        <w:rPr>
          <w:i/>
          <w:iCs/>
        </w:rPr>
        <w:t>NeurolClin</w:t>
      </w:r>
      <w:r w:rsidRPr="00836BFF">
        <w:t>, 2018;</w:t>
      </w:r>
      <w:r w:rsidRPr="00836BFF">
        <w:rPr>
          <w:i/>
          <w:iCs/>
        </w:rPr>
        <w:t>36</w:t>
      </w:r>
      <w:r w:rsidRPr="00836BFF">
        <w:t xml:space="preserve">(2);311–337. </w:t>
      </w:r>
      <w:hyperlink r:id="rId13" w:history="1">
        <w:r w:rsidRPr="00836BFF">
          <w:rPr>
            <w:rStyle w:val="Hyperlink"/>
            <w:rFonts w:cs="Arial"/>
            <w:szCs w:val="20"/>
          </w:rPr>
          <w:t>https://doi.org/10.1016/j.ncl.2018.01.011</w:t>
        </w:r>
      </w:hyperlink>
    </w:p>
    <w:p w14:paraId="26AEE3BA" w14:textId="77777777" w:rsidR="000B6EE6" w:rsidRPr="00836BFF" w:rsidRDefault="000B6EE6" w:rsidP="000B6EE6">
      <w:pPr>
        <w:pStyle w:val="ListParagraph"/>
        <w:rPr>
          <w:rStyle w:val="Hyperlink"/>
          <w:rFonts w:cs="Arial"/>
          <w:color w:val="auto"/>
          <w:szCs w:val="20"/>
          <w:u w:val="none"/>
          <w:shd w:val="clear" w:color="auto" w:fill="FFFFFF"/>
        </w:rPr>
      </w:pPr>
      <w:r w:rsidRPr="00836BFF">
        <w:t>Lascano AM, Lalive PH. Update in immunosuppressive therapy of myasthenia gravis. </w:t>
      </w:r>
      <w:r w:rsidRPr="00836BFF">
        <w:rPr>
          <w:i/>
          <w:iCs/>
        </w:rPr>
        <w:t>AutoimmunRev</w:t>
      </w:r>
      <w:r w:rsidRPr="00836BFF">
        <w:t>, 2021;</w:t>
      </w:r>
      <w:r w:rsidRPr="00836BFF">
        <w:rPr>
          <w:i/>
          <w:iCs/>
        </w:rPr>
        <w:t>20</w:t>
      </w:r>
      <w:r w:rsidRPr="00836BFF">
        <w:t xml:space="preserve">(1);102712. </w:t>
      </w:r>
      <w:hyperlink r:id="rId14" w:history="1">
        <w:r w:rsidRPr="00836BFF">
          <w:rPr>
            <w:rStyle w:val="Hyperlink"/>
            <w:rFonts w:cs="Arial"/>
            <w:szCs w:val="20"/>
          </w:rPr>
          <w:t>https://doi.org/10.1016/j.autrev.2020.102712</w:t>
        </w:r>
      </w:hyperlink>
    </w:p>
    <w:p w14:paraId="3FA1E7DB" w14:textId="1E632061" w:rsidR="00777CA4" w:rsidRDefault="000B6EE6" w:rsidP="000B6EE6">
      <w:pPr>
        <w:pStyle w:val="ListParagraph"/>
      </w:pPr>
      <w:r w:rsidRPr="00836BFF">
        <w:rPr>
          <w:shd w:val="clear" w:color="auto" w:fill="FFFFFF"/>
        </w:rPr>
        <w:t>Lewis RA, Muley SA. Chronic inflammatory demyelinating polyneuropathy: Treatment and prognosis. UpToDate. https://www.uptodate.com/contents/chronic-inflammatory-demyelinating-polyneuropathy-treatment-and-prognosis. Updated January 2025. Accessed June 12, 2025</w:t>
      </w:r>
      <w:r w:rsidR="00777CA4">
        <w:t>.</w:t>
      </w:r>
    </w:p>
    <w:sectPr w:rsidR="00777CA4" w:rsidSect="00AB0B9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2240" w:h="15840"/>
      <w:pgMar w:top="1440" w:right="1440" w:bottom="1440" w:left="1440" w:header="432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5E728" w14:textId="77777777" w:rsidR="00F37DD0" w:rsidRPr="00C02553" w:rsidRDefault="00F37DD0" w:rsidP="00AE77DB">
      <w:r w:rsidRPr="00C02553">
        <w:separator/>
      </w:r>
    </w:p>
  </w:endnote>
  <w:endnote w:type="continuationSeparator" w:id="0">
    <w:p w14:paraId="1357A856" w14:textId="77777777" w:rsidR="00F37DD0" w:rsidRPr="00C02553" w:rsidRDefault="00F37DD0" w:rsidP="00AE77DB">
      <w:r w:rsidRPr="00C02553">
        <w:continuationSeparator/>
      </w:r>
    </w:p>
  </w:endnote>
  <w:endnote w:type="continuationNotice" w:id="1">
    <w:p w14:paraId="7E9E49FF" w14:textId="77777777" w:rsidR="00F37DD0" w:rsidRPr="00C02553" w:rsidRDefault="00F37D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EC" w14:textId="77777777" w:rsidR="00006A61" w:rsidRPr="00C02553" w:rsidRDefault="00006A61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 w:rsidRPr="00C02553">
      <w:rPr>
        <w:rStyle w:val="PageNumber"/>
        <w:rFonts w:ascii="Times New Roman" w:hAnsi="Times New Roman"/>
      </w:rPr>
      <w:fldChar w:fldCharType="begin"/>
    </w:r>
    <w:r w:rsidRPr="00C02553">
      <w:rPr>
        <w:rStyle w:val="PageNumber"/>
        <w:rFonts w:ascii="Times New Roman" w:hAnsi="Times New Roman"/>
      </w:rPr>
      <w:instrText xml:space="preserve">PAGE  </w:instrText>
    </w:r>
    <w:r w:rsidRPr="00C02553">
      <w:rPr>
        <w:rStyle w:val="PageNumber"/>
        <w:rFonts w:ascii="Times New Roman" w:hAnsi="Times New Roman"/>
      </w:rPr>
      <w:fldChar w:fldCharType="separate"/>
    </w:r>
    <w:r w:rsidRPr="00C02553">
      <w:rPr>
        <w:rStyle w:val="PageNumber"/>
        <w:rFonts w:ascii="Times New Roman" w:hAnsi="Times New Roman"/>
      </w:rPr>
      <w:t>2</w:t>
    </w:r>
    <w:r w:rsidRPr="00C02553">
      <w:rPr>
        <w:rStyle w:val="PageNumber"/>
        <w:rFonts w:ascii="Times New Roman" w:hAnsi="Times New Roman"/>
      </w:rPr>
      <w:fldChar w:fldCharType="end"/>
    </w:r>
  </w:p>
  <w:p w14:paraId="6413C0ED" w14:textId="77777777" w:rsidR="00006A61" w:rsidRPr="00C02553" w:rsidRDefault="00006A61">
    <w:pPr>
      <w:pStyle w:val="Footer"/>
      <w:ind w:right="360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77ECE" w14:textId="2F12D58C" w:rsidR="00811A70" w:rsidRPr="00C02553" w:rsidRDefault="00811A70" w:rsidP="00811A70">
    <w:pPr>
      <w:pStyle w:val="Footer"/>
      <w:tabs>
        <w:tab w:val="clear" w:pos="8640"/>
        <w:tab w:val="right" w:pos="9360"/>
      </w:tabs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 xml:space="preserve">SmartPA </w:t>
    </w:r>
    <w:r w:rsidR="00AE27F9">
      <w:rPr>
        <w:rFonts w:cs="Arial"/>
        <w:sz w:val="16"/>
        <w:szCs w:val="16"/>
      </w:rPr>
      <w:t>Clinical</w:t>
    </w:r>
    <w:r w:rsidRPr="00C02553">
      <w:rPr>
        <w:rFonts w:cs="Arial"/>
        <w:sz w:val="16"/>
        <w:szCs w:val="16"/>
      </w:rPr>
      <w:t xml:space="preserve"> Proposal Form</w:t>
    </w:r>
  </w:p>
  <w:p w14:paraId="64986366" w14:textId="56923C2A" w:rsidR="00811A70" w:rsidRPr="00C02553" w:rsidRDefault="00811A70" w:rsidP="00811A70">
    <w:pPr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>© 202</w:t>
    </w:r>
    <w:r w:rsidR="0066374F">
      <w:rPr>
        <w:rFonts w:cs="Arial"/>
        <w:sz w:val="16"/>
        <w:szCs w:val="16"/>
      </w:rPr>
      <w:t>6</w:t>
    </w:r>
    <w:r w:rsidRPr="00C02553">
      <w:rPr>
        <w:rFonts w:cs="Arial"/>
        <w:sz w:val="16"/>
        <w:szCs w:val="16"/>
      </w:rPr>
      <w:t xml:space="preserve"> Conduent Business Services, LLC. All rights reserved. Conduent™ and Conduent Design™ are trademarks of Conduent Business Services, LLC in the United States and/or other countries.</w:t>
    </w:r>
  </w:p>
  <w:p w14:paraId="55B904FD" w14:textId="452A3398" w:rsidR="00811A70" w:rsidRPr="00C02553" w:rsidRDefault="00811A70" w:rsidP="00811A70">
    <w:pPr>
      <w:pStyle w:val="Footer"/>
    </w:pPr>
    <w:r w:rsidRPr="00C02553">
      <w:rPr>
        <w:rFonts w:cs="Arial"/>
        <w:sz w:val="16"/>
        <w:szCs w:val="16"/>
      </w:rPr>
      <w:t>Other company trademarks are also acknowledged.</w:t>
    </w:r>
  </w:p>
  <w:sdt>
    <w:sdtPr>
      <w:id w:val="-1253112024"/>
      <w:docPartObj>
        <w:docPartGallery w:val="Page Numbers (Bottom of Page)"/>
        <w:docPartUnique/>
      </w:docPartObj>
    </w:sdtPr>
    <w:sdtEndPr/>
    <w:sdtContent>
      <w:p w14:paraId="6B0566A7" w14:textId="62FB1748" w:rsidR="00811A70" w:rsidRPr="00C02553" w:rsidRDefault="00811A70">
        <w:pPr>
          <w:pStyle w:val="Footer"/>
          <w:jc w:val="right"/>
        </w:pPr>
        <w:r w:rsidRPr="00C02553">
          <w:fldChar w:fldCharType="begin"/>
        </w:r>
        <w:r w:rsidRPr="00C02553">
          <w:instrText xml:space="preserve"> PAGE   \* MERGEFORMAT </w:instrText>
        </w:r>
        <w:r w:rsidRPr="00C02553">
          <w:fldChar w:fldCharType="separate"/>
        </w:r>
        <w:r w:rsidRPr="00C02553">
          <w:t>2</w:t>
        </w:r>
        <w:r w:rsidRPr="00C02553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132A3" w14:textId="7267A10D" w:rsidR="005058CB" w:rsidRPr="00C02553" w:rsidRDefault="005058CB" w:rsidP="005058CB">
    <w:pPr>
      <w:pStyle w:val="Footer"/>
      <w:tabs>
        <w:tab w:val="clear" w:pos="8640"/>
        <w:tab w:val="right" w:pos="9360"/>
      </w:tabs>
      <w:jc w:val="both"/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>SmartPA</w:t>
    </w:r>
    <w:r w:rsidR="00AE27F9">
      <w:rPr>
        <w:rFonts w:cs="Arial"/>
        <w:sz w:val="16"/>
        <w:szCs w:val="16"/>
      </w:rPr>
      <w:t xml:space="preserve"> Clinical</w:t>
    </w:r>
    <w:r w:rsidRPr="00C02553">
      <w:rPr>
        <w:rFonts w:cs="Arial"/>
        <w:sz w:val="16"/>
        <w:szCs w:val="16"/>
      </w:rPr>
      <w:t xml:space="preserve"> Proposal Form</w:t>
    </w:r>
  </w:p>
  <w:p w14:paraId="4BB04B71" w14:textId="6D51E804" w:rsidR="005058CB" w:rsidRPr="00C02553" w:rsidRDefault="005058CB" w:rsidP="005058CB">
    <w:pPr>
      <w:jc w:val="both"/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>© 202</w:t>
    </w:r>
    <w:r w:rsidR="0066374F">
      <w:rPr>
        <w:rFonts w:cs="Arial"/>
        <w:sz w:val="16"/>
        <w:szCs w:val="16"/>
      </w:rPr>
      <w:t>6</w:t>
    </w:r>
    <w:r w:rsidRPr="00C02553">
      <w:rPr>
        <w:rFonts w:cs="Arial"/>
        <w:sz w:val="16"/>
        <w:szCs w:val="16"/>
      </w:rPr>
      <w:t xml:space="preserve"> Conduent Business Services, LLC. All rights reserved. Conduent™ and Conduent Design™ are trademarks of Conduent Business Services, LLC in the United States and/or other countries.</w:t>
    </w:r>
  </w:p>
  <w:p w14:paraId="02F12BA7" w14:textId="454AF8AF" w:rsidR="005058CB" w:rsidRPr="00C02553" w:rsidRDefault="005058CB" w:rsidP="005058CB">
    <w:pPr>
      <w:pStyle w:val="Footer"/>
      <w:tabs>
        <w:tab w:val="clear" w:pos="4320"/>
        <w:tab w:val="clear" w:pos="8640"/>
        <w:tab w:val="left" w:pos="3298"/>
      </w:tabs>
      <w:jc w:val="both"/>
    </w:pPr>
    <w:r w:rsidRPr="00C02553">
      <w:rPr>
        <w:rFonts w:cs="Arial"/>
        <w:sz w:val="16"/>
        <w:szCs w:val="16"/>
      </w:rPr>
      <w:t>Other company trademarks are also acknowledged.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45788" w14:textId="77777777" w:rsidR="00F37DD0" w:rsidRPr="00C02553" w:rsidRDefault="00F37DD0" w:rsidP="00AE77DB">
      <w:r w:rsidRPr="00C02553">
        <w:separator/>
      </w:r>
    </w:p>
  </w:footnote>
  <w:footnote w:type="continuationSeparator" w:id="0">
    <w:p w14:paraId="65C64313" w14:textId="77777777" w:rsidR="00F37DD0" w:rsidRPr="00C02553" w:rsidRDefault="00F37DD0" w:rsidP="00AE77DB">
      <w:r w:rsidRPr="00C02553">
        <w:continuationSeparator/>
      </w:r>
    </w:p>
  </w:footnote>
  <w:footnote w:type="continuationNotice" w:id="1">
    <w:p w14:paraId="09A12D3E" w14:textId="77777777" w:rsidR="00F37DD0" w:rsidRPr="00C02553" w:rsidRDefault="00F37D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EA" w14:textId="379CBC0E" w:rsidR="00006A61" w:rsidRPr="00C02553" w:rsidRDefault="00E3093B">
    <w:pPr>
      <w:pStyle w:val="Head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noProof/>
      </w:rPr>
      <w:pict w14:anchorId="671F521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7688657" o:spid="_x0000_s1026" type="#_x0000_t136" style="position:absolute;margin-left:0;margin-top:0;width:471.3pt;height:188.5pt;rotation:315;z-index:-251658239;mso-position-horizontal:center;mso-position-horizontal-relative:margin;mso-position-vertical:center;mso-position-vertical-relative:margin" o:allowincell="f" fillcolor="#8db3e2 [1311]" stroked="f">
          <v:fill opacity=".5"/>
          <v:textpath style="font-family:&quot;Arial&quot;;font-size:1pt" string="DRAFT"/>
          <w10:wrap anchorx="margin" anchory="margin"/>
        </v:shape>
      </w:pict>
    </w:r>
    <w:r w:rsidR="00006A61" w:rsidRPr="00C02553">
      <w:rPr>
        <w:rStyle w:val="PageNumber"/>
        <w:rFonts w:ascii="Times New Roman" w:hAnsi="Times New Roman"/>
      </w:rPr>
      <w:fldChar w:fldCharType="begin"/>
    </w:r>
    <w:r w:rsidR="00006A61" w:rsidRPr="00C02553">
      <w:rPr>
        <w:rStyle w:val="PageNumber"/>
        <w:rFonts w:ascii="Times New Roman" w:hAnsi="Times New Roman"/>
      </w:rPr>
      <w:instrText xml:space="preserve">PAGE  </w:instrText>
    </w:r>
    <w:r w:rsidR="00006A61" w:rsidRPr="00C02553">
      <w:rPr>
        <w:rStyle w:val="PageNumber"/>
        <w:rFonts w:ascii="Times New Roman" w:hAnsi="Times New Roman"/>
      </w:rPr>
      <w:fldChar w:fldCharType="separate"/>
    </w:r>
    <w:r w:rsidR="00006A61" w:rsidRPr="00C02553">
      <w:rPr>
        <w:rStyle w:val="PageNumber"/>
        <w:rFonts w:ascii="Times New Roman" w:hAnsi="Times New Roman"/>
      </w:rPr>
      <w:t>2</w:t>
    </w:r>
    <w:r w:rsidR="00006A61" w:rsidRPr="00C02553">
      <w:rPr>
        <w:rStyle w:val="PageNumber"/>
        <w:rFonts w:ascii="Times New Roman" w:hAnsi="Times New Roman"/>
      </w:rPr>
      <w:fldChar w:fldCharType="end"/>
    </w:r>
  </w:p>
  <w:p w14:paraId="6413C0EB" w14:textId="77777777" w:rsidR="00006A61" w:rsidRPr="00C02553" w:rsidRDefault="00006A61">
    <w:pPr>
      <w:pStyle w:val="Header"/>
      <w:ind w:right="360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B5C89" w14:textId="54C3FB2C" w:rsidR="00596936" w:rsidRDefault="00E3093B">
    <w:pPr>
      <w:pStyle w:val="Header"/>
    </w:pPr>
    <w:r>
      <w:rPr>
        <w:noProof/>
      </w:rPr>
      <w:pict w14:anchorId="3B660B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7688658" o:spid="_x0000_s1027" type="#_x0000_t136" style="position:absolute;margin-left:0;margin-top:0;width:471.3pt;height:188.5pt;rotation:315;z-index:-251658238;mso-position-horizontal:center;mso-position-horizontal-relative:margin;mso-position-vertical:center;mso-position-vertical-relative:margin" o:allowincell="f" fillcolor="#8db3e2 [1311]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F5" w14:textId="28841AA8" w:rsidR="00006A61" w:rsidRPr="00C02553" w:rsidRDefault="00AB0B9F">
    <w:pPr>
      <w:pStyle w:val="Header"/>
      <w:rPr>
        <w:rFonts w:ascii="Times New Roman" w:hAnsi="Times New Roman"/>
      </w:rPr>
    </w:pPr>
    <w:r w:rsidRPr="00C02553">
      <w:rPr>
        <w:noProof/>
      </w:rPr>
      <w:drawing>
        <wp:anchor distT="0" distB="0" distL="114300" distR="114300" simplePos="0" relativeHeight="251658243" behindDoc="0" locked="0" layoutInCell="1" allowOverlap="1" wp14:anchorId="5FC91FEB" wp14:editId="34B93FD0">
          <wp:simplePos x="0" y="0"/>
          <wp:positionH relativeFrom="margin">
            <wp:posOffset>3844562</wp:posOffset>
          </wp:positionH>
          <wp:positionV relativeFrom="topMargin">
            <wp:posOffset>280035</wp:posOffset>
          </wp:positionV>
          <wp:extent cx="2247900" cy="823595"/>
          <wp:effectExtent l="0" t="0" r="0" b="0"/>
          <wp:wrapNone/>
          <wp:docPr id="1097982338" name="Picture 109798233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982338" name="Picture 109798233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900" cy="82359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dec="http://schemas.microsoft.com/office/drawing/2017/decorative"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2053">
      <w:rPr>
        <w:noProof/>
      </w:rPr>
      <w:drawing>
        <wp:inline distT="0" distB="0" distL="0" distR="0" wp14:anchorId="7324E1DB" wp14:editId="55411647">
          <wp:extent cx="2887345" cy="937260"/>
          <wp:effectExtent l="0" t="0" r="8255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7345" cy="937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3093B">
      <w:rPr>
        <w:noProof/>
      </w:rPr>
      <w:pict w14:anchorId="29885B3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7688656" o:spid="_x0000_s1025" type="#_x0000_t136" style="position:absolute;margin-left:0;margin-top:0;width:471.3pt;height:188.5pt;rotation:315;z-index:-251658240;mso-position-horizontal:center;mso-position-horizontal-relative:margin;mso-position-vertical:center;mso-position-vertical-relative:margin" o:allowincell="f" fillcolor="#8db3e2 [1311]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2EB0A36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9E4FE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C9D228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4E114E"/>
    <w:multiLevelType w:val="multilevel"/>
    <w:tmpl w:val="0409001D"/>
    <w:styleLink w:val="ProposalCriteri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48D40C3"/>
    <w:multiLevelType w:val="multilevel"/>
    <w:tmpl w:val="E1A2A51C"/>
    <w:numStyleLink w:val="References"/>
  </w:abstractNum>
  <w:abstractNum w:abstractNumId="5" w15:restartNumberingAfterBreak="0">
    <w:nsid w:val="0DCD1C09"/>
    <w:multiLevelType w:val="hybridMultilevel"/>
    <w:tmpl w:val="5B4862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324CB2"/>
    <w:multiLevelType w:val="hybridMultilevel"/>
    <w:tmpl w:val="3D02C9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040D15"/>
    <w:multiLevelType w:val="hybridMultilevel"/>
    <w:tmpl w:val="EF7A9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D006A3"/>
    <w:multiLevelType w:val="multilevel"/>
    <w:tmpl w:val="0409001D"/>
    <w:styleLink w:val="ProposalCriteri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6F300EA"/>
    <w:multiLevelType w:val="multilevel"/>
    <w:tmpl w:val="7604E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3603DE"/>
    <w:multiLevelType w:val="multilevel"/>
    <w:tmpl w:val="308A6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CC27D0"/>
    <w:multiLevelType w:val="multilevel"/>
    <w:tmpl w:val="0409001D"/>
    <w:styleLink w:val="ListProposal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AF357E0"/>
    <w:multiLevelType w:val="hybridMultilevel"/>
    <w:tmpl w:val="EC8085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53A4A"/>
    <w:multiLevelType w:val="multilevel"/>
    <w:tmpl w:val="DAD48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8538EC"/>
    <w:multiLevelType w:val="hybridMultilevel"/>
    <w:tmpl w:val="5F84E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C12ECC"/>
    <w:multiLevelType w:val="hybridMultilevel"/>
    <w:tmpl w:val="E78ECE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2B1329"/>
    <w:multiLevelType w:val="multilevel"/>
    <w:tmpl w:val="7B304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2AB37B0"/>
    <w:multiLevelType w:val="hybridMultilevel"/>
    <w:tmpl w:val="356E10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0112A3E"/>
    <w:multiLevelType w:val="multilevel"/>
    <w:tmpl w:val="DDB4D214"/>
    <w:lvl w:ilvl="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0F4489F"/>
    <w:multiLevelType w:val="hybridMultilevel"/>
    <w:tmpl w:val="64DA68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4817EC3"/>
    <w:multiLevelType w:val="hybridMultilevel"/>
    <w:tmpl w:val="F5E632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67A1578"/>
    <w:multiLevelType w:val="multilevel"/>
    <w:tmpl w:val="82928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E70934"/>
    <w:multiLevelType w:val="hybridMultilevel"/>
    <w:tmpl w:val="FDAC3E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4064CF6"/>
    <w:multiLevelType w:val="hybridMultilevel"/>
    <w:tmpl w:val="8D847A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65727F5"/>
    <w:multiLevelType w:val="multilevel"/>
    <w:tmpl w:val="5AF01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6A5174"/>
    <w:multiLevelType w:val="multilevel"/>
    <w:tmpl w:val="E1A2A51C"/>
    <w:styleLink w:val="Reference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B51389F"/>
    <w:multiLevelType w:val="multilevel"/>
    <w:tmpl w:val="DCA2E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AE72DC"/>
    <w:multiLevelType w:val="multilevel"/>
    <w:tmpl w:val="43E04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7994657">
    <w:abstractNumId w:val="0"/>
  </w:num>
  <w:num w:numId="2" w16cid:durableId="517891239">
    <w:abstractNumId w:val="25"/>
  </w:num>
  <w:num w:numId="3" w16cid:durableId="1729067566">
    <w:abstractNumId w:val="4"/>
  </w:num>
  <w:num w:numId="4" w16cid:durableId="320159068">
    <w:abstractNumId w:val="11"/>
  </w:num>
  <w:num w:numId="5" w16cid:durableId="1769498754">
    <w:abstractNumId w:val="3"/>
  </w:num>
  <w:num w:numId="6" w16cid:durableId="1094596320">
    <w:abstractNumId w:val="18"/>
  </w:num>
  <w:num w:numId="7" w16cid:durableId="2110008555">
    <w:abstractNumId w:val="2"/>
  </w:num>
  <w:num w:numId="8" w16cid:durableId="489712751">
    <w:abstractNumId w:val="8"/>
  </w:num>
  <w:num w:numId="9" w16cid:durableId="1085147965">
    <w:abstractNumId w:val="14"/>
  </w:num>
  <w:num w:numId="10" w16cid:durableId="917518096">
    <w:abstractNumId w:val="12"/>
  </w:num>
  <w:num w:numId="11" w16cid:durableId="1894998475">
    <w:abstractNumId w:val="1"/>
  </w:num>
  <w:num w:numId="12" w16cid:durableId="1418215296">
    <w:abstractNumId w:val="22"/>
  </w:num>
  <w:num w:numId="13" w16cid:durableId="604729665">
    <w:abstractNumId w:val="7"/>
  </w:num>
  <w:num w:numId="14" w16cid:durableId="1805081292">
    <w:abstractNumId w:val="16"/>
  </w:num>
  <w:num w:numId="15" w16cid:durableId="1538271233">
    <w:abstractNumId w:val="19"/>
  </w:num>
  <w:num w:numId="16" w16cid:durableId="754521697">
    <w:abstractNumId w:val="5"/>
  </w:num>
  <w:num w:numId="17" w16cid:durableId="1650786804">
    <w:abstractNumId w:val="6"/>
  </w:num>
  <w:num w:numId="18" w16cid:durableId="1388915520">
    <w:abstractNumId w:val="17"/>
  </w:num>
  <w:num w:numId="19" w16cid:durableId="657195424">
    <w:abstractNumId w:val="23"/>
  </w:num>
  <w:num w:numId="20" w16cid:durableId="245579271">
    <w:abstractNumId w:val="15"/>
  </w:num>
  <w:num w:numId="21" w16cid:durableId="747658549">
    <w:abstractNumId w:val="9"/>
  </w:num>
  <w:num w:numId="22" w16cid:durableId="1218930463">
    <w:abstractNumId w:val="27"/>
  </w:num>
  <w:num w:numId="23" w16cid:durableId="438108555">
    <w:abstractNumId w:val="21"/>
  </w:num>
  <w:num w:numId="24" w16cid:durableId="226301680">
    <w:abstractNumId w:val="10"/>
  </w:num>
  <w:num w:numId="25" w16cid:durableId="191111096">
    <w:abstractNumId w:val="24"/>
  </w:num>
  <w:num w:numId="26" w16cid:durableId="958995015">
    <w:abstractNumId w:val="26"/>
  </w:num>
  <w:num w:numId="27" w16cid:durableId="1048651008">
    <w:abstractNumId w:val="13"/>
  </w:num>
  <w:num w:numId="28" w16cid:durableId="1793592194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edit="readOnly" w:formatting="1" w:enforcement="1" w:cryptProviderType="rsaAES" w:cryptAlgorithmClass="hash" w:cryptAlgorithmType="typeAny" w:cryptAlgorithmSid="14" w:cryptSpinCount="100000" w:hash="vE1ffr1SMjg2tcOvEHPdxmYnF876fGvXomnTmfMoEVeFMhs8VWh8YrpJ3WP93lXSLLTrueZHXeXdgwbWV41NkA==" w:salt="TNtK52VY01G4O3kcRsPEwg==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7DB"/>
    <w:rsid w:val="0000390A"/>
    <w:rsid w:val="0000457E"/>
    <w:rsid w:val="00006A61"/>
    <w:rsid w:val="000128A7"/>
    <w:rsid w:val="0001487D"/>
    <w:rsid w:val="000249F4"/>
    <w:rsid w:val="000276D9"/>
    <w:rsid w:val="000344C5"/>
    <w:rsid w:val="00034A71"/>
    <w:rsid w:val="00035DD5"/>
    <w:rsid w:val="00040AD3"/>
    <w:rsid w:val="00040BD0"/>
    <w:rsid w:val="00043406"/>
    <w:rsid w:val="00044C08"/>
    <w:rsid w:val="00053807"/>
    <w:rsid w:val="000572E5"/>
    <w:rsid w:val="00057A4E"/>
    <w:rsid w:val="00057F84"/>
    <w:rsid w:val="00061541"/>
    <w:rsid w:val="00064162"/>
    <w:rsid w:val="00065C22"/>
    <w:rsid w:val="00066885"/>
    <w:rsid w:val="00066E50"/>
    <w:rsid w:val="00067845"/>
    <w:rsid w:val="0007386F"/>
    <w:rsid w:val="00074464"/>
    <w:rsid w:val="00076030"/>
    <w:rsid w:val="00082590"/>
    <w:rsid w:val="000913C3"/>
    <w:rsid w:val="000953B9"/>
    <w:rsid w:val="000A413B"/>
    <w:rsid w:val="000A4381"/>
    <w:rsid w:val="000A6279"/>
    <w:rsid w:val="000B496B"/>
    <w:rsid w:val="000B4D51"/>
    <w:rsid w:val="000B6C1F"/>
    <w:rsid w:val="000B6EE6"/>
    <w:rsid w:val="000C199E"/>
    <w:rsid w:val="000C3940"/>
    <w:rsid w:val="000C54AA"/>
    <w:rsid w:val="000C5992"/>
    <w:rsid w:val="000D4B1C"/>
    <w:rsid w:val="000D7048"/>
    <w:rsid w:val="000E1479"/>
    <w:rsid w:val="000E231E"/>
    <w:rsid w:val="000E247D"/>
    <w:rsid w:val="000E6B14"/>
    <w:rsid w:val="000E70D8"/>
    <w:rsid w:val="000F46E0"/>
    <w:rsid w:val="001062F6"/>
    <w:rsid w:val="00112FC7"/>
    <w:rsid w:val="001134C9"/>
    <w:rsid w:val="001142B9"/>
    <w:rsid w:val="00124BC2"/>
    <w:rsid w:val="00125F5F"/>
    <w:rsid w:val="00126951"/>
    <w:rsid w:val="00126B60"/>
    <w:rsid w:val="001273EB"/>
    <w:rsid w:val="00127EF6"/>
    <w:rsid w:val="00130E2D"/>
    <w:rsid w:val="001310AD"/>
    <w:rsid w:val="001314A5"/>
    <w:rsid w:val="00132C7F"/>
    <w:rsid w:val="00134343"/>
    <w:rsid w:val="00144DBE"/>
    <w:rsid w:val="0014637C"/>
    <w:rsid w:val="00147862"/>
    <w:rsid w:val="00152C8B"/>
    <w:rsid w:val="0015636A"/>
    <w:rsid w:val="00172053"/>
    <w:rsid w:val="00177A80"/>
    <w:rsid w:val="0019273E"/>
    <w:rsid w:val="00195D84"/>
    <w:rsid w:val="001A3A9C"/>
    <w:rsid w:val="001A50CB"/>
    <w:rsid w:val="001A6187"/>
    <w:rsid w:val="001A74B7"/>
    <w:rsid w:val="001B2BA1"/>
    <w:rsid w:val="001B2D47"/>
    <w:rsid w:val="001C0250"/>
    <w:rsid w:val="001C6DA4"/>
    <w:rsid w:val="001C73B1"/>
    <w:rsid w:val="001D1E7D"/>
    <w:rsid w:val="001D6567"/>
    <w:rsid w:val="001E2CCB"/>
    <w:rsid w:val="001E4CBA"/>
    <w:rsid w:val="001E523C"/>
    <w:rsid w:val="001E61DF"/>
    <w:rsid w:val="001F2B9F"/>
    <w:rsid w:val="001F448C"/>
    <w:rsid w:val="001F52C2"/>
    <w:rsid w:val="001F5954"/>
    <w:rsid w:val="00202042"/>
    <w:rsid w:val="00202DD3"/>
    <w:rsid w:val="00205193"/>
    <w:rsid w:val="00205728"/>
    <w:rsid w:val="00206E7D"/>
    <w:rsid w:val="00210590"/>
    <w:rsid w:val="00213D87"/>
    <w:rsid w:val="00217E14"/>
    <w:rsid w:val="00217EFD"/>
    <w:rsid w:val="00222134"/>
    <w:rsid w:val="0022233F"/>
    <w:rsid w:val="00226275"/>
    <w:rsid w:val="00234897"/>
    <w:rsid w:val="00246564"/>
    <w:rsid w:val="00246A3B"/>
    <w:rsid w:val="00252585"/>
    <w:rsid w:val="00255404"/>
    <w:rsid w:val="0025594F"/>
    <w:rsid w:val="002616C9"/>
    <w:rsid w:val="00270C5E"/>
    <w:rsid w:val="00271C90"/>
    <w:rsid w:val="002755F8"/>
    <w:rsid w:val="00290262"/>
    <w:rsid w:val="00290A03"/>
    <w:rsid w:val="0029159A"/>
    <w:rsid w:val="00291600"/>
    <w:rsid w:val="00292EDD"/>
    <w:rsid w:val="00293662"/>
    <w:rsid w:val="0029527C"/>
    <w:rsid w:val="002A02F4"/>
    <w:rsid w:val="002A5B7B"/>
    <w:rsid w:val="002C2C41"/>
    <w:rsid w:val="002C2C48"/>
    <w:rsid w:val="002C62E7"/>
    <w:rsid w:val="002D34CB"/>
    <w:rsid w:val="002E05E2"/>
    <w:rsid w:val="002E2DD6"/>
    <w:rsid w:val="002E3F28"/>
    <w:rsid w:val="002F0E52"/>
    <w:rsid w:val="002F2274"/>
    <w:rsid w:val="002F2405"/>
    <w:rsid w:val="002F690F"/>
    <w:rsid w:val="0030301F"/>
    <w:rsid w:val="00303B21"/>
    <w:rsid w:val="00305AB2"/>
    <w:rsid w:val="00313701"/>
    <w:rsid w:val="00314430"/>
    <w:rsid w:val="003149E4"/>
    <w:rsid w:val="00316188"/>
    <w:rsid w:val="003171AF"/>
    <w:rsid w:val="00317469"/>
    <w:rsid w:val="0032215C"/>
    <w:rsid w:val="0032567F"/>
    <w:rsid w:val="0032616B"/>
    <w:rsid w:val="003261D6"/>
    <w:rsid w:val="00326687"/>
    <w:rsid w:val="00326963"/>
    <w:rsid w:val="003271A5"/>
    <w:rsid w:val="0032724B"/>
    <w:rsid w:val="003275F9"/>
    <w:rsid w:val="00333F2A"/>
    <w:rsid w:val="003355AC"/>
    <w:rsid w:val="0033644D"/>
    <w:rsid w:val="00336891"/>
    <w:rsid w:val="00337C7C"/>
    <w:rsid w:val="00343D6B"/>
    <w:rsid w:val="003477D1"/>
    <w:rsid w:val="00347FB5"/>
    <w:rsid w:val="00351ED8"/>
    <w:rsid w:val="00355515"/>
    <w:rsid w:val="003608B5"/>
    <w:rsid w:val="003613AF"/>
    <w:rsid w:val="003663B5"/>
    <w:rsid w:val="0037210C"/>
    <w:rsid w:val="00372250"/>
    <w:rsid w:val="003742AA"/>
    <w:rsid w:val="003878C1"/>
    <w:rsid w:val="00387D49"/>
    <w:rsid w:val="00390CBF"/>
    <w:rsid w:val="00396676"/>
    <w:rsid w:val="00396C0B"/>
    <w:rsid w:val="003A630F"/>
    <w:rsid w:val="003B3958"/>
    <w:rsid w:val="003B4820"/>
    <w:rsid w:val="003B5F4B"/>
    <w:rsid w:val="003B682F"/>
    <w:rsid w:val="003B79AD"/>
    <w:rsid w:val="003C0272"/>
    <w:rsid w:val="003C53FC"/>
    <w:rsid w:val="003C7013"/>
    <w:rsid w:val="003D21E9"/>
    <w:rsid w:val="003D641B"/>
    <w:rsid w:val="003E4B14"/>
    <w:rsid w:val="003F227C"/>
    <w:rsid w:val="004023CC"/>
    <w:rsid w:val="00407564"/>
    <w:rsid w:val="0041045A"/>
    <w:rsid w:val="00411152"/>
    <w:rsid w:val="00413FA2"/>
    <w:rsid w:val="004156AA"/>
    <w:rsid w:val="00424D9D"/>
    <w:rsid w:val="00425362"/>
    <w:rsid w:val="004253A1"/>
    <w:rsid w:val="0043042F"/>
    <w:rsid w:val="004313B6"/>
    <w:rsid w:val="00432418"/>
    <w:rsid w:val="00433339"/>
    <w:rsid w:val="00435FAE"/>
    <w:rsid w:val="004377B6"/>
    <w:rsid w:val="00446BBC"/>
    <w:rsid w:val="004472C0"/>
    <w:rsid w:val="00450705"/>
    <w:rsid w:val="00451928"/>
    <w:rsid w:val="0045290A"/>
    <w:rsid w:val="00452F7C"/>
    <w:rsid w:val="00453243"/>
    <w:rsid w:val="00462497"/>
    <w:rsid w:val="0046618B"/>
    <w:rsid w:val="00483461"/>
    <w:rsid w:val="00484140"/>
    <w:rsid w:val="004857C1"/>
    <w:rsid w:val="0048608C"/>
    <w:rsid w:val="00486C21"/>
    <w:rsid w:val="00495A53"/>
    <w:rsid w:val="00496E57"/>
    <w:rsid w:val="004B0889"/>
    <w:rsid w:val="004B3E10"/>
    <w:rsid w:val="004B4BFB"/>
    <w:rsid w:val="004B4D03"/>
    <w:rsid w:val="004B6013"/>
    <w:rsid w:val="004B69C3"/>
    <w:rsid w:val="004C0F5D"/>
    <w:rsid w:val="004C375A"/>
    <w:rsid w:val="004C4954"/>
    <w:rsid w:val="004C5767"/>
    <w:rsid w:val="004C5C1A"/>
    <w:rsid w:val="004D4BF9"/>
    <w:rsid w:val="004D5322"/>
    <w:rsid w:val="004D78B0"/>
    <w:rsid w:val="004E59A0"/>
    <w:rsid w:val="004E611F"/>
    <w:rsid w:val="004F1F1C"/>
    <w:rsid w:val="004F2A79"/>
    <w:rsid w:val="004F4D37"/>
    <w:rsid w:val="00501A14"/>
    <w:rsid w:val="00501DE3"/>
    <w:rsid w:val="00502D7A"/>
    <w:rsid w:val="005058CB"/>
    <w:rsid w:val="0051044D"/>
    <w:rsid w:val="005139E4"/>
    <w:rsid w:val="00515075"/>
    <w:rsid w:val="00516E13"/>
    <w:rsid w:val="00520883"/>
    <w:rsid w:val="00520FE9"/>
    <w:rsid w:val="005233E7"/>
    <w:rsid w:val="00524A40"/>
    <w:rsid w:val="0052627B"/>
    <w:rsid w:val="005328B2"/>
    <w:rsid w:val="00535BD5"/>
    <w:rsid w:val="00537AC0"/>
    <w:rsid w:val="00540977"/>
    <w:rsid w:val="00542B1F"/>
    <w:rsid w:val="005451AE"/>
    <w:rsid w:val="00551668"/>
    <w:rsid w:val="00556796"/>
    <w:rsid w:val="005572D5"/>
    <w:rsid w:val="00561ED8"/>
    <w:rsid w:val="0056588E"/>
    <w:rsid w:val="00566BE4"/>
    <w:rsid w:val="00570D21"/>
    <w:rsid w:val="00573856"/>
    <w:rsid w:val="00576113"/>
    <w:rsid w:val="0057661B"/>
    <w:rsid w:val="005803FF"/>
    <w:rsid w:val="00580FDC"/>
    <w:rsid w:val="00590652"/>
    <w:rsid w:val="0059235F"/>
    <w:rsid w:val="00596936"/>
    <w:rsid w:val="005978B5"/>
    <w:rsid w:val="005A2F1E"/>
    <w:rsid w:val="005A4232"/>
    <w:rsid w:val="005A5E7D"/>
    <w:rsid w:val="005B148B"/>
    <w:rsid w:val="005B5A17"/>
    <w:rsid w:val="005C2D2C"/>
    <w:rsid w:val="005C3616"/>
    <w:rsid w:val="005D1B21"/>
    <w:rsid w:val="005D36B2"/>
    <w:rsid w:val="005D52E7"/>
    <w:rsid w:val="005D78B5"/>
    <w:rsid w:val="005E3572"/>
    <w:rsid w:val="005E45E4"/>
    <w:rsid w:val="005F0A81"/>
    <w:rsid w:val="005F0FCF"/>
    <w:rsid w:val="005F6436"/>
    <w:rsid w:val="0060042F"/>
    <w:rsid w:val="006008BC"/>
    <w:rsid w:val="00601B4A"/>
    <w:rsid w:val="00602CFD"/>
    <w:rsid w:val="0060595C"/>
    <w:rsid w:val="00606B55"/>
    <w:rsid w:val="00607DCA"/>
    <w:rsid w:val="00612A7B"/>
    <w:rsid w:val="00614AC6"/>
    <w:rsid w:val="0061524F"/>
    <w:rsid w:val="00615B38"/>
    <w:rsid w:val="00616E5E"/>
    <w:rsid w:val="006173A4"/>
    <w:rsid w:val="00617E50"/>
    <w:rsid w:val="006201F1"/>
    <w:rsid w:val="006205AD"/>
    <w:rsid w:val="00625C3A"/>
    <w:rsid w:val="00635DDB"/>
    <w:rsid w:val="0063745D"/>
    <w:rsid w:val="0064149A"/>
    <w:rsid w:val="00641502"/>
    <w:rsid w:val="00646DFE"/>
    <w:rsid w:val="00650530"/>
    <w:rsid w:val="00650C96"/>
    <w:rsid w:val="00653788"/>
    <w:rsid w:val="0065477F"/>
    <w:rsid w:val="006550B7"/>
    <w:rsid w:val="00656896"/>
    <w:rsid w:val="00657E1D"/>
    <w:rsid w:val="00661656"/>
    <w:rsid w:val="0066345B"/>
    <w:rsid w:val="0066374F"/>
    <w:rsid w:val="006721CB"/>
    <w:rsid w:val="00677C65"/>
    <w:rsid w:val="00690EE6"/>
    <w:rsid w:val="00693152"/>
    <w:rsid w:val="0069347D"/>
    <w:rsid w:val="00694FAE"/>
    <w:rsid w:val="006952A1"/>
    <w:rsid w:val="00696E3A"/>
    <w:rsid w:val="006A0834"/>
    <w:rsid w:val="006A4BBD"/>
    <w:rsid w:val="006A52F1"/>
    <w:rsid w:val="006B561D"/>
    <w:rsid w:val="006B6D5D"/>
    <w:rsid w:val="006C7134"/>
    <w:rsid w:val="006D2330"/>
    <w:rsid w:val="006E0F8B"/>
    <w:rsid w:val="006E12F7"/>
    <w:rsid w:val="006E18D5"/>
    <w:rsid w:val="006E29D7"/>
    <w:rsid w:val="006F2175"/>
    <w:rsid w:val="006F4087"/>
    <w:rsid w:val="006F7E88"/>
    <w:rsid w:val="00702A9C"/>
    <w:rsid w:val="007040EF"/>
    <w:rsid w:val="007068A4"/>
    <w:rsid w:val="00706BF4"/>
    <w:rsid w:val="00706D67"/>
    <w:rsid w:val="00710B03"/>
    <w:rsid w:val="00713052"/>
    <w:rsid w:val="00721367"/>
    <w:rsid w:val="00721587"/>
    <w:rsid w:val="007231FA"/>
    <w:rsid w:val="00725A3D"/>
    <w:rsid w:val="00732C67"/>
    <w:rsid w:val="00734418"/>
    <w:rsid w:val="00736302"/>
    <w:rsid w:val="007404FA"/>
    <w:rsid w:val="00757826"/>
    <w:rsid w:val="007632B7"/>
    <w:rsid w:val="0076382F"/>
    <w:rsid w:val="00765768"/>
    <w:rsid w:val="00765D10"/>
    <w:rsid w:val="00766AC8"/>
    <w:rsid w:val="00767486"/>
    <w:rsid w:val="0077070E"/>
    <w:rsid w:val="00770B7B"/>
    <w:rsid w:val="0077296A"/>
    <w:rsid w:val="00776B67"/>
    <w:rsid w:val="00777CA4"/>
    <w:rsid w:val="00792623"/>
    <w:rsid w:val="00792DF0"/>
    <w:rsid w:val="0079438F"/>
    <w:rsid w:val="00796C2A"/>
    <w:rsid w:val="007A3034"/>
    <w:rsid w:val="007A3630"/>
    <w:rsid w:val="007A527E"/>
    <w:rsid w:val="007A53E7"/>
    <w:rsid w:val="007A78F7"/>
    <w:rsid w:val="007B3333"/>
    <w:rsid w:val="007B379F"/>
    <w:rsid w:val="007B37D6"/>
    <w:rsid w:val="007B5D30"/>
    <w:rsid w:val="007C20DA"/>
    <w:rsid w:val="007C4A06"/>
    <w:rsid w:val="007C6A45"/>
    <w:rsid w:val="007D2920"/>
    <w:rsid w:val="007D42DD"/>
    <w:rsid w:val="007D5BED"/>
    <w:rsid w:val="007D67DE"/>
    <w:rsid w:val="007E2AE2"/>
    <w:rsid w:val="007E6A37"/>
    <w:rsid w:val="007F1774"/>
    <w:rsid w:val="007F605A"/>
    <w:rsid w:val="007F6915"/>
    <w:rsid w:val="008031B8"/>
    <w:rsid w:val="00804499"/>
    <w:rsid w:val="00811A70"/>
    <w:rsid w:val="008121F9"/>
    <w:rsid w:val="0081406E"/>
    <w:rsid w:val="00820752"/>
    <w:rsid w:val="00825540"/>
    <w:rsid w:val="00832211"/>
    <w:rsid w:val="008325F4"/>
    <w:rsid w:val="00832AC8"/>
    <w:rsid w:val="00840341"/>
    <w:rsid w:val="00844981"/>
    <w:rsid w:val="00846FA4"/>
    <w:rsid w:val="008524BA"/>
    <w:rsid w:val="00852B74"/>
    <w:rsid w:val="00856387"/>
    <w:rsid w:val="00856928"/>
    <w:rsid w:val="00865538"/>
    <w:rsid w:val="00866EE9"/>
    <w:rsid w:val="00867054"/>
    <w:rsid w:val="00870875"/>
    <w:rsid w:val="00875000"/>
    <w:rsid w:val="00877783"/>
    <w:rsid w:val="00880F49"/>
    <w:rsid w:val="0088225C"/>
    <w:rsid w:val="00884026"/>
    <w:rsid w:val="00884C78"/>
    <w:rsid w:val="008859E1"/>
    <w:rsid w:val="00885AF3"/>
    <w:rsid w:val="00896264"/>
    <w:rsid w:val="008A154D"/>
    <w:rsid w:val="008A5D88"/>
    <w:rsid w:val="008B2851"/>
    <w:rsid w:val="008B3526"/>
    <w:rsid w:val="008B3CAB"/>
    <w:rsid w:val="008C000E"/>
    <w:rsid w:val="008C3873"/>
    <w:rsid w:val="008C7C5C"/>
    <w:rsid w:val="008D0F2F"/>
    <w:rsid w:val="008D237F"/>
    <w:rsid w:val="008D6B05"/>
    <w:rsid w:val="008E7D2D"/>
    <w:rsid w:val="008F0AD4"/>
    <w:rsid w:val="008F44C0"/>
    <w:rsid w:val="008F5999"/>
    <w:rsid w:val="00903AD6"/>
    <w:rsid w:val="0090402A"/>
    <w:rsid w:val="00904D7A"/>
    <w:rsid w:val="009111A2"/>
    <w:rsid w:val="00912B70"/>
    <w:rsid w:val="00915332"/>
    <w:rsid w:val="0091721B"/>
    <w:rsid w:val="009204BB"/>
    <w:rsid w:val="009300CA"/>
    <w:rsid w:val="00932422"/>
    <w:rsid w:val="00933135"/>
    <w:rsid w:val="00935918"/>
    <w:rsid w:val="00935EC3"/>
    <w:rsid w:val="00942087"/>
    <w:rsid w:val="009443F9"/>
    <w:rsid w:val="00944AB2"/>
    <w:rsid w:val="00951097"/>
    <w:rsid w:val="00953C1E"/>
    <w:rsid w:val="0096210F"/>
    <w:rsid w:val="00962633"/>
    <w:rsid w:val="00963187"/>
    <w:rsid w:val="00963ACF"/>
    <w:rsid w:val="00963D1C"/>
    <w:rsid w:val="00964284"/>
    <w:rsid w:val="00965A07"/>
    <w:rsid w:val="0097028A"/>
    <w:rsid w:val="009722E5"/>
    <w:rsid w:val="00973BD6"/>
    <w:rsid w:val="00975A34"/>
    <w:rsid w:val="00984549"/>
    <w:rsid w:val="00985D28"/>
    <w:rsid w:val="00991BF0"/>
    <w:rsid w:val="00996B6A"/>
    <w:rsid w:val="009A09AD"/>
    <w:rsid w:val="009A0FB1"/>
    <w:rsid w:val="009A1FAC"/>
    <w:rsid w:val="009A4884"/>
    <w:rsid w:val="009B001A"/>
    <w:rsid w:val="009B1A62"/>
    <w:rsid w:val="009B49E3"/>
    <w:rsid w:val="009B5424"/>
    <w:rsid w:val="009C3CC7"/>
    <w:rsid w:val="009C3E1D"/>
    <w:rsid w:val="009C4539"/>
    <w:rsid w:val="009C72E0"/>
    <w:rsid w:val="009D2057"/>
    <w:rsid w:val="009D3D6C"/>
    <w:rsid w:val="009D5551"/>
    <w:rsid w:val="009D62DB"/>
    <w:rsid w:val="009D6764"/>
    <w:rsid w:val="009E3B42"/>
    <w:rsid w:val="009F0198"/>
    <w:rsid w:val="009F51AE"/>
    <w:rsid w:val="00A0002C"/>
    <w:rsid w:val="00A02615"/>
    <w:rsid w:val="00A0501F"/>
    <w:rsid w:val="00A05B60"/>
    <w:rsid w:val="00A06079"/>
    <w:rsid w:val="00A107AC"/>
    <w:rsid w:val="00A13266"/>
    <w:rsid w:val="00A14FA6"/>
    <w:rsid w:val="00A15D64"/>
    <w:rsid w:val="00A20575"/>
    <w:rsid w:val="00A2284F"/>
    <w:rsid w:val="00A25455"/>
    <w:rsid w:val="00A266D2"/>
    <w:rsid w:val="00A32015"/>
    <w:rsid w:val="00A32452"/>
    <w:rsid w:val="00A32BBF"/>
    <w:rsid w:val="00A37444"/>
    <w:rsid w:val="00A41ACE"/>
    <w:rsid w:val="00A4281A"/>
    <w:rsid w:val="00A434CC"/>
    <w:rsid w:val="00A459CF"/>
    <w:rsid w:val="00A5014D"/>
    <w:rsid w:val="00A53E96"/>
    <w:rsid w:val="00A549A9"/>
    <w:rsid w:val="00A56F18"/>
    <w:rsid w:val="00A628F8"/>
    <w:rsid w:val="00A62BAA"/>
    <w:rsid w:val="00A66172"/>
    <w:rsid w:val="00A744C3"/>
    <w:rsid w:val="00A820B0"/>
    <w:rsid w:val="00AA05D8"/>
    <w:rsid w:val="00AA10A6"/>
    <w:rsid w:val="00AA5E47"/>
    <w:rsid w:val="00AA70AB"/>
    <w:rsid w:val="00AA7991"/>
    <w:rsid w:val="00AB0B9F"/>
    <w:rsid w:val="00AB1713"/>
    <w:rsid w:val="00AB224D"/>
    <w:rsid w:val="00AB63BE"/>
    <w:rsid w:val="00AC1EBC"/>
    <w:rsid w:val="00AC21CA"/>
    <w:rsid w:val="00AC2599"/>
    <w:rsid w:val="00AC2DE9"/>
    <w:rsid w:val="00AD0F62"/>
    <w:rsid w:val="00AD2C5F"/>
    <w:rsid w:val="00AE1481"/>
    <w:rsid w:val="00AE2055"/>
    <w:rsid w:val="00AE27F9"/>
    <w:rsid w:val="00AE77DB"/>
    <w:rsid w:val="00AF2BE5"/>
    <w:rsid w:val="00AF6A8D"/>
    <w:rsid w:val="00AF7453"/>
    <w:rsid w:val="00AF78AB"/>
    <w:rsid w:val="00AF7CBB"/>
    <w:rsid w:val="00B00FFF"/>
    <w:rsid w:val="00B02671"/>
    <w:rsid w:val="00B04808"/>
    <w:rsid w:val="00B04A72"/>
    <w:rsid w:val="00B06084"/>
    <w:rsid w:val="00B06FF2"/>
    <w:rsid w:val="00B111FD"/>
    <w:rsid w:val="00B16735"/>
    <w:rsid w:val="00B17EDE"/>
    <w:rsid w:val="00B22585"/>
    <w:rsid w:val="00B2440F"/>
    <w:rsid w:val="00B31618"/>
    <w:rsid w:val="00B33693"/>
    <w:rsid w:val="00B34C53"/>
    <w:rsid w:val="00B3716F"/>
    <w:rsid w:val="00B40140"/>
    <w:rsid w:val="00B430F4"/>
    <w:rsid w:val="00B43610"/>
    <w:rsid w:val="00B502DF"/>
    <w:rsid w:val="00B507A5"/>
    <w:rsid w:val="00B50974"/>
    <w:rsid w:val="00B51664"/>
    <w:rsid w:val="00B52475"/>
    <w:rsid w:val="00B52E21"/>
    <w:rsid w:val="00B535DA"/>
    <w:rsid w:val="00B5467E"/>
    <w:rsid w:val="00B56DCC"/>
    <w:rsid w:val="00B56F54"/>
    <w:rsid w:val="00B571FF"/>
    <w:rsid w:val="00B623B2"/>
    <w:rsid w:val="00B638C2"/>
    <w:rsid w:val="00B64BE6"/>
    <w:rsid w:val="00B678CF"/>
    <w:rsid w:val="00B75567"/>
    <w:rsid w:val="00B758AB"/>
    <w:rsid w:val="00B76277"/>
    <w:rsid w:val="00B772AB"/>
    <w:rsid w:val="00B80395"/>
    <w:rsid w:val="00B80B56"/>
    <w:rsid w:val="00B83359"/>
    <w:rsid w:val="00B86372"/>
    <w:rsid w:val="00B909EA"/>
    <w:rsid w:val="00B95B89"/>
    <w:rsid w:val="00BA1C17"/>
    <w:rsid w:val="00BA1D65"/>
    <w:rsid w:val="00BA6FCE"/>
    <w:rsid w:val="00BA7037"/>
    <w:rsid w:val="00BB3B4D"/>
    <w:rsid w:val="00BB54A0"/>
    <w:rsid w:val="00BC351E"/>
    <w:rsid w:val="00BC3A2A"/>
    <w:rsid w:val="00BC3F77"/>
    <w:rsid w:val="00BC5635"/>
    <w:rsid w:val="00BC5675"/>
    <w:rsid w:val="00BD081C"/>
    <w:rsid w:val="00BD277B"/>
    <w:rsid w:val="00BD47CA"/>
    <w:rsid w:val="00BD4DC4"/>
    <w:rsid w:val="00BD62C7"/>
    <w:rsid w:val="00BE020D"/>
    <w:rsid w:val="00BE354A"/>
    <w:rsid w:val="00BF284F"/>
    <w:rsid w:val="00BF5EEF"/>
    <w:rsid w:val="00C02553"/>
    <w:rsid w:val="00C03299"/>
    <w:rsid w:val="00C04EB6"/>
    <w:rsid w:val="00C056F9"/>
    <w:rsid w:val="00C1018C"/>
    <w:rsid w:val="00C10438"/>
    <w:rsid w:val="00C1150E"/>
    <w:rsid w:val="00C14D52"/>
    <w:rsid w:val="00C2075E"/>
    <w:rsid w:val="00C2430A"/>
    <w:rsid w:val="00C24EB9"/>
    <w:rsid w:val="00C2586C"/>
    <w:rsid w:val="00C26001"/>
    <w:rsid w:val="00C34E72"/>
    <w:rsid w:val="00C366F1"/>
    <w:rsid w:val="00C527B3"/>
    <w:rsid w:val="00C56B1F"/>
    <w:rsid w:val="00C61B52"/>
    <w:rsid w:val="00C62745"/>
    <w:rsid w:val="00C654CA"/>
    <w:rsid w:val="00C722C9"/>
    <w:rsid w:val="00C763BD"/>
    <w:rsid w:val="00C779A8"/>
    <w:rsid w:val="00C82E19"/>
    <w:rsid w:val="00C96873"/>
    <w:rsid w:val="00CA05BA"/>
    <w:rsid w:val="00CA0B49"/>
    <w:rsid w:val="00CA1735"/>
    <w:rsid w:val="00CA3A5B"/>
    <w:rsid w:val="00CA3C4B"/>
    <w:rsid w:val="00CA4FF4"/>
    <w:rsid w:val="00CA5038"/>
    <w:rsid w:val="00CA7252"/>
    <w:rsid w:val="00CB2C5A"/>
    <w:rsid w:val="00CD658F"/>
    <w:rsid w:val="00CE0C1C"/>
    <w:rsid w:val="00CE34AF"/>
    <w:rsid w:val="00CE4CC5"/>
    <w:rsid w:val="00CF00A4"/>
    <w:rsid w:val="00CF1611"/>
    <w:rsid w:val="00CF25FB"/>
    <w:rsid w:val="00CF48B7"/>
    <w:rsid w:val="00CF614C"/>
    <w:rsid w:val="00D02F34"/>
    <w:rsid w:val="00D13D87"/>
    <w:rsid w:val="00D16590"/>
    <w:rsid w:val="00D1720B"/>
    <w:rsid w:val="00D20720"/>
    <w:rsid w:val="00D216AA"/>
    <w:rsid w:val="00D22F89"/>
    <w:rsid w:val="00D250D9"/>
    <w:rsid w:val="00D27533"/>
    <w:rsid w:val="00D42DA3"/>
    <w:rsid w:val="00D43217"/>
    <w:rsid w:val="00D4546D"/>
    <w:rsid w:val="00D47996"/>
    <w:rsid w:val="00D524E9"/>
    <w:rsid w:val="00D5327A"/>
    <w:rsid w:val="00D53354"/>
    <w:rsid w:val="00D534FD"/>
    <w:rsid w:val="00D61118"/>
    <w:rsid w:val="00D6139C"/>
    <w:rsid w:val="00D614F1"/>
    <w:rsid w:val="00D617FD"/>
    <w:rsid w:val="00D70D50"/>
    <w:rsid w:val="00D71917"/>
    <w:rsid w:val="00D741F4"/>
    <w:rsid w:val="00D81874"/>
    <w:rsid w:val="00D84296"/>
    <w:rsid w:val="00D94778"/>
    <w:rsid w:val="00D94F0F"/>
    <w:rsid w:val="00DA3A0F"/>
    <w:rsid w:val="00DA4E62"/>
    <w:rsid w:val="00DA5635"/>
    <w:rsid w:val="00DA6990"/>
    <w:rsid w:val="00DB27BA"/>
    <w:rsid w:val="00DB3084"/>
    <w:rsid w:val="00DB337A"/>
    <w:rsid w:val="00DC33A5"/>
    <w:rsid w:val="00DC51CB"/>
    <w:rsid w:val="00DC6636"/>
    <w:rsid w:val="00DC6BF5"/>
    <w:rsid w:val="00DD1E28"/>
    <w:rsid w:val="00DD4819"/>
    <w:rsid w:val="00DD4B8A"/>
    <w:rsid w:val="00DD5403"/>
    <w:rsid w:val="00DE1388"/>
    <w:rsid w:val="00DE37BC"/>
    <w:rsid w:val="00DE44F5"/>
    <w:rsid w:val="00DE7501"/>
    <w:rsid w:val="00DF1238"/>
    <w:rsid w:val="00DF18A5"/>
    <w:rsid w:val="00DF3146"/>
    <w:rsid w:val="00DF57C3"/>
    <w:rsid w:val="00DF6518"/>
    <w:rsid w:val="00E008D9"/>
    <w:rsid w:val="00E02FE0"/>
    <w:rsid w:val="00E07ABE"/>
    <w:rsid w:val="00E11A3F"/>
    <w:rsid w:val="00E1386E"/>
    <w:rsid w:val="00E2369B"/>
    <w:rsid w:val="00E23EC0"/>
    <w:rsid w:val="00E3093B"/>
    <w:rsid w:val="00E32C19"/>
    <w:rsid w:val="00E34158"/>
    <w:rsid w:val="00E3468A"/>
    <w:rsid w:val="00E354AA"/>
    <w:rsid w:val="00E43D54"/>
    <w:rsid w:val="00E442FB"/>
    <w:rsid w:val="00E46157"/>
    <w:rsid w:val="00E529DB"/>
    <w:rsid w:val="00E53A5E"/>
    <w:rsid w:val="00E571BF"/>
    <w:rsid w:val="00E63BC3"/>
    <w:rsid w:val="00E6466A"/>
    <w:rsid w:val="00E668BE"/>
    <w:rsid w:val="00E714E7"/>
    <w:rsid w:val="00E72221"/>
    <w:rsid w:val="00E74086"/>
    <w:rsid w:val="00E83428"/>
    <w:rsid w:val="00E84C58"/>
    <w:rsid w:val="00E852B7"/>
    <w:rsid w:val="00E873A5"/>
    <w:rsid w:val="00E90D11"/>
    <w:rsid w:val="00E915E5"/>
    <w:rsid w:val="00EA2FAC"/>
    <w:rsid w:val="00EA414A"/>
    <w:rsid w:val="00EA75B5"/>
    <w:rsid w:val="00EB0367"/>
    <w:rsid w:val="00EB4FB9"/>
    <w:rsid w:val="00EB5BC8"/>
    <w:rsid w:val="00EC0D59"/>
    <w:rsid w:val="00EC2738"/>
    <w:rsid w:val="00EC2B3D"/>
    <w:rsid w:val="00ED7603"/>
    <w:rsid w:val="00ED7B42"/>
    <w:rsid w:val="00EE3EA5"/>
    <w:rsid w:val="00EE613F"/>
    <w:rsid w:val="00EE6BD1"/>
    <w:rsid w:val="00EF0262"/>
    <w:rsid w:val="00EF0828"/>
    <w:rsid w:val="00EF4570"/>
    <w:rsid w:val="00EF6F8B"/>
    <w:rsid w:val="00F009D1"/>
    <w:rsid w:val="00F03898"/>
    <w:rsid w:val="00F0489B"/>
    <w:rsid w:val="00F1527A"/>
    <w:rsid w:val="00F2209C"/>
    <w:rsid w:val="00F2696B"/>
    <w:rsid w:val="00F27821"/>
    <w:rsid w:val="00F37DD0"/>
    <w:rsid w:val="00F4092A"/>
    <w:rsid w:val="00F41F69"/>
    <w:rsid w:val="00F43E41"/>
    <w:rsid w:val="00F4790C"/>
    <w:rsid w:val="00F506AD"/>
    <w:rsid w:val="00F50C4B"/>
    <w:rsid w:val="00F54C08"/>
    <w:rsid w:val="00F553A2"/>
    <w:rsid w:val="00F56897"/>
    <w:rsid w:val="00F6068C"/>
    <w:rsid w:val="00F62F33"/>
    <w:rsid w:val="00F63A52"/>
    <w:rsid w:val="00F64BBF"/>
    <w:rsid w:val="00F718BE"/>
    <w:rsid w:val="00F730BA"/>
    <w:rsid w:val="00F745E3"/>
    <w:rsid w:val="00F758C1"/>
    <w:rsid w:val="00F77A95"/>
    <w:rsid w:val="00F80E20"/>
    <w:rsid w:val="00F903BE"/>
    <w:rsid w:val="00F95D04"/>
    <w:rsid w:val="00F97AA6"/>
    <w:rsid w:val="00FA16EC"/>
    <w:rsid w:val="00FA2811"/>
    <w:rsid w:val="00FA2CFB"/>
    <w:rsid w:val="00FA4837"/>
    <w:rsid w:val="00FB06DD"/>
    <w:rsid w:val="00FB1D33"/>
    <w:rsid w:val="00FB5E96"/>
    <w:rsid w:val="00FC008C"/>
    <w:rsid w:val="00FC05A0"/>
    <w:rsid w:val="00FC4B74"/>
    <w:rsid w:val="00FC5FD0"/>
    <w:rsid w:val="00FC6758"/>
    <w:rsid w:val="00FD3014"/>
    <w:rsid w:val="00FD34EA"/>
    <w:rsid w:val="00FE3F3E"/>
    <w:rsid w:val="00FE4D52"/>
    <w:rsid w:val="00FE5AEE"/>
    <w:rsid w:val="00FF106B"/>
    <w:rsid w:val="00FF4225"/>
    <w:rsid w:val="00FF6291"/>
    <w:rsid w:val="01866F7F"/>
    <w:rsid w:val="0574D4C6"/>
    <w:rsid w:val="12360DF4"/>
    <w:rsid w:val="29677022"/>
    <w:rsid w:val="2DE39F0E"/>
    <w:rsid w:val="62918480"/>
    <w:rsid w:val="6EB7A09E"/>
    <w:rsid w:val="70E341D6"/>
    <w:rsid w:val="7E0E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13BFD7"/>
  <w15:docId w15:val="{D92C6E65-A7F8-4765-81B8-0B4FAF714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E3A"/>
    <w:rPr>
      <w:rFonts w:ascii="Arial" w:hAnsi="Arial"/>
      <w:szCs w:val="24"/>
    </w:rPr>
  </w:style>
  <w:style w:type="paragraph" w:styleId="Heading1">
    <w:name w:val="heading 1"/>
    <w:basedOn w:val="Title2"/>
    <w:next w:val="Normal"/>
    <w:qFormat/>
    <w:rsid w:val="00E23EC0"/>
    <w:pPr>
      <w:framePr w:hSpace="0" w:wrap="auto" w:vAnchor="margin" w:xAlign="left" w:yAlign="inline"/>
      <w:jc w:val="center"/>
      <w:outlineLvl w:val="0"/>
    </w:pPr>
    <w:rPr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D02F34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000099"/>
      <w:ind w:left="-187"/>
      <w:outlineLvl w:val="1"/>
    </w:pPr>
    <w:rPr>
      <w:rFonts w:cs="Arial"/>
      <w:b/>
      <w:spacing w:val="-3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styleId="Heading3">
    <w:name w:val="heading 3"/>
    <w:basedOn w:val="Normal"/>
    <w:next w:val="Normal"/>
    <w:qFormat/>
    <w:rsid w:val="00E23EC0"/>
    <w:pPr>
      <w:keepNext/>
      <w:outlineLvl w:val="2"/>
    </w:pPr>
    <w:rPr>
      <w:b/>
      <w:noProof/>
      <w:szCs w:val="20"/>
    </w:rPr>
  </w:style>
  <w:style w:type="paragraph" w:styleId="Heading4">
    <w:name w:val="heading 4"/>
    <w:basedOn w:val="Normal"/>
    <w:next w:val="Normal"/>
    <w:qFormat/>
    <w:rsid w:val="00E915E5"/>
    <w:pPr>
      <w:keepNext/>
      <w:outlineLvl w:val="3"/>
    </w:pPr>
    <w:rPr>
      <w:rFonts w:cs="Arial"/>
      <w:b/>
      <w:bCs/>
    </w:rPr>
  </w:style>
  <w:style w:type="paragraph" w:styleId="Heading5">
    <w:name w:val="heading 5"/>
    <w:basedOn w:val="Normal"/>
    <w:next w:val="Normal"/>
    <w:qFormat/>
    <w:rsid w:val="00B56DCC"/>
    <w:pPr>
      <w:keepNext/>
      <w:outlineLvl w:val="4"/>
    </w:pPr>
    <w:rPr>
      <w:bCs/>
      <w:spacing w:val="-3"/>
      <w:szCs w:val="20"/>
    </w:rPr>
  </w:style>
  <w:style w:type="paragraph" w:styleId="Heading6">
    <w:name w:val="heading 6"/>
    <w:basedOn w:val="Normal"/>
    <w:next w:val="Normal"/>
    <w:qFormat/>
    <w:rsid w:val="00E915E5"/>
    <w:pPr>
      <w:keepNext/>
      <w:ind w:left="-180"/>
      <w:jc w:val="center"/>
      <w:outlineLvl w:val="5"/>
    </w:pPr>
    <w:rPr>
      <w:b/>
      <w:bCs/>
      <w:sz w:val="22"/>
      <w:szCs w:val="20"/>
    </w:rPr>
  </w:style>
  <w:style w:type="paragraph" w:styleId="Heading9">
    <w:name w:val="heading 9"/>
    <w:basedOn w:val="Normal"/>
    <w:next w:val="Normal"/>
    <w:qFormat/>
    <w:rsid w:val="00E915E5"/>
    <w:pPr>
      <w:keepNext/>
      <w:outlineLvl w:val="8"/>
    </w:pPr>
    <w:rPr>
      <w:rFonts w:cs="Arial"/>
      <w:spacing w:val="-3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E915E5"/>
    <w:rPr>
      <w:szCs w:val="20"/>
    </w:rPr>
  </w:style>
  <w:style w:type="paragraph" w:styleId="Header">
    <w:name w:val="header"/>
    <w:basedOn w:val="Normal"/>
    <w:link w:val="HeaderChar"/>
    <w:rsid w:val="00E915E5"/>
    <w:pPr>
      <w:tabs>
        <w:tab w:val="center" w:pos="4320"/>
        <w:tab w:val="right" w:pos="8640"/>
      </w:tabs>
    </w:pPr>
    <w:rPr>
      <w:sz w:val="22"/>
      <w:szCs w:val="20"/>
    </w:rPr>
  </w:style>
  <w:style w:type="paragraph" w:styleId="BodyText2">
    <w:name w:val="Body Text 2"/>
    <w:basedOn w:val="Normal"/>
    <w:semiHidden/>
    <w:rsid w:val="00E915E5"/>
    <w:rPr>
      <w:rFonts w:cs="Arial"/>
      <w:szCs w:val="20"/>
    </w:rPr>
  </w:style>
  <w:style w:type="character" w:styleId="Hyperlink">
    <w:name w:val="Hyperlink"/>
    <w:basedOn w:val="DefaultParagraphFont"/>
    <w:rsid w:val="00E915E5"/>
    <w:rPr>
      <w:color w:val="0000FF"/>
      <w:u w:val="single"/>
    </w:rPr>
  </w:style>
  <w:style w:type="character" w:styleId="PageNumber">
    <w:name w:val="page number"/>
    <w:basedOn w:val="DefaultParagraphFont"/>
    <w:semiHidden/>
    <w:rsid w:val="00E915E5"/>
  </w:style>
  <w:style w:type="paragraph" w:styleId="Footer">
    <w:name w:val="footer"/>
    <w:aliases w:val="f"/>
    <w:basedOn w:val="Normal"/>
    <w:link w:val="FooterChar"/>
    <w:uiPriority w:val="99"/>
    <w:rsid w:val="00E915E5"/>
    <w:pPr>
      <w:tabs>
        <w:tab w:val="center" w:pos="4320"/>
        <w:tab w:val="right" w:pos="8640"/>
      </w:tabs>
    </w:pPr>
    <w:rPr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A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A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28B2"/>
    <w:pPr>
      <w:numPr>
        <w:numId w:val="6"/>
      </w:numPr>
      <w:contextualSpacing/>
    </w:pPr>
  </w:style>
  <w:style w:type="table" w:styleId="TableGrid">
    <w:name w:val="Table Grid"/>
    <w:basedOn w:val="TableNormal"/>
    <w:uiPriority w:val="39"/>
    <w:rsid w:val="004C0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aliases w:val="f Char"/>
    <w:link w:val="Footer"/>
    <w:uiPriority w:val="99"/>
    <w:rsid w:val="000E231E"/>
    <w:rPr>
      <w:rFonts w:ascii="Arial" w:hAnsi="Arial"/>
      <w:sz w:val="22"/>
    </w:rPr>
  </w:style>
  <w:style w:type="paragraph" w:styleId="NormalWeb">
    <w:name w:val="Normal (Web)"/>
    <w:basedOn w:val="Normal"/>
    <w:uiPriority w:val="99"/>
    <w:semiHidden/>
    <w:unhideWhenUsed/>
    <w:rsid w:val="00E53A5E"/>
    <w:pPr>
      <w:spacing w:before="100" w:beforeAutospacing="1" w:after="100" w:afterAutospacing="1"/>
    </w:pPr>
    <w:rPr>
      <w:rFonts w:eastAsiaTheme="minorEastAsia"/>
    </w:rPr>
  </w:style>
  <w:style w:type="table" w:styleId="TableGridLight">
    <w:name w:val="Grid Table Light"/>
    <w:basedOn w:val="TableNormal"/>
    <w:uiPriority w:val="40"/>
    <w:rsid w:val="0066165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le">
    <w:name w:val="Title"/>
    <w:basedOn w:val="Normal"/>
    <w:next w:val="Normal"/>
    <w:link w:val="TitleChar"/>
    <w:rsid w:val="000C3940"/>
    <w:pPr>
      <w:framePr w:hSpace="180" w:wrap="around" w:vAnchor="page" w:hAnchor="text" w:xAlign="center" w:y="2851"/>
      <w:suppressAutoHyphens/>
      <w:spacing w:after="60" w:line="820" w:lineRule="exact"/>
    </w:pPr>
    <w:rPr>
      <w:rFonts w:cs="Arial"/>
      <w:color w:val="2895D5"/>
      <w:sz w:val="76"/>
      <w:szCs w:val="66"/>
    </w:rPr>
  </w:style>
  <w:style w:type="character" w:customStyle="1" w:styleId="TitleChar">
    <w:name w:val="Title Char"/>
    <w:basedOn w:val="DefaultParagraphFont"/>
    <w:link w:val="Title"/>
    <w:rsid w:val="000C3940"/>
    <w:rPr>
      <w:rFonts w:ascii="Arial" w:hAnsi="Arial" w:cs="Arial"/>
      <w:color w:val="2895D5"/>
      <w:sz w:val="76"/>
      <w:szCs w:val="66"/>
    </w:rPr>
  </w:style>
  <w:style w:type="paragraph" w:customStyle="1" w:styleId="Title2">
    <w:name w:val="Title2"/>
    <w:basedOn w:val="Normal"/>
    <w:next w:val="Normal"/>
    <w:rsid w:val="000C3940"/>
    <w:pPr>
      <w:framePr w:hSpace="180" w:wrap="around" w:vAnchor="page" w:hAnchor="text" w:xAlign="center" w:y="2851"/>
      <w:suppressAutoHyphens/>
      <w:spacing w:after="60" w:line="520" w:lineRule="exact"/>
    </w:pPr>
    <w:rPr>
      <w:rFonts w:cs="Arial"/>
      <w:color w:val="595959"/>
      <w:sz w:val="46"/>
      <w:szCs w:val="66"/>
      <w:lang w:val="it-IT"/>
    </w:rPr>
  </w:style>
  <w:style w:type="paragraph" w:customStyle="1" w:styleId="theader">
    <w:name w:val="theader"/>
    <w:basedOn w:val="Normal"/>
    <w:rsid w:val="000C3940"/>
    <w:pPr>
      <w:tabs>
        <w:tab w:val="left" w:pos="2400"/>
      </w:tabs>
      <w:suppressAutoHyphens/>
      <w:spacing w:before="60" w:after="60" w:line="220" w:lineRule="exact"/>
    </w:pPr>
    <w:rPr>
      <w:b/>
      <w:color w:val="FFFFFF"/>
      <w:sz w:val="18"/>
      <w:szCs w:val="20"/>
    </w:rPr>
  </w:style>
  <w:style w:type="paragraph" w:customStyle="1" w:styleId="tbody">
    <w:name w:val="tbody"/>
    <w:basedOn w:val="Normal"/>
    <w:qFormat/>
    <w:rsid w:val="00D27533"/>
    <w:pPr>
      <w:suppressAutoHyphens/>
      <w:spacing w:before="60" w:after="60"/>
    </w:pPr>
    <w:rPr>
      <w:b/>
      <w:szCs w:val="20"/>
    </w:rPr>
  </w:style>
  <w:style w:type="paragraph" w:customStyle="1" w:styleId="Style1">
    <w:name w:val="Style1"/>
    <w:basedOn w:val="Heading2"/>
    <w:link w:val="Style1Char"/>
    <w:qFormat/>
    <w:rsid w:val="000913C3"/>
    <w:rPr>
      <w:sz w:val="28"/>
    </w:rPr>
  </w:style>
  <w:style w:type="character" w:customStyle="1" w:styleId="Heading2Char">
    <w:name w:val="Heading 2 Char"/>
    <w:basedOn w:val="DefaultParagraphFont"/>
    <w:link w:val="Heading2"/>
    <w:rsid w:val="00D02F34"/>
    <w:rPr>
      <w:rFonts w:ascii="Arial" w:hAnsi="Arial" w:cs="Arial"/>
      <w:b/>
      <w:color w:val="auto"/>
      <w:spacing w:val="-3"/>
      <w:sz w:val="24"/>
      <w:shd w:val="clear" w:color="auto" w:fill="000099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character" w:customStyle="1" w:styleId="Style1Char">
    <w:name w:val="Style1 Char"/>
    <w:basedOn w:val="Heading2Char"/>
    <w:link w:val="Style1"/>
    <w:rsid w:val="000913C3"/>
    <w:rPr>
      <w:rFonts w:ascii="Arial" w:hAnsi="Arial" w:cs="Arial"/>
      <w:b/>
      <w:color w:val="auto"/>
      <w:spacing w:val="-3"/>
      <w:sz w:val="28"/>
      <w:shd w:val="clear" w:color="auto" w:fill="000099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character" w:customStyle="1" w:styleId="normaltextrun">
    <w:name w:val="normaltextrun"/>
    <w:basedOn w:val="DefaultParagraphFont"/>
    <w:rsid w:val="00D71917"/>
  </w:style>
  <w:style w:type="character" w:customStyle="1" w:styleId="eop">
    <w:name w:val="eop"/>
    <w:basedOn w:val="DefaultParagraphFont"/>
    <w:rsid w:val="00D71917"/>
  </w:style>
  <w:style w:type="paragraph" w:customStyle="1" w:styleId="paragraph">
    <w:name w:val="paragraph"/>
    <w:basedOn w:val="Normal"/>
    <w:rsid w:val="00653788"/>
    <w:pPr>
      <w:spacing w:before="100" w:beforeAutospacing="1" w:after="100" w:afterAutospacing="1"/>
    </w:pPr>
  </w:style>
  <w:style w:type="paragraph" w:styleId="List2">
    <w:name w:val="List 2"/>
    <w:basedOn w:val="Normal"/>
    <w:rsid w:val="00A32452"/>
    <w:pPr>
      <w:ind w:left="720" w:hanging="360"/>
    </w:pPr>
  </w:style>
  <w:style w:type="character" w:styleId="Emphasis">
    <w:name w:val="Emphasis"/>
    <w:basedOn w:val="DefaultParagraphFont"/>
    <w:uiPriority w:val="20"/>
    <w:qFormat/>
    <w:rsid w:val="003C7013"/>
    <w:rPr>
      <w:i/>
      <w:iCs/>
    </w:rPr>
  </w:style>
  <w:style w:type="paragraph" w:styleId="ListBullet3">
    <w:name w:val="List Bullet 3"/>
    <w:basedOn w:val="Normal"/>
    <w:rsid w:val="00B52475"/>
    <w:pPr>
      <w:numPr>
        <w:numId w:val="1"/>
      </w:numPr>
    </w:pPr>
  </w:style>
  <w:style w:type="character" w:customStyle="1" w:styleId="HeaderChar">
    <w:name w:val="Header Char"/>
    <w:basedOn w:val="DefaultParagraphFont"/>
    <w:link w:val="Header"/>
    <w:rsid w:val="00F62F33"/>
    <w:rPr>
      <w:rFonts w:ascii="Arial" w:hAnsi="Arial"/>
      <w:sz w:val="22"/>
    </w:rPr>
  </w:style>
  <w:style w:type="numbering" w:customStyle="1" w:styleId="References">
    <w:name w:val="References"/>
    <w:basedOn w:val="NoList"/>
    <w:uiPriority w:val="99"/>
    <w:rsid w:val="00F95D04"/>
    <w:pPr>
      <w:numPr>
        <w:numId w:val="2"/>
      </w:numPr>
    </w:pPr>
  </w:style>
  <w:style w:type="numbering" w:customStyle="1" w:styleId="ListProposal">
    <w:name w:val="List Proposal"/>
    <w:basedOn w:val="NoList"/>
    <w:uiPriority w:val="99"/>
    <w:rsid w:val="003A630F"/>
    <w:pPr>
      <w:numPr>
        <w:numId w:val="4"/>
      </w:numPr>
    </w:pPr>
  </w:style>
  <w:style w:type="numbering" w:customStyle="1" w:styleId="ProposalCriteria">
    <w:name w:val="Proposal Criteria"/>
    <w:basedOn w:val="ListProposal"/>
    <w:uiPriority w:val="99"/>
    <w:rsid w:val="00D20720"/>
    <w:pPr>
      <w:numPr>
        <w:numId w:val="5"/>
      </w:numPr>
    </w:pPr>
  </w:style>
  <w:style w:type="paragraph" w:styleId="List">
    <w:name w:val="List"/>
    <w:basedOn w:val="Normal"/>
    <w:uiPriority w:val="99"/>
    <w:unhideWhenUsed/>
    <w:rsid w:val="005F0FCF"/>
    <w:pPr>
      <w:ind w:left="360" w:hanging="360"/>
      <w:contextualSpacing/>
    </w:pPr>
  </w:style>
  <w:style w:type="paragraph" w:styleId="ListBullet">
    <w:name w:val="List Bullet"/>
    <w:basedOn w:val="Normal"/>
    <w:uiPriority w:val="99"/>
    <w:unhideWhenUsed/>
    <w:rsid w:val="005F0FCF"/>
    <w:pPr>
      <w:numPr>
        <w:numId w:val="7"/>
      </w:numPr>
      <w:contextualSpacing/>
    </w:pPr>
  </w:style>
  <w:style w:type="numbering" w:customStyle="1" w:styleId="ProposalCriteria2">
    <w:name w:val="Proposal Criteria 2"/>
    <w:basedOn w:val="ListProposal"/>
    <w:uiPriority w:val="99"/>
    <w:rsid w:val="0015636A"/>
    <w:pPr>
      <w:numPr>
        <w:numId w:val="8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5A423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B3958"/>
    <w:rPr>
      <w:rFonts w:ascii="Arial" w:eastAsia="Arial" w:hAnsi="Arial"/>
      <w:sz w:val="22"/>
      <w:szCs w:val="22"/>
    </w:rPr>
  </w:style>
  <w:style w:type="paragraph" w:styleId="ListBullet2">
    <w:name w:val="List Bullet 2"/>
    <w:basedOn w:val="Normal"/>
    <w:rsid w:val="001E4CBA"/>
    <w:pPr>
      <w:numPr>
        <w:numId w:val="11"/>
      </w:numPr>
      <w:tabs>
        <w:tab w:val="clear" w:pos="720"/>
      </w:tabs>
      <w:ind w:left="0" w:firstLine="0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66E5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6E5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66E50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6E50"/>
    <w:rPr>
      <w:rFonts w:ascii="Arial" w:hAnsi="Arial"/>
      <w:b/>
      <w:bCs/>
    </w:rPr>
  </w:style>
  <w:style w:type="character" w:styleId="Mention">
    <w:name w:val="Mention"/>
    <w:basedOn w:val="DefaultParagraphFont"/>
    <w:uiPriority w:val="99"/>
    <w:unhideWhenUsed/>
    <w:rsid w:val="00213D87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8C7C5C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i.org/10.1016/j.ncl.2018.01.011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urldefense.com/v3/__https:/mydss.mo.gov/mhd/pharmacy-clinical-edits-pdl__;!!Mh0G0HQJXw!Ftntf4uiw5MU21pklbS14xE_VFdv-QswbQ7Ygqy9IP_XiQhNonJ128hUnwn9QwwCXMNzvL5FA68XQFxs84P4HiFCuNFmnaql$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rldefense.com/v3/__https:/mydss.mo.gov/mhd/pharmacy-clinical-edits-pdl__;!!Mh0G0HQJXw!Ftntf4uiw5MU21pklbS14xE_VFdv-QswbQ7Ygqy9IP_XiQhNonJ128hUnwn9QwwCXMNzvL5FA68XQFxs84P4HiFCuNFmnaql$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i.org/10.1016/j.autrev.2020.102712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5eefb00-5952-4f7e-8cf8-96f81cfadd01" xsi:nil="true"/>
    <lcf76f155ced4ddcb4097134ff3c332f xmlns="aba01ddc-ae9a-4c9e-819c-7140b4239cd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0DC7DF98B8BA4EA314349B5720FCC5" ma:contentTypeVersion="14" ma:contentTypeDescription="Create a new document." ma:contentTypeScope="" ma:versionID="de390def39a4db9ef69de04daecb8dd4">
  <xsd:schema xmlns:xsd="http://www.w3.org/2001/XMLSchema" xmlns:xs="http://www.w3.org/2001/XMLSchema" xmlns:p="http://schemas.microsoft.com/office/2006/metadata/properties" xmlns:ns1="http://schemas.microsoft.com/sharepoint/v3" xmlns:ns2="aba01ddc-ae9a-4c9e-819c-7140b4239cde" xmlns:ns3="f5eefb00-5952-4f7e-8cf8-96f81cfadd01" targetNamespace="http://schemas.microsoft.com/office/2006/metadata/properties" ma:root="true" ma:fieldsID="11fef7f73cac9dabe8a63254546dce04" ns1:_="" ns2:_="" ns3:_="">
    <xsd:import namespace="http://schemas.microsoft.com/sharepoint/v3"/>
    <xsd:import namespace="aba01ddc-ae9a-4c9e-819c-7140b4239cde"/>
    <xsd:import namespace="f5eefb00-5952-4f7e-8cf8-96f81cfadd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01ddc-ae9a-4c9e-819c-7140b4239c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4b9d60a-532b-456f-bc59-f515255dc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efb00-5952-4f7e-8cf8-96f81cfadd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66737BE-2F73-408C-A12D-12E22498BD92}" ma:internalName="TaxCatchAll" ma:showField="CatchAllData" ma:web="{a1603744-bc25-4bc5-9997-e689a712d7a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9992BC-7C11-4A83-A97F-D2E41AE80BFC}">
  <ds:schemaRefs>
    <ds:schemaRef ds:uri="http://purl.org/dc/dcmitype/"/>
    <ds:schemaRef ds:uri="http://schemas.microsoft.com/office/infopath/2007/PartnerControls"/>
    <ds:schemaRef ds:uri="f5eefb00-5952-4f7e-8cf8-96f81cfadd01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aba01ddc-ae9a-4c9e-819c-7140b4239cde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6F88295-642E-4932-A1FF-2072D25F6B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ba01ddc-ae9a-4c9e-819c-7140b4239cde"/>
    <ds:schemaRef ds:uri="f5eefb00-5952-4f7e-8cf8-96f81cfadd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39153C-6C98-4F71-850E-F854570ADB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443CD0-BAC0-4286-8661-ED5329119F5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aed4588-b8ce-43a8-a775-989538fd30d8}" enabled="0" method="" siteId="{1aed4588-b8ce-43a8-a775-989538fd30d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1404</Words>
  <Characters>9119</Characters>
  <Application>Microsoft Office Word</Application>
  <DocSecurity>10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Targeted Immune Modulators, Generalized Myasthenia Gravis (gMG) Agents PDL Edit (previously Neonatal Fc Receptor Antagonists PDL Edit)</vt:lpstr>
    </vt:vector>
  </TitlesOfParts>
  <Company>DSS</Company>
  <LinksUpToDate>false</LinksUpToDate>
  <CharactersWithSpaces>10502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Targeted Immune Modulators, Generalized Myasthenia Gravis (gMG) Agents PDL Edit (previously Neonatal Fc Receptor Antagonists PDL Edit)</dc:title>
  <dc:subject/>
  <dc:creator>DMS</dc:creator>
  <cp:keywords/>
  <cp:lastModifiedBy>Heriford, Katherine</cp:lastModifiedBy>
  <cp:revision>232</cp:revision>
  <cp:lastPrinted>2018-10-31T20:17:00Z</cp:lastPrinted>
  <dcterms:created xsi:type="dcterms:W3CDTF">2026-05-07T02:41:00Z</dcterms:created>
  <dcterms:modified xsi:type="dcterms:W3CDTF">2026-07-06T22:29:00Z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0x010100DC0DC7DF98B8BA4EA314349B5720FCC5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