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6FC8" w14:textId="77777777" w:rsidR="00990C61" w:rsidRDefault="00990C61" w:rsidP="00F77F67">
      <w:pPr>
        <w:pStyle w:val="Heading1"/>
        <w:jc w:val="left"/>
        <w:rPr>
          <w:lang w:val="en-US"/>
        </w:rPr>
      </w:pPr>
      <w:bookmarkStart w:id="0" w:name="_Hlk792159"/>
    </w:p>
    <w:p w14:paraId="6413BFD8" w14:textId="5D0002D4" w:rsidR="00AE77DB" w:rsidRPr="00C02553" w:rsidRDefault="000C3940" w:rsidP="00D02F34">
      <w:pPr>
        <w:pStyle w:val="Heading1"/>
        <w:rPr>
          <w:lang w:val="en-US"/>
        </w:rPr>
      </w:pPr>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F80FB3A" w:rsidR="004C5767" w:rsidRPr="008859E1" w:rsidRDefault="004C5767" w:rsidP="00D27533">
      <w:pPr>
        <w:pStyle w:val="tbody"/>
        <w:rPr>
          <w:b w:val="0"/>
          <w:bCs/>
        </w:rPr>
      </w:pPr>
      <w:r w:rsidRPr="00C02553">
        <w:t>Drug/Drug Class:</w:t>
      </w:r>
      <w:r w:rsidR="003B4820">
        <w:t xml:space="preserve"> </w:t>
      </w:r>
      <w:r w:rsidR="008325CA" w:rsidRPr="008325CA">
        <w:rPr>
          <w:b w:val="0"/>
          <w:bCs/>
        </w:rPr>
        <w:t>Tolvaptan Clinical Edit</w:t>
      </w:r>
    </w:p>
    <w:p w14:paraId="7AD7FFCE" w14:textId="48FA6CD1" w:rsidR="004C5767" w:rsidRPr="00594B44" w:rsidRDefault="004C5767" w:rsidP="00D27533">
      <w:pPr>
        <w:pStyle w:val="tbody"/>
        <w:rPr>
          <w:b w:val="0"/>
          <w:bCs/>
        </w:rPr>
      </w:pPr>
      <w:r w:rsidRPr="00C02553">
        <w:t xml:space="preserve">First Implementation Date: </w:t>
      </w:r>
      <w:r w:rsidR="00594B44" w:rsidRPr="00594B44">
        <w:rPr>
          <w:b w:val="0"/>
          <w:bCs/>
        </w:rPr>
        <w:t>April 11, 2019</w:t>
      </w:r>
    </w:p>
    <w:p w14:paraId="4B7D760D" w14:textId="7BA04AA0" w:rsidR="004C5767" w:rsidRPr="00D232D9" w:rsidRDefault="00D95E68" w:rsidP="15EB50BA">
      <w:pPr>
        <w:pStyle w:val="tbody"/>
        <w:rPr>
          <w:b w:val="0"/>
        </w:rPr>
      </w:pPr>
      <w:r>
        <w:t>Proposed</w:t>
      </w:r>
      <w:r w:rsidR="004C5767">
        <w:t xml:space="preserve"> Date:</w:t>
      </w:r>
      <w:r w:rsidR="00065C22">
        <w:t xml:space="preserve"> </w:t>
      </w:r>
      <w:r w:rsidR="00594B44">
        <w:rPr>
          <w:b w:val="0"/>
        </w:rPr>
        <w:t>July 14,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DF572CB" w:rsidR="004C5767" w:rsidRPr="00D27533" w:rsidRDefault="004C5767" w:rsidP="00D27533">
      <w:pPr>
        <w:pStyle w:val="tbody"/>
        <w:rPr>
          <w:b w:val="0"/>
          <w:bCs/>
          <w:spacing w:val="-3"/>
        </w:rPr>
      </w:pPr>
      <w:r w:rsidRPr="00C02553">
        <w:t xml:space="preserve">Criteria Status: </w:t>
      </w:r>
      <w:r w:rsidR="00566BE4" w:rsidRPr="00474CD8">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25D3187E" w14:textId="04CE1290" w:rsidR="00962401" w:rsidRDefault="00962401" w:rsidP="00696E3A">
      <w:r w:rsidRPr="00962401">
        <w:t xml:space="preserve">Ensure appropriate utilization and control of tolvaptan </w:t>
      </w:r>
      <w:r w:rsidR="00466617" w:rsidRPr="00962401">
        <w:t>agents.</w:t>
      </w:r>
    </w:p>
    <w:p w14:paraId="2320C114" w14:textId="173D4D81"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134F8EFB" w:rsidR="00B56DCC" w:rsidRDefault="00575693" w:rsidP="00696E3A">
      <w:r w:rsidRPr="00575693">
        <w:t xml:space="preserve">Tolvaptan, a selective vasopressin V2-receptor antagonist, is available as 2 different brand name products, each with different indications.  </w:t>
      </w:r>
      <w:proofErr w:type="spellStart"/>
      <w:r w:rsidRPr="00575693">
        <w:t>Samsca</w:t>
      </w:r>
      <w:proofErr w:type="spellEnd"/>
      <w:r w:rsidRPr="00C43CB6">
        <w:rPr>
          <w:vertAlign w:val="superscript"/>
        </w:rPr>
        <w:t>®</w:t>
      </w:r>
      <w:r w:rsidRPr="00575693">
        <w:t>, FDA approved in 2009, is indicated for the treatment of clinically significant hypervolemic and euvolemic hyponatremia, including patients with heart failure and Syndrome of Inappropriate Antidiuretic Hormone (SIADH)</w:t>
      </w:r>
      <w:r w:rsidR="00466617" w:rsidRPr="00575693">
        <w:t xml:space="preserve">. </w:t>
      </w:r>
      <w:proofErr w:type="spellStart"/>
      <w:r w:rsidRPr="00575693">
        <w:t>Samsca’s</w:t>
      </w:r>
      <w:proofErr w:type="spellEnd"/>
      <w:r w:rsidRPr="00575693">
        <w:t xml:space="preserve"> label contains a box warning stating therapy should be initiated or reinitiated in a hospital setting with monitoring of serum sodium as overly rapid correction to the hyponatremia may occur, possibly causing neurological changes which can result in coma or death.  The boxed warning of </w:t>
      </w:r>
      <w:proofErr w:type="spellStart"/>
      <w:r w:rsidRPr="00575693">
        <w:t>Samsca</w:t>
      </w:r>
      <w:proofErr w:type="spellEnd"/>
      <w:r w:rsidRPr="00575693">
        <w:t xml:space="preserve"> also states it is not for use in autosomal dominant polycystic kidney disease (ADPKD)</w:t>
      </w:r>
      <w:r w:rsidR="00466617" w:rsidRPr="00575693">
        <w:t xml:space="preserve">. </w:t>
      </w:r>
      <w:r w:rsidRPr="00575693">
        <w:t xml:space="preserve">The FDA has determined that </w:t>
      </w:r>
      <w:proofErr w:type="spellStart"/>
      <w:r w:rsidRPr="00575693">
        <w:t>Samsca</w:t>
      </w:r>
      <w:proofErr w:type="spellEnd"/>
      <w:r w:rsidRPr="00575693">
        <w:t xml:space="preserve"> should not be used for longer than 30 days and should not be used in patients with underlying liver disease because it can cause liver injury, potentially requiring liver transplant or death</w:t>
      </w:r>
      <w:r w:rsidR="00466617" w:rsidRPr="00575693">
        <w:t xml:space="preserve">. </w:t>
      </w:r>
      <w:proofErr w:type="spellStart"/>
      <w:r w:rsidRPr="00575693">
        <w:t>Jynarque</w:t>
      </w:r>
      <w:proofErr w:type="spellEnd"/>
      <w:r w:rsidRPr="00C43CB6">
        <w:rPr>
          <w:vertAlign w:val="superscript"/>
        </w:rPr>
        <w:t>®</w:t>
      </w:r>
      <w:r w:rsidRPr="00575693">
        <w:t>, FDA approved in 2018, is indicated to slow kidney function decline in adults at risk of rapidly progressing ADPKD</w:t>
      </w:r>
      <w:r w:rsidR="00466617" w:rsidRPr="00575693">
        <w:t xml:space="preserve">. </w:t>
      </w:r>
      <w:proofErr w:type="spellStart"/>
      <w:r w:rsidRPr="00575693">
        <w:t>Jynarque</w:t>
      </w:r>
      <w:proofErr w:type="spellEnd"/>
      <w:r w:rsidRPr="00575693">
        <w:t xml:space="preserve"> comes with a REMS program and a boxed warning for risk of serious liver injury</w:t>
      </w:r>
      <w:r w:rsidR="00466617" w:rsidRPr="00575693">
        <w:t xml:space="preserve">. </w:t>
      </w:r>
      <w:proofErr w:type="spellStart"/>
      <w:r w:rsidRPr="00575693">
        <w:t>Jynarque</w:t>
      </w:r>
      <w:proofErr w:type="spellEnd"/>
      <w:r w:rsidRPr="00575693">
        <w:t xml:space="preserve"> may be used chronically when in compliance with the REMS program criteria (unlike </w:t>
      </w:r>
      <w:proofErr w:type="spellStart"/>
      <w:r w:rsidRPr="00575693">
        <w:t>Samsca</w:t>
      </w:r>
      <w:proofErr w:type="spellEnd"/>
      <w:r w:rsidRPr="00575693">
        <w:t>)</w:t>
      </w:r>
      <w:r w:rsidR="00466617" w:rsidRPr="00575693">
        <w:t xml:space="preserve">. </w:t>
      </w:r>
      <w:r w:rsidRPr="00575693">
        <w:t>Due to the highly specific indications and adverse event concerns, MO HealthNet will impose criteria to ensure appropriate utilization of tolvaptan agents.</w:t>
      </w:r>
    </w:p>
    <w:p w14:paraId="658D9929" w14:textId="77777777" w:rsidR="00575693" w:rsidRDefault="00575693" w:rsidP="00696E3A"/>
    <w:p w14:paraId="5B5260CF" w14:textId="5E51EB7C" w:rsidR="003D4704" w:rsidRPr="00AD17B7" w:rsidRDefault="003D4704" w:rsidP="003D4704">
      <w:r>
        <w:rPr>
          <w:b/>
          <w:bCs/>
        </w:rPr>
        <w:t xml:space="preserve">Program-Specific Information: </w:t>
      </w:r>
      <w:r>
        <w:t>Dat</w:t>
      </w:r>
      <w:r w:rsidR="00ED760F">
        <w:t>e</w:t>
      </w:r>
      <w:r>
        <w:t xml:space="preserve"> Ranges FFS </w:t>
      </w:r>
      <w:r w:rsidR="00A81631">
        <w:t>4</w:t>
      </w:r>
      <w:r>
        <w:t>-1-202</w:t>
      </w:r>
      <w:r w:rsidR="00A81631">
        <w:t>5</w:t>
      </w:r>
      <w:r>
        <w:t xml:space="preserve"> to </w:t>
      </w:r>
      <w:r w:rsidR="00A81631">
        <w:t>3</w:t>
      </w:r>
      <w:r>
        <w:t>-3</w:t>
      </w:r>
      <w:r w:rsidR="00A81631">
        <w:t>1</w:t>
      </w:r>
      <w:r>
        <w:t>-202</w:t>
      </w:r>
      <w:r w:rsidR="00A81631">
        <w:t>6</w:t>
      </w:r>
    </w:p>
    <w:tbl>
      <w:tblPr>
        <w:tblW w:w="9171" w:type="dxa"/>
        <w:jc w:val="center"/>
        <w:tblLayout w:type="fixed"/>
        <w:tblLook w:val="04A0" w:firstRow="1" w:lastRow="0" w:firstColumn="1" w:lastColumn="0" w:noHBand="0" w:noVBand="1"/>
      </w:tblPr>
      <w:tblGrid>
        <w:gridCol w:w="3886"/>
        <w:gridCol w:w="1232"/>
        <w:gridCol w:w="1537"/>
        <w:gridCol w:w="2516"/>
      </w:tblGrid>
      <w:tr w:rsidR="003D4704" w:rsidRPr="00902CF9" w14:paraId="7E639B47"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23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5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51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F87CCE" w:rsidRPr="00902CF9" w14:paraId="29C2C6B5"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4E48F17F" w14:textId="6B402082" w:rsidR="00F87CCE" w:rsidRPr="00902CF9" w:rsidRDefault="00397A81" w:rsidP="00F87CCE">
            <w:pPr>
              <w:rPr>
                <w:rFonts w:cs="Arial"/>
                <w:szCs w:val="20"/>
              </w:rPr>
            </w:pPr>
            <w:r w:rsidRPr="00397A81">
              <w:rPr>
                <w:rFonts w:cs="Arial"/>
                <w:szCs w:val="20"/>
              </w:rPr>
              <w:t>JYNARQUE 15 MG-15 MG TABLET</w:t>
            </w:r>
          </w:p>
        </w:tc>
        <w:tc>
          <w:tcPr>
            <w:tcW w:w="1232" w:type="dxa"/>
            <w:tcBorders>
              <w:top w:val="single" w:sz="4" w:space="0" w:color="auto"/>
              <w:left w:val="single" w:sz="4" w:space="0" w:color="auto"/>
              <w:bottom w:val="single" w:sz="4" w:space="0" w:color="auto"/>
              <w:right w:val="single" w:sz="4" w:space="0" w:color="auto"/>
            </w:tcBorders>
            <w:vAlign w:val="bottom"/>
          </w:tcPr>
          <w:p w14:paraId="5F6574F8" w14:textId="44A9719E" w:rsidR="00F87CCE" w:rsidRPr="00902CF9" w:rsidRDefault="00DD3294" w:rsidP="00F87CCE">
            <w:pPr>
              <w:jc w:val="center"/>
              <w:rPr>
                <w:rFonts w:cs="Arial"/>
                <w:szCs w:val="20"/>
              </w:rPr>
            </w:pPr>
            <w:r w:rsidRPr="00DD3294">
              <w:rPr>
                <w:rFonts w:cs="Arial"/>
                <w:szCs w:val="20"/>
              </w:rPr>
              <w:t>46</w:t>
            </w:r>
          </w:p>
        </w:tc>
        <w:tc>
          <w:tcPr>
            <w:tcW w:w="1537" w:type="dxa"/>
            <w:tcBorders>
              <w:top w:val="single" w:sz="4" w:space="0" w:color="auto"/>
              <w:left w:val="single" w:sz="4" w:space="0" w:color="auto"/>
              <w:bottom w:val="single" w:sz="4" w:space="0" w:color="auto"/>
              <w:right w:val="single" w:sz="4" w:space="0" w:color="auto"/>
            </w:tcBorders>
            <w:vAlign w:val="bottom"/>
          </w:tcPr>
          <w:p w14:paraId="52453425" w14:textId="17343BEB" w:rsidR="00F87CCE" w:rsidRPr="00902CF9" w:rsidRDefault="00DD3294" w:rsidP="00F87CCE">
            <w:pPr>
              <w:jc w:val="right"/>
              <w:rPr>
                <w:rFonts w:cs="Arial"/>
                <w:szCs w:val="20"/>
              </w:rPr>
            </w:pPr>
            <w:r w:rsidRPr="00DD3294">
              <w:rPr>
                <w:rFonts w:cs="Arial"/>
                <w:szCs w:val="20"/>
              </w:rPr>
              <w:t>$973,255.98</w:t>
            </w:r>
          </w:p>
        </w:tc>
        <w:tc>
          <w:tcPr>
            <w:tcW w:w="2516" w:type="dxa"/>
            <w:tcBorders>
              <w:top w:val="single" w:sz="4" w:space="0" w:color="auto"/>
              <w:left w:val="single" w:sz="4" w:space="0" w:color="auto"/>
              <w:bottom w:val="single" w:sz="4" w:space="0" w:color="auto"/>
              <w:right w:val="single" w:sz="4" w:space="0" w:color="auto"/>
            </w:tcBorders>
            <w:vAlign w:val="bottom"/>
          </w:tcPr>
          <w:p w14:paraId="43EE586B" w14:textId="245C795F" w:rsidR="00F87CCE" w:rsidRPr="00902CF9" w:rsidRDefault="00DD3294" w:rsidP="00F87CCE">
            <w:pPr>
              <w:jc w:val="right"/>
              <w:rPr>
                <w:rFonts w:cs="Arial"/>
                <w:szCs w:val="20"/>
              </w:rPr>
            </w:pPr>
            <w:r w:rsidRPr="00DD3294">
              <w:rPr>
                <w:rFonts w:cs="Arial"/>
                <w:szCs w:val="20"/>
              </w:rPr>
              <w:t>$21,157.74</w:t>
            </w:r>
          </w:p>
        </w:tc>
      </w:tr>
      <w:tr w:rsidR="006D3C9F" w:rsidRPr="00902CF9" w14:paraId="487A0EBC"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09116210" w14:textId="6F295989" w:rsidR="006D3C9F" w:rsidRPr="00397A81" w:rsidRDefault="006D3C9F" w:rsidP="006D3C9F">
            <w:pPr>
              <w:rPr>
                <w:rFonts w:cs="Arial"/>
                <w:szCs w:val="20"/>
              </w:rPr>
            </w:pPr>
            <w:r w:rsidRPr="00B57428">
              <w:rPr>
                <w:rFonts w:cs="Arial"/>
                <w:szCs w:val="20"/>
              </w:rPr>
              <w:t>TOLVAPTAN 15 MG-15 MG TABLET</w:t>
            </w:r>
            <w:r>
              <w:rPr>
                <w:rFonts w:cs="Arial"/>
                <w:szCs w:val="20"/>
              </w:rPr>
              <w:t xml:space="preserve"> </w:t>
            </w:r>
          </w:p>
        </w:tc>
        <w:tc>
          <w:tcPr>
            <w:tcW w:w="1232" w:type="dxa"/>
            <w:tcBorders>
              <w:top w:val="single" w:sz="4" w:space="0" w:color="auto"/>
              <w:left w:val="single" w:sz="4" w:space="0" w:color="auto"/>
              <w:bottom w:val="single" w:sz="4" w:space="0" w:color="auto"/>
              <w:right w:val="single" w:sz="4" w:space="0" w:color="auto"/>
            </w:tcBorders>
            <w:vAlign w:val="bottom"/>
          </w:tcPr>
          <w:p w14:paraId="7AEBAE6A" w14:textId="1699A986" w:rsidR="006D3C9F" w:rsidRPr="00DD3294" w:rsidRDefault="006D3C9F" w:rsidP="006D3C9F">
            <w:pPr>
              <w:jc w:val="center"/>
              <w:rPr>
                <w:rFonts w:cs="Arial"/>
                <w:szCs w:val="20"/>
              </w:rPr>
            </w:pPr>
            <w:r w:rsidRPr="00F4352E">
              <w:rPr>
                <w:rFonts w:cs="Arial"/>
                <w:szCs w:val="20"/>
              </w:rPr>
              <w:t>1</w:t>
            </w:r>
          </w:p>
        </w:tc>
        <w:tc>
          <w:tcPr>
            <w:tcW w:w="1537" w:type="dxa"/>
            <w:tcBorders>
              <w:top w:val="single" w:sz="4" w:space="0" w:color="auto"/>
              <w:left w:val="single" w:sz="4" w:space="0" w:color="auto"/>
              <w:bottom w:val="single" w:sz="4" w:space="0" w:color="auto"/>
              <w:right w:val="single" w:sz="4" w:space="0" w:color="auto"/>
            </w:tcBorders>
            <w:vAlign w:val="bottom"/>
          </w:tcPr>
          <w:p w14:paraId="3E8F17F6" w14:textId="20094390" w:rsidR="006D3C9F" w:rsidRPr="00DD3294" w:rsidRDefault="006D3C9F" w:rsidP="006D3C9F">
            <w:pPr>
              <w:jc w:val="right"/>
              <w:rPr>
                <w:rFonts w:cs="Arial"/>
                <w:szCs w:val="20"/>
              </w:rPr>
            </w:pPr>
            <w:r w:rsidRPr="00F4352E">
              <w:rPr>
                <w:rFonts w:cs="Arial"/>
                <w:szCs w:val="20"/>
              </w:rPr>
              <w:t>$16,036.55</w:t>
            </w:r>
          </w:p>
        </w:tc>
        <w:tc>
          <w:tcPr>
            <w:tcW w:w="2516" w:type="dxa"/>
            <w:tcBorders>
              <w:top w:val="single" w:sz="4" w:space="0" w:color="auto"/>
              <w:left w:val="single" w:sz="4" w:space="0" w:color="auto"/>
              <w:bottom w:val="single" w:sz="4" w:space="0" w:color="auto"/>
              <w:right w:val="single" w:sz="4" w:space="0" w:color="auto"/>
            </w:tcBorders>
            <w:vAlign w:val="bottom"/>
          </w:tcPr>
          <w:p w14:paraId="12971129" w14:textId="1E71A289" w:rsidR="006D3C9F" w:rsidRPr="00DD3294" w:rsidRDefault="006D3C9F" w:rsidP="006D3C9F">
            <w:pPr>
              <w:jc w:val="right"/>
              <w:rPr>
                <w:rFonts w:cs="Arial"/>
                <w:szCs w:val="20"/>
              </w:rPr>
            </w:pPr>
            <w:r w:rsidRPr="00F4352E">
              <w:rPr>
                <w:rFonts w:cs="Arial"/>
                <w:szCs w:val="20"/>
              </w:rPr>
              <w:t>$16,036.55</w:t>
            </w:r>
          </w:p>
        </w:tc>
      </w:tr>
      <w:tr w:rsidR="00F87CCE" w:rsidRPr="00902CF9" w14:paraId="0A1EF85E"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77B43C05" w14:textId="5CCFA426" w:rsidR="00F87CCE" w:rsidRPr="00902CF9" w:rsidRDefault="004417B6" w:rsidP="00F87CCE">
            <w:pPr>
              <w:rPr>
                <w:rFonts w:cs="Arial"/>
                <w:szCs w:val="20"/>
              </w:rPr>
            </w:pPr>
            <w:r w:rsidRPr="004417B6">
              <w:rPr>
                <w:rFonts w:cs="Arial"/>
                <w:szCs w:val="20"/>
              </w:rPr>
              <w:t>JYNARQUE 30 MG-15 MG TABLET</w:t>
            </w:r>
          </w:p>
        </w:tc>
        <w:tc>
          <w:tcPr>
            <w:tcW w:w="1232" w:type="dxa"/>
            <w:tcBorders>
              <w:top w:val="single" w:sz="4" w:space="0" w:color="auto"/>
              <w:left w:val="single" w:sz="4" w:space="0" w:color="auto"/>
              <w:bottom w:val="single" w:sz="4" w:space="0" w:color="auto"/>
              <w:right w:val="single" w:sz="4" w:space="0" w:color="auto"/>
            </w:tcBorders>
            <w:vAlign w:val="bottom"/>
          </w:tcPr>
          <w:p w14:paraId="586F93BC" w14:textId="1D45A2E3" w:rsidR="00F87CCE" w:rsidRPr="00902CF9" w:rsidRDefault="004417B6" w:rsidP="00F87CCE">
            <w:pPr>
              <w:jc w:val="center"/>
              <w:rPr>
                <w:rFonts w:cs="Arial"/>
                <w:szCs w:val="20"/>
              </w:rPr>
            </w:pPr>
            <w:r w:rsidRPr="004417B6">
              <w:rPr>
                <w:rFonts w:cs="Arial"/>
                <w:szCs w:val="20"/>
              </w:rPr>
              <w:t>8</w:t>
            </w:r>
          </w:p>
        </w:tc>
        <w:tc>
          <w:tcPr>
            <w:tcW w:w="1537" w:type="dxa"/>
            <w:tcBorders>
              <w:top w:val="single" w:sz="4" w:space="0" w:color="auto"/>
              <w:left w:val="single" w:sz="4" w:space="0" w:color="auto"/>
              <w:bottom w:val="single" w:sz="4" w:space="0" w:color="auto"/>
              <w:right w:val="single" w:sz="4" w:space="0" w:color="auto"/>
            </w:tcBorders>
            <w:vAlign w:val="bottom"/>
          </w:tcPr>
          <w:p w14:paraId="4B838051" w14:textId="3B2472C3" w:rsidR="00F87CCE" w:rsidRPr="00902CF9" w:rsidRDefault="004417B6" w:rsidP="00F87CCE">
            <w:pPr>
              <w:jc w:val="right"/>
              <w:rPr>
                <w:rFonts w:cs="Arial"/>
                <w:szCs w:val="20"/>
              </w:rPr>
            </w:pPr>
            <w:r w:rsidRPr="004417B6">
              <w:rPr>
                <w:rFonts w:cs="Arial"/>
                <w:szCs w:val="20"/>
              </w:rPr>
              <w:t>$170,481.14</w:t>
            </w:r>
          </w:p>
        </w:tc>
        <w:tc>
          <w:tcPr>
            <w:tcW w:w="2516" w:type="dxa"/>
            <w:tcBorders>
              <w:top w:val="single" w:sz="4" w:space="0" w:color="auto"/>
              <w:left w:val="single" w:sz="4" w:space="0" w:color="auto"/>
              <w:bottom w:val="single" w:sz="4" w:space="0" w:color="auto"/>
              <w:right w:val="single" w:sz="4" w:space="0" w:color="auto"/>
            </w:tcBorders>
            <w:vAlign w:val="bottom"/>
          </w:tcPr>
          <w:p w14:paraId="0EDE8848" w14:textId="4864F744" w:rsidR="00F87CCE" w:rsidRPr="00902CF9" w:rsidRDefault="00137C43" w:rsidP="00F87CCE">
            <w:pPr>
              <w:jc w:val="right"/>
              <w:rPr>
                <w:rFonts w:cs="Arial"/>
                <w:szCs w:val="20"/>
              </w:rPr>
            </w:pPr>
            <w:r w:rsidRPr="00137C43">
              <w:rPr>
                <w:rFonts w:cs="Arial"/>
                <w:szCs w:val="20"/>
              </w:rPr>
              <w:t>$21,310.14</w:t>
            </w:r>
          </w:p>
        </w:tc>
      </w:tr>
      <w:tr w:rsidR="0027451F" w:rsidRPr="00902CF9" w14:paraId="1815F675"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63228F4C" w14:textId="06638C00" w:rsidR="0027451F" w:rsidRPr="004417B6" w:rsidRDefault="0027451F" w:rsidP="0027451F">
            <w:pPr>
              <w:rPr>
                <w:rFonts w:cs="Arial"/>
                <w:szCs w:val="20"/>
              </w:rPr>
            </w:pPr>
            <w:r w:rsidRPr="00C259BE">
              <w:rPr>
                <w:rFonts w:cs="Arial"/>
                <w:szCs w:val="20"/>
              </w:rPr>
              <w:t>TOLVAPTAN 30 MG-15 MG TABLET</w:t>
            </w:r>
            <w:r>
              <w:rPr>
                <w:rFonts w:cs="Arial"/>
                <w:szCs w:val="20"/>
              </w:rPr>
              <w:t xml:space="preserve"> </w:t>
            </w:r>
          </w:p>
        </w:tc>
        <w:tc>
          <w:tcPr>
            <w:tcW w:w="1232" w:type="dxa"/>
            <w:tcBorders>
              <w:top w:val="single" w:sz="4" w:space="0" w:color="auto"/>
              <w:left w:val="single" w:sz="4" w:space="0" w:color="auto"/>
              <w:bottom w:val="single" w:sz="4" w:space="0" w:color="auto"/>
              <w:right w:val="single" w:sz="4" w:space="0" w:color="auto"/>
            </w:tcBorders>
            <w:vAlign w:val="bottom"/>
          </w:tcPr>
          <w:p w14:paraId="3FE030AC" w14:textId="53CA2073" w:rsidR="0027451F" w:rsidRPr="004417B6" w:rsidRDefault="0027451F" w:rsidP="0027451F">
            <w:pPr>
              <w:jc w:val="center"/>
              <w:rPr>
                <w:rFonts w:cs="Arial"/>
                <w:szCs w:val="20"/>
              </w:rPr>
            </w:pPr>
            <w:r w:rsidRPr="00224690">
              <w:rPr>
                <w:rFonts w:cs="Arial"/>
                <w:szCs w:val="20"/>
              </w:rPr>
              <w:t>1</w:t>
            </w:r>
          </w:p>
        </w:tc>
        <w:tc>
          <w:tcPr>
            <w:tcW w:w="1537" w:type="dxa"/>
            <w:tcBorders>
              <w:top w:val="single" w:sz="4" w:space="0" w:color="auto"/>
              <w:left w:val="single" w:sz="4" w:space="0" w:color="auto"/>
              <w:bottom w:val="single" w:sz="4" w:space="0" w:color="auto"/>
              <w:right w:val="single" w:sz="4" w:space="0" w:color="auto"/>
            </w:tcBorders>
            <w:vAlign w:val="bottom"/>
          </w:tcPr>
          <w:p w14:paraId="16B81D10" w14:textId="0C4BBC5D" w:rsidR="0027451F" w:rsidRPr="004417B6" w:rsidRDefault="0027451F" w:rsidP="0027451F">
            <w:pPr>
              <w:jc w:val="right"/>
              <w:rPr>
                <w:rFonts w:cs="Arial"/>
                <w:szCs w:val="20"/>
              </w:rPr>
            </w:pPr>
            <w:r w:rsidRPr="00224690">
              <w:rPr>
                <w:rFonts w:cs="Arial"/>
                <w:szCs w:val="20"/>
              </w:rPr>
              <w:t>$16,880.12</w:t>
            </w:r>
          </w:p>
        </w:tc>
        <w:tc>
          <w:tcPr>
            <w:tcW w:w="2516" w:type="dxa"/>
            <w:tcBorders>
              <w:top w:val="single" w:sz="4" w:space="0" w:color="auto"/>
              <w:left w:val="single" w:sz="4" w:space="0" w:color="auto"/>
              <w:bottom w:val="single" w:sz="4" w:space="0" w:color="auto"/>
              <w:right w:val="single" w:sz="4" w:space="0" w:color="auto"/>
            </w:tcBorders>
            <w:vAlign w:val="bottom"/>
          </w:tcPr>
          <w:p w14:paraId="303FBBD7" w14:textId="5085F46E" w:rsidR="0027451F" w:rsidRPr="00137C43" w:rsidRDefault="0027451F" w:rsidP="0027451F">
            <w:pPr>
              <w:jc w:val="right"/>
              <w:rPr>
                <w:rFonts w:cs="Arial"/>
                <w:szCs w:val="20"/>
              </w:rPr>
            </w:pPr>
            <w:r w:rsidRPr="00224690">
              <w:rPr>
                <w:rFonts w:cs="Arial"/>
                <w:szCs w:val="20"/>
              </w:rPr>
              <w:t>$16,880.12</w:t>
            </w:r>
          </w:p>
        </w:tc>
      </w:tr>
      <w:tr w:rsidR="00F87CCE" w:rsidRPr="00902CF9" w14:paraId="5A77BEA3"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5692DA97" w14:textId="6E67DE2C" w:rsidR="00F87CCE" w:rsidRPr="00902CF9" w:rsidRDefault="00137C43" w:rsidP="00F87CCE">
            <w:pPr>
              <w:rPr>
                <w:rFonts w:cs="Arial"/>
                <w:szCs w:val="20"/>
              </w:rPr>
            </w:pPr>
            <w:r w:rsidRPr="00137C43">
              <w:rPr>
                <w:rFonts w:cs="Arial"/>
                <w:szCs w:val="20"/>
              </w:rPr>
              <w:t>JYNARQUE 45 MG-15 MG TABLET</w:t>
            </w:r>
          </w:p>
        </w:tc>
        <w:tc>
          <w:tcPr>
            <w:tcW w:w="1232" w:type="dxa"/>
            <w:tcBorders>
              <w:top w:val="single" w:sz="4" w:space="0" w:color="auto"/>
              <w:left w:val="single" w:sz="4" w:space="0" w:color="auto"/>
              <w:bottom w:val="single" w:sz="4" w:space="0" w:color="auto"/>
              <w:right w:val="single" w:sz="4" w:space="0" w:color="auto"/>
            </w:tcBorders>
            <w:vAlign w:val="bottom"/>
          </w:tcPr>
          <w:p w14:paraId="5AD8BBAE" w14:textId="356EB316" w:rsidR="00F87CCE" w:rsidRPr="00902CF9" w:rsidRDefault="00B6429D" w:rsidP="00F87CCE">
            <w:pPr>
              <w:jc w:val="center"/>
              <w:rPr>
                <w:rFonts w:cs="Arial"/>
                <w:szCs w:val="20"/>
              </w:rPr>
            </w:pPr>
            <w:r w:rsidRPr="00B6429D">
              <w:rPr>
                <w:rFonts w:cs="Arial"/>
                <w:szCs w:val="20"/>
              </w:rPr>
              <w:t>49</w:t>
            </w:r>
          </w:p>
        </w:tc>
        <w:tc>
          <w:tcPr>
            <w:tcW w:w="1537" w:type="dxa"/>
            <w:tcBorders>
              <w:top w:val="single" w:sz="4" w:space="0" w:color="auto"/>
              <w:left w:val="single" w:sz="4" w:space="0" w:color="auto"/>
              <w:bottom w:val="single" w:sz="4" w:space="0" w:color="auto"/>
              <w:right w:val="single" w:sz="4" w:space="0" w:color="auto"/>
            </w:tcBorders>
            <w:vAlign w:val="bottom"/>
          </w:tcPr>
          <w:p w14:paraId="47A4EEDB" w14:textId="562E1E67" w:rsidR="00F87CCE" w:rsidRPr="00902CF9" w:rsidRDefault="00B6429D" w:rsidP="00F87CCE">
            <w:pPr>
              <w:jc w:val="right"/>
              <w:rPr>
                <w:rFonts w:cs="Arial"/>
                <w:szCs w:val="20"/>
              </w:rPr>
            </w:pPr>
            <w:r w:rsidRPr="00B6429D">
              <w:rPr>
                <w:rFonts w:cs="Arial"/>
                <w:szCs w:val="20"/>
              </w:rPr>
              <w:t>$1,035,838.22</w:t>
            </w:r>
          </w:p>
        </w:tc>
        <w:tc>
          <w:tcPr>
            <w:tcW w:w="2516" w:type="dxa"/>
            <w:tcBorders>
              <w:top w:val="single" w:sz="4" w:space="0" w:color="auto"/>
              <w:left w:val="single" w:sz="4" w:space="0" w:color="auto"/>
              <w:bottom w:val="single" w:sz="4" w:space="0" w:color="auto"/>
              <w:right w:val="single" w:sz="4" w:space="0" w:color="auto"/>
            </w:tcBorders>
            <w:vAlign w:val="bottom"/>
          </w:tcPr>
          <w:p w14:paraId="1D6C2FF0" w14:textId="2E081E7A" w:rsidR="00F87CCE" w:rsidRPr="00902CF9" w:rsidRDefault="00B6429D" w:rsidP="00F87CCE">
            <w:pPr>
              <w:jc w:val="right"/>
              <w:rPr>
                <w:rFonts w:cs="Arial"/>
                <w:szCs w:val="20"/>
              </w:rPr>
            </w:pPr>
            <w:r w:rsidRPr="00B6429D">
              <w:rPr>
                <w:rFonts w:cs="Arial"/>
                <w:szCs w:val="20"/>
              </w:rPr>
              <w:t>$21,139.56</w:t>
            </w:r>
          </w:p>
        </w:tc>
      </w:tr>
      <w:tr w:rsidR="00511BAC" w:rsidRPr="00902CF9" w14:paraId="5EDEADBB"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1ED474BE" w14:textId="33FE8C08" w:rsidR="00511BAC" w:rsidRPr="00137C43" w:rsidRDefault="00511BAC" w:rsidP="00511BAC">
            <w:pPr>
              <w:rPr>
                <w:rFonts w:cs="Arial"/>
                <w:szCs w:val="20"/>
              </w:rPr>
            </w:pPr>
            <w:r w:rsidRPr="003B43DB">
              <w:rPr>
                <w:rFonts w:cs="Arial"/>
                <w:szCs w:val="20"/>
              </w:rPr>
              <w:t>TOLVAPTAN 45 MG-15 MG TABLET</w:t>
            </w:r>
            <w:r>
              <w:rPr>
                <w:rFonts w:cs="Arial"/>
                <w:szCs w:val="20"/>
              </w:rPr>
              <w:t xml:space="preserve"> </w:t>
            </w:r>
          </w:p>
        </w:tc>
        <w:tc>
          <w:tcPr>
            <w:tcW w:w="1232" w:type="dxa"/>
            <w:tcBorders>
              <w:top w:val="single" w:sz="4" w:space="0" w:color="auto"/>
              <w:left w:val="single" w:sz="4" w:space="0" w:color="auto"/>
              <w:bottom w:val="single" w:sz="4" w:space="0" w:color="auto"/>
              <w:right w:val="single" w:sz="4" w:space="0" w:color="auto"/>
            </w:tcBorders>
            <w:vAlign w:val="bottom"/>
          </w:tcPr>
          <w:p w14:paraId="578F5C30" w14:textId="113C6055" w:rsidR="00511BAC" w:rsidRPr="00B6429D" w:rsidRDefault="00511BAC" w:rsidP="00511BAC">
            <w:pPr>
              <w:jc w:val="center"/>
              <w:rPr>
                <w:rFonts w:cs="Arial"/>
                <w:szCs w:val="20"/>
              </w:rPr>
            </w:pPr>
            <w:r w:rsidRPr="003B43DB">
              <w:rPr>
                <w:rFonts w:cs="Arial"/>
                <w:szCs w:val="20"/>
              </w:rPr>
              <w:t>8</w:t>
            </w:r>
          </w:p>
        </w:tc>
        <w:tc>
          <w:tcPr>
            <w:tcW w:w="1537" w:type="dxa"/>
            <w:tcBorders>
              <w:top w:val="single" w:sz="4" w:space="0" w:color="auto"/>
              <w:left w:val="single" w:sz="4" w:space="0" w:color="auto"/>
              <w:bottom w:val="single" w:sz="4" w:space="0" w:color="auto"/>
              <w:right w:val="single" w:sz="4" w:space="0" w:color="auto"/>
            </w:tcBorders>
            <w:vAlign w:val="bottom"/>
          </w:tcPr>
          <w:p w14:paraId="31D07C00" w14:textId="544867A8" w:rsidR="00511BAC" w:rsidRPr="00B6429D" w:rsidRDefault="00511BAC" w:rsidP="00511BAC">
            <w:pPr>
              <w:jc w:val="right"/>
              <w:rPr>
                <w:rFonts w:cs="Arial"/>
                <w:szCs w:val="20"/>
              </w:rPr>
            </w:pPr>
            <w:r w:rsidRPr="003B43DB">
              <w:rPr>
                <w:rFonts w:cs="Arial"/>
                <w:szCs w:val="20"/>
              </w:rPr>
              <w:t>$129,979.54</w:t>
            </w:r>
          </w:p>
        </w:tc>
        <w:tc>
          <w:tcPr>
            <w:tcW w:w="2516" w:type="dxa"/>
            <w:tcBorders>
              <w:top w:val="single" w:sz="4" w:space="0" w:color="auto"/>
              <w:left w:val="single" w:sz="4" w:space="0" w:color="auto"/>
              <w:bottom w:val="single" w:sz="4" w:space="0" w:color="auto"/>
              <w:right w:val="single" w:sz="4" w:space="0" w:color="auto"/>
            </w:tcBorders>
            <w:vAlign w:val="bottom"/>
          </w:tcPr>
          <w:p w14:paraId="2631C852" w14:textId="78BD7C82" w:rsidR="00511BAC" w:rsidRPr="00B6429D" w:rsidRDefault="00511BAC" w:rsidP="00511BAC">
            <w:pPr>
              <w:jc w:val="right"/>
              <w:rPr>
                <w:rFonts w:cs="Arial"/>
                <w:szCs w:val="20"/>
              </w:rPr>
            </w:pPr>
            <w:r w:rsidRPr="002909FE">
              <w:rPr>
                <w:rFonts w:cs="Arial"/>
                <w:szCs w:val="20"/>
              </w:rPr>
              <w:t>$16,247.44</w:t>
            </w:r>
          </w:p>
        </w:tc>
      </w:tr>
      <w:tr w:rsidR="00B6429D" w:rsidRPr="00902CF9" w14:paraId="30203BE7"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557C4EC3" w14:textId="039E71FE" w:rsidR="00B6429D" w:rsidRPr="00137C43" w:rsidRDefault="00C25AF5" w:rsidP="00F87CCE">
            <w:pPr>
              <w:rPr>
                <w:rFonts w:cs="Arial"/>
                <w:szCs w:val="20"/>
              </w:rPr>
            </w:pPr>
            <w:r w:rsidRPr="00C25AF5">
              <w:rPr>
                <w:rFonts w:cs="Arial"/>
                <w:szCs w:val="20"/>
              </w:rPr>
              <w:t>JYNARQUE 60 MG-30 MG TABLET</w:t>
            </w:r>
          </w:p>
        </w:tc>
        <w:tc>
          <w:tcPr>
            <w:tcW w:w="1232" w:type="dxa"/>
            <w:tcBorders>
              <w:top w:val="single" w:sz="4" w:space="0" w:color="auto"/>
              <w:left w:val="single" w:sz="4" w:space="0" w:color="auto"/>
              <w:bottom w:val="single" w:sz="4" w:space="0" w:color="auto"/>
              <w:right w:val="single" w:sz="4" w:space="0" w:color="auto"/>
            </w:tcBorders>
            <w:vAlign w:val="bottom"/>
          </w:tcPr>
          <w:p w14:paraId="1CE67651" w14:textId="31E4D101" w:rsidR="00B6429D" w:rsidRPr="00B6429D" w:rsidRDefault="00C25AF5" w:rsidP="00F87CCE">
            <w:pPr>
              <w:jc w:val="center"/>
              <w:rPr>
                <w:rFonts w:cs="Arial"/>
                <w:szCs w:val="20"/>
              </w:rPr>
            </w:pPr>
            <w:r w:rsidRPr="00C25AF5">
              <w:rPr>
                <w:rFonts w:cs="Arial"/>
                <w:szCs w:val="20"/>
              </w:rPr>
              <w:t>25</w:t>
            </w:r>
          </w:p>
        </w:tc>
        <w:tc>
          <w:tcPr>
            <w:tcW w:w="1537" w:type="dxa"/>
            <w:tcBorders>
              <w:top w:val="single" w:sz="4" w:space="0" w:color="auto"/>
              <w:left w:val="single" w:sz="4" w:space="0" w:color="auto"/>
              <w:bottom w:val="single" w:sz="4" w:space="0" w:color="auto"/>
              <w:right w:val="single" w:sz="4" w:space="0" w:color="auto"/>
            </w:tcBorders>
            <w:vAlign w:val="bottom"/>
          </w:tcPr>
          <w:p w14:paraId="5055D558" w14:textId="0C669AD4" w:rsidR="00B6429D" w:rsidRPr="00B6429D" w:rsidRDefault="00C25AF5" w:rsidP="00F87CCE">
            <w:pPr>
              <w:jc w:val="right"/>
              <w:rPr>
                <w:rFonts w:cs="Arial"/>
                <w:szCs w:val="20"/>
              </w:rPr>
            </w:pPr>
            <w:r w:rsidRPr="00C25AF5">
              <w:rPr>
                <w:rFonts w:cs="Arial"/>
                <w:szCs w:val="20"/>
              </w:rPr>
              <w:t>$530,866.10</w:t>
            </w:r>
          </w:p>
        </w:tc>
        <w:tc>
          <w:tcPr>
            <w:tcW w:w="2516" w:type="dxa"/>
            <w:tcBorders>
              <w:top w:val="single" w:sz="4" w:space="0" w:color="auto"/>
              <w:left w:val="single" w:sz="4" w:space="0" w:color="auto"/>
              <w:bottom w:val="single" w:sz="4" w:space="0" w:color="auto"/>
              <w:right w:val="single" w:sz="4" w:space="0" w:color="auto"/>
            </w:tcBorders>
            <w:vAlign w:val="bottom"/>
          </w:tcPr>
          <w:p w14:paraId="07E67B98" w14:textId="508B3704" w:rsidR="00B6429D" w:rsidRPr="00B6429D" w:rsidRDefault="00C25AF5" w:rsidP="00F87CCE">
            <w:pPr>
              <w:jc w:val="right"/>
              <w:rPr>
                <w:rFonts w:cs="Arial"/>
                <w:szCs w:val="20"/>
              </w:rPr>
            </w:pPr>
            <w:r w:rsidRPr="00C25AF5">
              <w:rPr>
                <w:rFonts w:cs="Arial"/>
                <w:szCs w:val="20"/>
              </w:rPr>
              <w:t>$21,234.64</w:t>
            </w:r>
          </w:p>
        </w:tc>
      </w:tr>
      <w:tr w:rsidR="00B6429D" w:rsidRPr="00902CF9" w14:paraId="4BCEC90F"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5FA6E3E8" w14:textId="1738B61C" w:rsidR="00B6429D" w:rsidRPr="00137C43" w:rsidRDefault="000E3D1F" w:rsidP="00F87CCE">
            <w:pPr>
              <w:rPr>
                <w:rFonts w:cs="Arial"/>
                <w:szCs w:val="20"/>
              </w:rPr>
            </w:pPr>
            <w:r w:rsidRPr="000E3D1F">
              <w:rPr>
                <w:rFonts w:cs="Arial"/>
                <w:szCs w:val="20"/>
              </w:rPr>
              <w:t>JYNARQUE 90 MG-30 MG TABLET</w:t>
            </w:r>
          </w:p>
        </w:tc>
        <w:tc>
          <w:tcPr>
            <w:tcW w:w="1232" w:type="dxa"/>
            <w:tcBorders>
              <w:top w:val="single" w:sz="4" w:space="0" w:color="auto"/>
              <w:left w:val="single" w:sz="4" w:space="0" w:color="auto"/>
              <w:bottom w:val="single" w:sz="4" w:space="0" w:color="auto"/>
              <w:right w:val="single" w:sz="4" w:space="0" w:color="auto"/>
            </w:tcBorders>
            <w:vAlign w:val="bottom"/>
          </w:tcPr>
          <w:p w14:paraId="20823711" w14:textId="3D8D66E2" w:rsidR="00B6429D" w:rsidRPr="00B6429D" w:rsidRDefault="000E3D1F" w:rsidP="00F87CCE">
            <w:pPr>
              <w:jc w:val="center"/>
              <w:rPr>
                <w:rFonts w:cs="Arial"/>
                <w:szCs w:val="20"/>
              </w:rPr>
            </w:pPr>
            <w:r w:rsidRPr="000E3D1F">
              <w:rPr>
                <w:rFonts w:cs="Arial"/>
                <w:szCs w:val="20"/>
              </w:rPr>
              <w:t>10</w:t>
            </w:r>
          </w:p>
        </w:tc>
        <w:tc>
          <w:tcPr>
            <w:tcW w:w="1537" w:type="dxa"/>
            <w:tcBorders>
              <w:top w:val="single" w:sz="4" w:space="0" w:color="auto"/>
              <w:left w:val="single" w:sz="4" w:space="0" w:color="auto"/>
              <w:bottom w:val="single" w:sz="4" w:space="0" w:color="auto"/>
              <w:right w:val="single" w:sz="4" w:space="0" w:color="auto"/>
            </w:tcBorders>
            <w:vAlign w:val="bottom"/>
          </w:tcPr>
          <w:p w14:paraId="3E873D59" w14:textId="46F0E9CB" w:rsidR="00B6429D" w:rsidRPr="00B6429D" w:rsidRDefault="000E3D1F" w:rsidP="00F87CCE">
            <w:pPr>
              <w:jc w:val="right"/>
              <w:rPr>
                <w:rFonts w:cs="Arial"/>
                <w:szCs w:val="20"/>
              </w:rPr>
            </w:pPr>
            <w:r w:rsidRPr="000E3D1F">
              <w:rPr>
                <w:rFonts w:cs="Arial"/>
                <w:szCs w:val="20"/>
              </w:rPr>
              <w:t>$211,483.60</w:t>
            </w:r>
          </w:p>
        </w:tc>
        <w:tc>
          <w:tcPr>
            <w:tcW w:w="2516" w:type="dxa"/>
            <w:tcBorders>
              <w:top w:val="single" w:sz="4" w:space="0" w:color="auto"/>
              <w:left w:val="single" w:sz="4" w:space="0" w:color="auto"/>
              <w:bottom w:val="single" w:sz="4" w:space="0" w:color="auto"/>
              <w:right w:val="single" w:sz="4" w:space="0" w:color="auto"/>
            </w:tcBorders>
            <w:vAlign w:val="bottom"/>
          </w:tcPr>
          <w:p w14:paraId="654965AF" w14:textId="15FF427B" w:rsidR="00B6429D" w:rsidRPr="00B6429D" w:rsidRDefault="000E3D1F" w:rsidP="00F87CCE">
            <w:pPr>
              <w:jc w:val="right"/>
              <w:rPr>
                <w:rFonts w:cs="Arial"/>
                <w:szCs w:val="20"/>
              </w:rPr>
            </w:pPr>
            <w:r w:rsidRPr="000E3D1F">
              <w:rPr>
                <w:rFonts w:cs="Arial"/>
                <w:szCs w:val="20"/>
              </w:rPr>
              <w:t>$21,148.36</w:t>
            </w:r>
          </w:p>
        </w:tc>
      </w:tr>
      <w:tr w:rsidR="00FE28D3" w:rsidRPr="00902CF9" w14:paraId="152E3B40" w14:textId="77777777" w:rsidTr="00B6429D">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64DDC365" w14:textId="474ED2F1" w:rsidR="00FE28D3" w:rsidRPr="000E3D1F" w:rsidRDefault="00FE28D3" w:rsidP="00FE28D3">
            <w:pPr>
              <w:rPr>
                <w:rFonts w:cs="Arial"/>
                <w:szCs w:val="20"/>
              </w:rPr>
            </w:pPr>
            <w:r w:rsidRPr="002909FE">
              <w:rPr>
                <w:rFonts w:cs="Arial"/>
                <w:szCs w:val="20"/>
              </w:rPr>
              <w:t>TOLVAPTAN 90 MG-30 MG TABLET</w:t>
            </w:r>
            <w:r>
              <w:rPr>
                <w:rFonts w:cs="Arial"/>
                <w:szCs w:val="20"/>
              </w:rPr>
              <w:t xml:space="preserve"> </w:t>
            </w:r>
          </w:p>
        </w:tc>
        <w:tc>
          <w:tcPr>
            <w:tcW w:w="1232" w:type="dxa"/>
            <w:tcBorders>
              <w:top w:val="single" w:sz="4" w:space="0" w:color="auto"/>
              <w:left w:val="single" w:sz="4" w:space="0" w:color="auto"/>
              <w:bottom w:val="single" w:sz="4" w:space="0" w:color="auto"/>
              <w:right w:val="single" w:sz="4" w:space="0" w:color="auto"/>
            </w:tcBorders>
            <w:vAlign w:val="bottom"/>
          </w:tcPr>
          <w:p w14:paraId="2A9DD8B4" w14:textId="434EC911" w:rsidR="00FE28D3" w:rsidRPr="000E3D1F" w:rsidRDefault="00FE28D3" w:rsidP="00FE28D3">
            <w:pPr>
              <w:jc w:val="center"/>
              <w:rPr>
                <w:rFonts w:cs="Arial"/>
                <w:szCs w:val="20"/>
              </w:rPr>
            </w:pPr>
            <w:r w:rsidRPr="002909FE">
              <w:rPr>
                <w:rFonts w:cs="Arial"/>
                <w:szCs w:val="20"/>
              </w:rPr>
              <w:t>1</w:t>
            </w:r>
          </w:p>
        </w:tc>
        <w:tc>
          <w:tcPr>
            <w:tcW w:w="1537" w:type="dxa"/>
            <w:tcBorders>
              <w:top w:val="single" w:sz="4" w:space="0" w:color="auto"/>
              <w:left w:val="single" w:sz="4" w:space="0" w:color="auto"/>
              <w:bottom w:val="single" w:sz="4" w:space="0" w:color="auto"/>
              <w:right w:val="single" w:sz="4" w:space="0" w:color="auto"/>
            </w:tcBorders>
            <w:vAlign w:val="bottom"/>
          </w:tcPr>
          <w:p w14:paraId="048F3129" w14:textId="40847667" w:rsidR="00FE28D3" w:rsidRPr="000E3D1F" w:rsidRDefault="00FE28D3" w:rsidP="00FE28D3">
            <w:pPr>
              <w:jc w:val="right"/>
              <w:rPr>
                <w:rFonts w:cs="Arial"/>
                <w:szCs w:val="20"/>
              </w:rPr>
            </w:pPr>
            <w:r w:rsidRPr="002909FE">
              <w:rPr>
                <w:rFonts w:cs="Arial"/>
                <w:szCs w:val="20"/>
              </w:rPr>
              <w:t>$16,880.12</w:t>
            </w:r>
          </w:p>
        </w:tc>
        <w:tc>
          <w:tcPr>
            <w:tcW w:w="2516" w:type="dxa"/>
            <w:tcBorders>
              <w:top w:val="single" w:sz="4" w:space="0" w:color="auto"/>
              <w:left w:val="single" w:sz="4" w:space="0" w:color="auto"/>
              <w:bottom w:val="single" w:sz="4" w:space="0" w:color="auto"/>
              <w:right w:val="single" w:sz="4" w:space="0" w:color="auto"/>
            </w:tcBorders>
            <w:vAlign w:val="bottom"/>
          </w:tcPr>
          <w:p w14:paraId="045D951D" w14:textId="34BF3678" w:rsidR="00FE28D3" w:rsidRPr="000E3D1F" w:rsidRDefault="00FE28D3" w:rsidP="00FE28D3">
            <w:pPr>
              <w:jc w:val="right"/>
              <w:rPr>
                <w:rFonts w:cs="Arial"/>
                <w:szCs w:val="20"/>
              </w:rPr>
            </w:pPr>
            <w:r w:rsidRPr="00116446">
              <w:rPr>
                <w:rFonts w:cs="Arial"/>
                <w:szCs w:val="20"/>
              </w:rPr>
              <w:t>$16,880.12</w:t>
            </w:r>
          </w:p>
        </w:tc>
      </w:tr>
      <w:tr w:rsidR="00B6429D" w:rsidRPr="00902CF9" w14:paraId="56D5D757" w14:textId="77777777" w:rsidTr="006D3C9F">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1801CC96" w14:textId="77777777" w:rsidR="006D3C9F" w:rsidRDefault="00D83A1C" w:rsidP="00F87CCE">
            <w:pPr>
              <w:rPr>
                <w:rFonts w:cs="Arial"/>
                <w:szCs w:val="20"/>
              </w:rPr>
            </w:pPr>
            <w:r w:rsidRPr="00D83A1C">
              <w:rPr>
                <w:rFonts w:cs="Arial"/>
                <w:szCs w:val="20"/>
              </w:rPr>
              <w:t>TOLVAPTAN 15 MG TABLET</w:t>
            </w:r>
          </w:p>
          <w:p w14:paraId="57042029" w14:textId="13D97247" w:rsidR="00B6429D" w:rsidRPr="00137C43" w:rsidRDefault="008F7A2C" w:rsidP="00F87CCE">
            <w:pPr>
              <w:rPr>
                <w:rFonts w:cs="Arial"/>
                <w:szCs w:val="20"/>
              </w:rPr>
            </w:pPr>
            <w:r>
              <w:rPr>
                <w:rFonts w:cs="Arial"/>
                <w:szCs w:val="20"/>
              </w:rPr>
              <w:t xml:space="preserve">(generic </w:t>
            </w:r>
            <w:proofErr w:type="spellStart"/>
            <w:r>
              <w:rPr>
                <w:rFonts w:cs="Arial"/>
                <w:szCs w:val="20"/>
              </w:rPr>
              <w:t>Samsca</w:t>
            </w:r>
            <w:proofErr w:type="spellEnd"/>
            <w:r>
              <w:rPr>
                <w:rFonts w:cs="Arial"/>
                <w:szCs w:val="20"/>
              </w:rPr>
              <w:t>)</w:t>
            </w:r>
          </w:p>
        </w:tc>
        <w:tc>
          <w:tcPr>
            <w:tcW w:w="1232" w:type="dxa"/>
            <w:tcBorders>
              <w:top w:val="single" w:sz="4" w:space="0" w:color="auto"/>
              <w:left w:val="single" w:sz="4" w:space="0" w:color="auto"/>
              <w:bottom w:val="single" w:sz="4" w:space="0" w:color="auto"/>
              <w:right w:val="single" w:sz="4" w:space="0" w:color="auto"/>
            </w:tcBorders>
            <w:vAlign w:val="center"/>
          </w:tcPr>
          <w:p w14:paraId="5452AB52" w14:textId="230AC81D" w:rsidR="00B6429D" w:rsidRPr="00B6429D" w:rsidRDefault="00B57428" w:rsidP="006D3C9F">
            <w:pPr>
              <w:jc w:val="center"/>
              <w:rPr>
                <w:rFonts w:cs="Arial"/>
                <w:szCs w:val="20"/>
              </w:rPr>
            </w:pPr>
            <w:r w:rsidRPr="00B57428">
              <w:rPr>
                <w:rFonts w:cs="Arial"/>
                <w:szCs w:val="20"/>
              </w:rPr>
              <w:t>2</w:t>
            </w:r>
          </w:p>
        </w:tc>
        <w:tc>
          <w:tcPr>
            <w:tcW w:w="1537" w:type="dxa"/>
            <w:tcBorders>
              <w:top w:val="single" w:sz="4" w:space="0" w:color="auto"/>
              <w:left w:val="single" w:sz="4" w:space="0" w:color="auto"/>
              <w:bottom w:val="single" w:sz="4" w:space="0" w:color="auto"/>
              <w:right w:val="single" w:sz="4" w:space="0" w:color="auto"/>
            </w:tcBorders>
            <w:vAlign w:val="center"/>
          </w:tcPr>
          <w:p w14:paraId="02834E3F" w14:textId="1D679C91" w:rsidR="00B6429D" w:rsidRPr="00B6429D" w:rsidRDefault="00B57428" w:rsidP="006D3C9F">
            <w:pPr>
              <w:jc w:val="right"/>
              <w:rPr>
                <w:rFonts w:cs="Arial"/>
                <w:szCs w:val="20"/>
              </w:rPr>
            </w:pPr>
            <w:r w:rsidRPr="00B57428">
              <w:rPr>
                <w:rFonts w:cs="Arial"/>
                <w:szCs w:val="20"/>
              </w:rPr>
              <w:t>$2,265.18</w:t>
            </w:r>
          </w:p>
        </w:tc>
        <w:tc>
          <w:tcPr>
            <w:tcW w:w="2516" w:type="dxa"/>
            <w:tcBorders>
              <w:top w:val="single" w:sz="4" w:space="0" w:color="auto"/>
              <w:left w:val="single" w:sz="4" w:space="0" w:color="auto"/>
              <w:bottom w:val="single" w:sz="4" w:space="0" w:color="auto"/>
              <w:right w:val="single" w:sz="4" w:space="0" w:color="auto"/>
            </w:tcBorders>
            <w:vAlign w:val="center"/>
          </w:tcPr>
          <w:p w14:paraId="025D781E" w14:textId="69D40D4C" w:rsidR="00B6429D" w:rsidRPr="00B6429D" w:rsidRDefault="00B57428" w:rsidP="006D3C9F">
            <w:pPr>
              <w:jc w:val="right"/>
              <w:rPr>
                <w:rFonts w:cs="Arial"/>
                <w:szCs w:val="20"/>
              </w:rPr>
            </w:pPr>
            <w:r w:rsidRPr="00B57428">
              <w:rPr>
                <w:rFonts w:cs="Arial"/>
                <w:szCs w:val="20"/>
              </w:rPr>
              <w:t>$1,132.59</w:t>
            </w:r>
          </w:p>
        </w:tc>
      </w:tr>
      <w:tr w:rsidR="00B6429D" w:rsidRPr="00902CF9" w14:paraId="0DB5B5B3" w14:textId="77777777" w:rsidTr="006D3C9F">
        <w:trPr>
          <w:trHeight w:val="251"/>
          <w:jc w:val="center"/>
        </w:trPr>
        <w:tc>
          <w:tcPr>
            <w:tcW w:w="3886" w:type="dxa"/>
            <w:tcBorders>
              <w:top w:val="single" w:sz="4" w:space="0" w:color="auto"/>
              <w:left w:val="single" w:sz="4" w:space="0" w:color="auto"/>
              <w:bottom w:val="single" w:sz="4" w:space="0" w:color="auto"/>
              <w:right w:val="single" w:sz="4" w:space="0" w:color="auto"/>
            </w:tcBorders>
            <w:vAlign w:val="bottom"/>
          </w:tcPr>
          <w:p w14:paraId="27163891" w14:textId="77777777" w:rsidR="006D3C9F" w:rsidRDefault="00F4352E" w:rsidP="00F87CCE">
            <w:pPr>
              <w:rPr>
                <w:rFonts w:cs="Arial"/>
                <w:szCs w:val="20"/>
              </w:rPr>
            </w:pPr>
            <w:r w:rsidRPr="00F4352E">
              <w:rPr>
                <w:rFonts w:cs="Arial"/>
                <w:szCs w:val="20"/>
              </w:rPr>
              <w:t>TOLVAPTAN 30 MG TABLET</w:t>
            </w:r>
          </w:p>
          <w:p w14:paraId="41E6A05C" w14:textId="11E8B28B" w:rsidR="00B6429D" w:rsidRPr="00137C43" w:rsidRDefault="00CA6390" w:rsidP="00F87CCE">
            <w:pPr>
              <w:rPr>
                <w:rFonts w:cs="Arial"/>
                <w:szCs w:val="20"/>
              </w:rPr>
            </w:pPr>
            <w:r>
              <w:rPr>
                <w:rFonts w:cs="Arial"/>
                <w:szCs w:val="20"/>
              </w:rPr>
              <w:t xml:space="preserve">(generic </w:t>
            </w:r>
            <w:proofErr w:type="spellStart"/>
            <w:r>
              <w:rPr>
                <w:rFonts w:cs="Arial"/>
                <w:szCs w:val="20"/>
              </w:rPr>
              <w:t>Samsca</w:t>
            </w:r>
            <w:proofErr w:type="spellEnd"/>
            <w:r>
              <w:rPr>
                <w:rFonts w:cs="Arial"/>
                <w:szCs w:val="20"/>
              </w:rPr>
              <w:t>)</w:t>
            </w:r>
          </w:p>
        </w:tc>
        <w:tc>
          <w:tcPr>
            <w:tcW w:w="1232" w:type="dxa"/>
            <w:tcBorders>
              <w:top w:val="single" w:sz="4" w:space="0" w:color="auto"/>
              <w:left w:val="single" w:sz="4" w:space="0" w:color="auto"/>
              <w:bottom w:val="single" w:sz="4" w:space="0" w:color="auto"/>
              <w:right w:val="single" w:sz="4" w:space="0" w:color="auto"/>
            </w:tcBorders>
            <w:vAlign w:val="center"/>
          </w:tcPr>
          <w:p w14:paraId="47A2B819" w14:textId="42A4D2B5" w:rsidR="00B6429D" w:rsidRPr="00B6429D" w:rsidRDefault="00C259BE" w:rsidP="006D3C9F">
            <w:pPr>
              <w:jc w:val="center"/>
              <w:rPr>
                <w:rFonts w:cs="Arial"/>
                <w:szCs w:val="20"/>
              </w:rPr>
            </w:pPr>
            <w:r w:rsidRPr="00C259BE">
              <w:rPr>
                <w:rFonts w:cs="Arial"/>
                <w:szCs w:val="20"/>
              </w:rPr>
              <w:t>2</w:t>
            </w:r>
          </w:p>
        </w:tc>
        <w:tc>
          <w:tcPr>
            <w:tcW w:w="1537" w:type="dxa"/>
            <w:tcBorders>
              <w:top w:val="single" w:sz="4" w:space="0" w:color="auto"/>
              <w:left w:val="single" w:sz="4" w:space="0" w:color="auto"/>
              <w:bottom w:val="single" w:sz="4" w:space="0" w:color="auto"/>
              <w:right w:val="single" w:sz="4" w:space="0" w:color="auto"/>
            </w:tcBorders>
            <w:vAlign w:val="center"/>
          </w:tcPr>
          <w:p w14:paraId="487D6648" w14:textId="543663E3" w:rsidR="00B6429D" w:rsidRPr="00B6429D" w:rsidRDefault="00C259BE" w:rsidP="006D3C9F">
            <w:pPr>
              <w:jc w:val="right"/>
              <w:rPr>
                <w:rFonts w:cs="Arial"/>
                <w:szCs w:val="20"/>
              </w:rPr>
            </w:pPr>
            <w:r w:rsidRPr="00C259BE">
              <w:rPr>
                <w:rFonts w:cs="Arial"/>
                <w:szCs w:val="20"/>
              </w:rPr>
              <w:t>$4,492.15</w:t>
            </w:r>
          </w:p>
        </w:tc>
        <w:tc>
          <w:tcPr>
            <w:tcW w:w="2516" w:type="dxa"/>
            <w:tcBorders>
              <w:top w:val="single" w:sz="4" w:space="0" w:color="auto"/>
              <w:left w:val="single" w:sz="4" w:space="0" w:color="auto"/>
              <w:bottom w:val="single" w:sz="4" w:space="0" w:color="auto"/>
              <w:right w:val="single" w:sz="4" w:space="0" w:color="auto"/>
            </w:tcBorders>
            <w:vAlign w:val="center"/>
          </w:tcPr>
          <w:p w14:paraId="0DC9B1C6" w14:textId="7F3BA9C9" w:rsidR="00B6429D" w:rsidRPr="00B6429D" w:rsidRDefault="00C259BE" w:rsidP="006D3C9F">
            <w:pPr>
              <w:jc w:val="right"/>
              <w:rPr>
                <w:rFonts w:cs="Arial"/>
                <w:szCs w:val="20"/>
              </w:rPr>
            </w:pPr>
            <w:r w:rsidRPr="00C259BE">
              <w:rPr>
                <w:rFonts w:cs="Arial"/>
                <w:szCs w:val="20"/>
              </w:rPr>
              <w:t>$2,246.08</w:t>
            </w:r>
          </w:p>
        </w:tc>
      </w:tr>
    </w:tbl>
    <w:p w14:paraId="6413C027" w14:textId="18987979" w:rsidR="00AE77DB" w:rsidRPr="00C02553" w:rsidRDefault="00AE77DB" w:rsidP="00E354AA">
      <w:pPr>
        <w:pStyle w:val="Heading1"/>
        <w:rPr>
          <w:lang w:val="en-US"/>
        </w:rPr>
      </w:pPr>
      <w:r w:rsidRPr="00C02553">
        <w:rPr>
          <w:lang w:val="en-US"/>
        </w:rPr>
        <w:lastRenderedPageBreak/>
        <w:t xml:space="preserve">Setting &amp; Population </w:t>
      </w:r>
    </w:p>
    <w:p w14:paraId="04B7FBFB" w14:textId="74CA408E" w:rsidR="0097028A" w:rsidRPr="0079438F" w:rsidRDefault="0097028A" w:rsidP="00696E3A">
      <w:pPr>
        <w:rPr>
          <w:b/>
        </w:rPr>
      </w:pPr>
      <w:r w:rsidRPr="00696E3A">
        <w:rPr>
          <w:b/>
          <w:bCs/>
        </w:rPr>
        <w:t>Drug class for review:</w:t>
      </w:r>
      <w:r w:rsidRPr="00C02553">
        <w:t xml:space="preserve"> </w:t>
      </w:r>
      <w:r w:rsidR="0045325D" w:rsidRPr="0045325D">
        <w:t>Tolvaptan agents</w:t>
      </w:r>
    </w:p>
    <w:p w14:paraId="26CFE8A0" w14:textId="6E6E373C" w:rsidR="008524BA" w:rsidRDefault="0097028A" w:rsidP="00696E3A">
      <w:pPr>
        <w:rPr>
          <w:rFonts w:cs="Arial"/>
          <w:b/>
        </w:rPr>
      </w:pPr>
      <w:r w:rsidRPr="00696E3A">
        <w:rPr>
          <w:b/>
          <w:bCs/>
        </w:rPr>
        <w:t>Age range:</w:t>
      </w:r>
      <w:r w:rsidRPr="00C02553">
        <w:t xml:space="preserve"> </w:t>
      </w:r>
      <w:r w:rsidR="00F05F20" w:rsidRPr="00F05F20">
        <w:rPr>
          <w:rFonts w:cs="Arial"/>
        </w:rPr>
        <w:t>All appropriate MO HealthNet participants aged 18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A63F2C0" w14:textId="77777777" w:rsidR="00D22B74" w:rsidRPr="00D22B74" w:rsidRDefault="00D22B74" w:rsidP="00D22B74">
      <w:pPr>
        <w:numPr>
          <w:ilvl w:val="0"/>
          <w:numId w:val="16"/>
        </w:numPr>
        <w:contextualSpacing/>
        <w:rPr>
          <w:rFonts w:cs="Arial"/>
          <w:bCs/>
          <w:szCs w:val="20"/>
        </w:rPr>
      </w:pPr>
      <w:r w:rsidRPr="00D22B74">
        <w:rPr>
          <w:rFonts w:cs="Arial"/>
          <w:bCs/>
          <w:szCs w:val="20"/>
        </w:rPr>
        <w:t xml:space="preserve">Must meet </w:t>
      </w:r>
      <w:proofErr w:type="gramStart"/>
      <w:r w:rsidRPr="00D22B74">
        <w:rPr>
          <w:rFonts w:cs="Arial"/>
          <w:bCs/>
          <w:szCs w:val="20"/>
        </w:rPr>
        <w:t>all of</w:t>
      </w:r>
      <w:proofErr w:type="gramEnd"/>
      <w:r w:rsidRPr="00D22B74">
        <w:rPr>
          <w:rFonts w:cs="Arial"/>
          <w:bCs/>
          <w:szCs w:val="20"/>
        </w:rPr>
        <w:t xml:space="preserve"> the following:</w:t>
      </w:r>
    </w:p>
    <w:p w14:paraId="37646FE4" w14:textId="77777777" w:rsidR="00D22B74" w:rsidRPr="00D22B74" w:rsidRDefault="00D22B74" w:rsidP="00D22B74">
      <w:pPr>
        <w:numPr>
          <w:ilvl w:val="1"/>
          <w:numId w:val="16"/>
        </w:numPr>
        <w:ind w:left="720"/>
        <w:contextualSpacing/>
        <w:rPr>
          <w:rFonts w:cs="Arial"/>
          <w:bCs/>
          <w:szCs w:val="20"/>
        </w:rPr>
      </w:pPr>
      <w:proofErr w:type="gramStart"/>
      <w:r w:rsidRPr="00D22B74">
        <w:rPr>
          <w:rFonts w:cs="Arial"/>
          <w:bCs/>
          <w:szCs w:val="20"/>
        </w:rPr>
        <w:t>Participant</w:t>
      </w:r>
      <w:proofErr w:type="gramEnd"/>
      <w:r w:rsidRPr="00D22B74">
        <w:rPr>
          <w:rFonts w:cs="Arial"/>
          <w:bCs/>
          <w:szCs w:val="20"/>
        </w:rPr>
        <w:t xml:space="preserve"> aged 18 years or older.</w:t>
      </w:r>
    </w:p>
    <w:p w14:paraId="232543E3" w14:textId="77777777" w:rsidR="00D22B74" w:rsidRPr="00D22B74" w:rsidRDefault="00D22B74" w:rsidP="00D22B74">
      <w:pPr>
        <w:numPr>
          <w:ilvl w:val="0"/>
          <w:numId w:val="16"/>
        </w:numPr>
        <w:contextualSpacing/>
        <w:rPr>
          <w:rFonts w:cs="Arial"/>
          <w:bCs/>
          <w:szCs w:val="20"/>
        </w:rPr>
      </w:pPr>
      <w:r w:rsidRPr="00D22B74">
        <w:rPr>
          <w:rFonts w:cs="Arial"/>
          <w:bCs/>
          <w:szCs w:val="20"/>
        </w:rPr>
        <w:t xml:space="preserve">Additional approval criteria for </w:t>
      </w:r>
      <w:proofErr w:type="spellStart"/>
      <w:r w:rsidRPr="00D22B74">
        <w:rPr>
          <w:rFonts w:cs="Arial"/>
          <w:bCs/>
          <w:szCs w:val="20"/>
        </w:rPr>
        <w:t>Jynarque</w:t>
      </w:r>
      <w:proofErr w:type="spellEnd"/>
      <w:r w:rsidRPr="00D22B74">
        <w:rPr>
          <w:rFonts w:cs="Arial"/>
          <w:bCs/>
          <w:szCs w:val="20"/>
        </w:rPr>
        <w:t xml:space="preserve"> – must meet </w:t>
      </w:r>
      <w:proofErr w:type="gramStart"/>
      <w:r w:rsidRPr="00D22B74">
        <w:rPr>
          <w:rFonts w:cs="Arial"/>
          <w:bCs/>
          <w:szCs w:val="20"/>
        </w:rPr>
        <w:t>all of</w:t>
      </w:r>
      <w:proofErr w:type="gramEnd"/>
      <w:r w:rsidRPr="00D22B74">
        <w:rPr>
          <w:rFonts w:cs="Arial"/>
          <w:bCs/>
          <w:szCs w:val="20"/>
        </w:rPr>
        <w:t xml:space="preserve"> the following:</w:t>
      </w:r>
    </w:p>
    <w:p w14:paraId="67AA2EEF" w14:textId="77777777" w:rsidR="00D22B74" w:rsidRPr="00D22B74" w:rsidRDefault="00D22B74" w:rsidP="00D22B74">
      <w:pPr>
        <w:numPr>
          <w:ilvl w:val="1"/>
          <w:numId w:val="16"/>
        </w:numPr>
        <w:ind w:left="720"/>
        <w:contextualSpacing/>
        <w:rPr>
          <w:rFonts w:cs="Arial"/>
          <w:bCs/>
          <w:szCs w:val="20"/>
        </w:rPr>
      </w:pPr>
      <w:r w:rsidRPr="00D22B74">
        <w:rPr>
          <w:rFonts w:cs="Arial"/>
          <w:bCs/>
          <w:szCs w:val="20"/>
        </w:rPr>
        <w:t xml:space="preserve">Prescribed by or in consultation with a nephrologist or other appropriate specialist in the disease </w:t>
      </w:r>
      <w:proofErr w:type="gramStart"/>
      <w:r w:rsidRPr="00D22B74">
        <w:rPr>
          <w:rFonts w:cs="Arial"/>
          <w:bCs/>
          <w:szCs w:val="20"/>
        </w:rPr>
        <w:t>state;</w:t>
      </w:r>
      <w:proofErr w:type="gramEnd"/>
    </w:p>
    <w:p w14:paraId="06D76E01" w14:textId="77777777" w:rsidR="00D22B74" w:rsidRPr="00D22B74" w:rsidRDefault="00D22B74" w:rsidP="00D22B74">
      <w:pPr>
        <w:numPr>
          <w:ilvl w:val="1"/>
          <w:numId w:val="16"/>
        </w:numPr>
        <w:ind w:left="720"/>
        <w:contextualSpacing/>
        <w:rPr>
          <w:rFonts w:cs="Arial"/>
          <w:bCs/>
          <w:szCs w:val="20"/>
        </w:rPr>
      </w:pPr>
      <w:r w:rsidRPr="00D22B74">
        <w:rPr>
          <w:rFonts w:cs="Arial"/>
          <w:bCs/>
          <w:szCs w:val="20"/>
        </w:rPr>
        <w:t>Documented diagnosis of rapidly progressing ADPKD</w:t>
      </w:r>
      <w:r w:rsidRPr="00D22B74">
        <w:rPr>
          <w:rFonts w:cs="Arial"/>
          <w:b/>
          <w:szCs w:val="20"/>
        </w:rPr>
        <w:t>;</w:t>
      </w:r>
    </w:p>
    <w:p w14:paraId="11A3D46A" w14:textId="77777777" w:rsidR="00D22B74" w:rsidRPr="00D22B74" w:rsidRDefault="00D22B74" w:rsidP="00D22B74">
      <w:pPr>
        <w:numPr>
          <w:ilvl w:val="1"/>
          <w:numId w:val="16"/>
        </w:numPr>
        <w:ind w:left="720"/>
        <w:contextualSpacing/>
        <w:rPr>
          <w:rFonts w:cs="Arial"/>
          <w:bCs/>
          <w:szCs w:val="20"/>
        </w:rPr>
      </w:pPr>
      <w:r w:rsidRPr="00D22B74">
        <w:rPr>
          <w:rFonts w:cs="Arial"/>
          <w:bCs/>
          <w:szCs w:val="20"/>
        </w:rPr>
        <w:t xml:space="preserve">Documented eGFR ≥ 25 ml/min; </w:t>
      </w:r>
      <w:r w:rsidRPr="00D22B74">
        <w:rPr>
          <w:rFonts w:cs="Arial"/>
          <w:b/>
          <w:szCs w:val="20"/>
        </w:rPr>
        <w:t>AND</w:t>
      </w:r>
    </w:p>
    <w:p w14:paraId="551894E3" w14:textId="77777777" w:rsidR="00D22B74" w:rsidRPr="00D22B74" w:rsidRDefault="00D22B74" w:rsidP="00D22B74">
      <w:pPr>
        <w:numPr>
          <w:ilvl w:val="1"/>
          <w:numId w:val="16"/>
        </w:numPr>
        <w:ind w:left="720"/>
        <w:contextualSpacing/>
        <w:rPr>
          <w:rFonts w:cs="Arial"/>
          <w:b/>
          <w:szCs w:val="20"/>
        </w:rPr>
      </w:pPr>
      <w:r w:rsidRPr="00D22B74">
        <w:rPr>
          <w:rFonts w:cs="Arial"/>
          <w:bCs/>
          <w:szCs w:val="20"/>
        </w:rPr>
        <w:t>Documented baseline and/or current liver function tests (LFTs).</w:t>
      </w:r>
    </w:p>
    <w:p w14:paraId="2B14B304" w14:textId="77777777" w:rsidR="00D22B74" w:rsidRPr="00D22B74" w:rsidRDefault="00D22B74" w:rsidP="00D22B74">
      <w:pPr>
        <w:numPr>
          <w:ilvl w:val="0"/>
          <w:numId w:val="16"/>
        </w:numPr>
        <w:contextualSpacing/>
        <w:rPr>
          <w:rFonts w:cs="Arial"/>
          <w:bCs/>
          <w:szCs w:val="20"/>
        </w:rPr>
      </w:pPr>
      <w:r w:rsidRPr="00D22B74">
        <w:rPr>
          <w:rFonts w:cs="Arial"/>
          <w:bCs/>
          <w:szCs w:val="20"/>
        </w:rPr>
        <w:t xml:space="preserve">Additional approval criteria for </w:t>
      </w:r>
      <w:proofErr w:type="spellStart"/>
      <w:r w:rsidRPr="00D22B74">
        <w:rPr>
          <w:rFonts w:cs="Arial"/>
          <w:bCs/>
          <w:szCs w:val="20"/>
        </w:rPr>
        <w:t>Samsca</w:t>
      </w:r>
      <w:proofErr w:type="spellEnd"/>
      <w:r w:rsidRPr="00D22B74">
        <w:rPr>
          <w:rFonts w:cs="Arial"/>
          <w:bCs/>
          <w:szCs w:val="20"/>
        </w:rPr>
        <w:t xml:space="preserve"> – must meet </w:t>
      </w:r>
      <w:proofErr w:type="gramStart"/>
      <w:r w:rsidRPr="00D22B74">
        <w:rPr>
          <w:rFonts w:cs="Arial"/>
          <w:bCs/>
          <w:szCs w:val="20"/>
        </w:rPr>
        <w:t>all of</w:t>
      </w:r>
      <w:proofErr w:type="gramEnd"/>
      <w:r w:rsidRPr="00D22B74">
        <w:rPr>
          <w:rFonts w:cs="Arial"/>
          <w:bCs/>
          <w:szCs w:val="20"/>
        </w:rPr>
        <w:t xml:space="preserve"> the following:</w:t>
      </w:r>
    </w:p>
    <w:p w14:paraId="54245F2B" w14:textId="77777777" w:rsidR="00D22B74" w:rsidRPr="00D22B74" w:rsidRDefault="00D22B74" w:rsidP="00D22B74">
      <w:pPr>
        <w:numPr>
          <w:ilvl w:val="1"/>
          <w:numId w:val="16"/>
        </w:numPr>
        <w:tabs>
          <w:tab w:val="left" w:pos="720"/>
        </w:tabs>
        <w:ind w:left="720"/>
        <w:contextualSpacing/>
        <w:rPr>
          <w:rFonts w:cs="Arial"/>
          <w:bCs/>
          <w:szCs w:val="20"/>
        </w:rPr>
      </w:pPr>
      <w:r w:rsidRPr="00D22B74">
        <w:rPr>
          <w:rFonts w:cs="Arial"/>
          <w:bCs/>
          <w:szCs w:val="20"/>
        </w:rPr>
        <w:t xml:space="preserve">Prescribed by or in consultation with a nephrologist, cardiologist, endocrinologist, or other appropriate specialist in the treated disease state; </w:t>
      </w:r>
      <w:r w:rsidRPr="00D22B74">
        <w:rPr>
          <w:rFonts w:cs="Arial"/>
          <w:b/>
          <w:szCs w:val="20"/>
        </w:rPr>
        <w:t>AND</w:t>
      </w:r>
    </w:p>
    <w:p w14:paraId="1263CFBD" w14:textId="77777777" w:rsidR="00D22B74" w:rsidRPr="00D22B74" w:rsidRDefault="00D22B74" w:rsidP="00D22B74">
      <w:pPr>
        <w:numPr>
          <w:ilvl w:val="1"/>
          <w:numId w:val="16"/>
        </w:numPr>
        <w:tabs>
          <w:tab w:val="left" w:pos="720"/>
        </w:tabs>
        <w:ind w:left="720"/>
        <w:contextualSpacing/>
        <w:rPr>
          <w:rFonts w:cs="Arial"/>
          <w:bCs/>
          <w:szCs w:val="20"/>
        </w:rPr>
      </w:pPr>
      <w:r w:rsidRPr="00D22B74">
        <w:rPr>
          <w:rFonts w:cs="Arial"/>
          <w:bCs/>
          <w:szCs w:val="20"/>
        </w:rPr>
        <w:t>Documented diagnosis of hypervolemic or euvolemic hyponatremia.</w:t>
      </w:r>
    </w:p>
    <w:p w14:paraId="1A253458" w14:textId="77777777" w:rsidR="00D22B74" w:rsidRPr="00D22B74" w:rsidRDefault="00D22B74" w:rsidP="00D22B74">
      <w:pPr>
        <w:numPr>
          <w:ilvl w:val="1"/>
          <w:numId w:val="16"/>
        </w:numPr>
        <w:tabs>
          <w:tab w:val="left" w:pos="720"/>
        </w:tabs>
        <w:ind w:left="720"/>
        <w:contextualSpacing/>
        <w:rPr>
          <w:rFonts w:cs="Arial"/>
          <w:bCs/>
          <w:szCs w:val="20"/>
        </w:rPr>
      </w:pPr>
      <w:r w:rsidRPr="00D22B74">
        <w:rPr>
          <w:rFonts w:cs="Arial"/>
          <w:bCs/>
          <w:szCs w:val="20"/>
        </w:rPr>
        <w:t>Claims exceeding 30 days of therapy per year: Clinical Consultant Review required.</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012D266F" w14:textId="77777777" w:rsidR="0062633A" w:rsidRPr="0062633A" w:rsidRDefault="0062633A" w:rsidP="0062633A">
      <w:pPr>
        <w:numPr>
          <w:ilvl w:val="0"/>
          <w:numId w:val="17"/>
        </w:numPr>
        <w:rPr>
          <w:rFonts w:cs="Arial"/>
        </w:rPr>
      </w:pPr>
      <w:r w:rsidRPr="0062633A">
        <w:rPr>
          <w:rFonts w:cs="Arial"/>
        </w:rPr>
        <w:t xml:space="preserve">Therapy will deny </w:t>
      </w:r>
      <w:proofErr w:type="gramStart"/>
      <w:r w:rsidRPr="0062633A">
        <w:rPr>
          <w:rFonts w:cs="Arial"/>
        </w:rPr>
        <w:t>with</w:t>
      </w:r>
      <w:proofErr w:type="gramEnd"/>
      <w:r w:rsidRPr="0062633A">
        <w:rPr>
          <w:rFonts w:cs="Arial"/>
        </w:rPr>
        <w:t xml:space="preserve"> presence of one of the following:</w:t>
      </w:r>
    </w:p>
    <w:p w14:paraId="3C2819D6" w14:textId="77777777" w:rsidR="0062633A" w:rsidRPr="0062633A" w:rsidRDefault="0062633A" w:rsidP="0062633A">
      <w:pPr>
        <w:numPr>
          <w:ilvl w:val="1"/>
          <w:numId w:val="17"/>
        </w:numPr>
        <w:rPr>
          <w:rFonts w:cs="Arial"/>
          <w:noProof/>
          <w:szCs w:val="20"/>
        </w:rPr>
      </w:pPr>
      <w:r w:rsidRPr="0062633A">
        <w:rPr>
          <w:rFonts w:cs="Arial"/>
        </w:rPr>
        <w:t>Any approval criteria are not met;</w:t>
      </w:r>
    </w:p>
    <w:p w14:paraId="6973F258" w14:textId="77777777" w:rsidR="0062633A" w:rsidRPr="0062633A" w:rsidRDefault="0062633A" w:rsidP="0062633A">
      <w:pPr>
        <w:numPr>
          <w:ilvl w:val="1"/>
          <w:numId w:val="17"/>
        </w:numPr>
        <w:rPr>
          <w:rFonts w:cs="Arial"/>
          <w:noProof/>
          <w:szCs w:val="20"/>
        </w:rPr>
      </w:pPr>
      <w:r w:rsidRPr="0062633A">
        <w:rPr>
          <w:rFonts w:cs="Arial"/>
          <w:noProof/>
          <w:szCs w:val="20"/>
        </w:rPr>
        <w:t xml:space="preserve">Documented diagnosis of hepatic impairment; </w:t>
      </w:r>
      <w:r w:rsidRPr="0062633A">
        <w:rPr>
          <w:rFonts w:cs="Arial"/>
          <w:b/>
          <w:bCs/>
          <w:noProof/>
          <w:szCs w:val="20"/>
        </w:rPr>
        <w:t>OR</w:t>
      </w:r>
    </w:p>
    <w:p w14:paraId="202509D7" w14:textId="77777777" w:rsidR="0062633A" w:rsidRPr="0062633A" w:rsidRDefault="0062633A" w:rsidP="0062633A">
      <w:pPr>
        <w:numPr>
          <w:ilvl w:val="1"/>
          <w:numId w:val="17"/>
        </w:numPr>
        <w:rPr>
          <w:rFonts w:cs="Arial"/>
          <w:noProof/>
          <w:szCs w:val="20"/>
        </w:rPr>
      </w:pPr>
      <w:r w:rsidRPr="0062633A">
        <w:rPr>
          <w:rFonts w:cs="Arial"/>
          <w:noProof/>
          <w:szCs w:val="20"/>
        </w:rPr>
        <w:t>Claim exceeds maximum dosing limitation for the following:</w:t>
      </w:r>
    </w:p>
    <w:tbl>
      <w:tblPr>
        <w:tblW w:w="81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1980"/>
        <w:gridCol w:w="2430"/>
      </w:tblGrid>
      <w:tr w:rsidR="0080126D" w:rsidRPr="008E4546" w14:paraId="3B323BD4" w14:textId="77777777" w:rsidTr="00990BD1">
        <w:tc>
          <w:tcPr>
            <w:tcW w:w="3780" w:type="dxa"/>
            <w:shd w:val="clear" w:color="auto" w:fill="FABF8F" w:themeFill="accent6" w:themeFillTint="99"/>
            <w:vAlign w:val="bottom"/>
          </w:tcPr>
          <w:p w14:paraId="2497E4B5" w14:textId="77777777" w:rsidR="0080126D" w:rsidRPr="008E4546" w:rsidRDefault="0080126D" w:rsidP="00990BD1">
            <w:pPr>
              <w:rPr>
                <w:rFonts w:cs="Arial"/>
                <w:b/>
                <w:bCs/>
                <w:szCs w:val="20"/>
              </w:rPr>
            </w:pPr>
            <w:r w:rsidRPr="008E4546">
              <w:rPr>
                <w:rFonts w:cs="Arial"/>
                <w:b/>
                <w:bCs/>
                <w:szCs w:val="20"/>
              </w:rPr>
              <w:t>Drug Description</w:t>
            </w:r>
          </w:p>
        </w:tc>
        <w:tc>
          <w:tcPr>
            <w:tcW w:w="1980" w:type="dxa"/>
            <w:shd w:val="clear" w:color="auto" w:fill="FABF8F" w:themeFill="accent6" w:themeFillTint="99"/>
            <w:vAlign w:val="bottom"/>
          </w:tcPr>
          <w:p w14:paraId="722DBA09" w14:textId="77777777" w:rsidR="0080126D" w:rsidRPr="008E4546" w:rsidRDefault="0080126D" w:rsidP="00990BD1">
            <w:pPr>
              <w:rPr>
                <w:rFonts w:cs="Arial"/>
                <w:b/>
                <w:bCs/>
                <w:szCs w:val="20"/>
              </w:rPr>
            </w:pPr>
            <w:r w:rsidRPr="008E4546">
              <w:rPr>
                <w:rFonts w:cs="Arial"/>
                <w:b/>
                <w:bCs/>
                <w:szCs w:val="20"/>
              </w:rPr>
              <w:t>Generic Equivalent</w:t>
            </w:r>
          </w:p>
        </w:tc>
        <w:tc>
          <w:tcPr>
            <w:tcW w:w="2430" w:type="dxa"/>
            <w:shd w:val="clear" w:color="auto" w:fill="FABF8F" w:themeFill="accent6" w:themeFillTint="99"/>
          </w:tcPr>
          <w:p w14:paraId="5F46D3A5" w14:textId="77777777" w:rsidR="0080126D" w:rsidRPr="008E4546" w:rsidRDefault="0080126D" w:rsidP="00990BD1">
            <w:pPr>
              <w:rPr>
                <w:rFonts w:cs="Arial"/>
                <w:b/>
                <w:bCs/>
                <w:szCs w:val="20"/>
              </w:rPr>
            </w:pPr>
            <w:r w:rsidRPr="008E4546">
              <w:rPr>
                <w:rFonts w:cs="Arial"/>
                <w:b/>
                <w:bCs/>
                <w:szCs w:val="20"/>
              </w:rPr>
              <w:t>Max Dosing Limitation</w:t>
            </w:r>
          </w:p>
        </w:tc>
      </w:tr>
      <w:tr w:rsidR="0080126D" w:rsidRPr="008E4546" w14:paraId="03C88B26" w14:textId="77777777" w:rsidTr="00990BD1">
        <w:trPr>
          <w:trHeight w:val="233"/>
        </w:trPr>
        <w:tc>
          <w:tcPr>
            <w:tcW w:w="3780" w:type="dxa"/>
            <w:tcBorders>
              <w:top w:val="single" w:sz="4" w:space="0" w:color="auto"/>
              <w:left w:val="single" w:sz="4" w:space="0" w:color="auto"/>
              <w:bottom w:val="single" w:sz="4" w:space="0" w:color="auto"/>
              <w:right w:val="single" w:sz="4" w:space="0" w:color="auto"/>
            </w:tcBorders>
            <w:vAlign w:val="center"/>
          </w:tcPr>
          <w:p w14:paraId="112E1A85" w14:textId="77777777" w:rsidR="0080126D" w:rsidRPr="00C2328F" w:rsidRDefault="0080126D" w:rsidP="00990BD1">
            <w:pPr>
              <w:contextualSpacing/>
              <w:rPr>
                <w:rFonts w:cs="Arial"/>
                <w:caps/>
                <w:color w:val="000000" w:themeColor="text1"/>
              </w:rPr>
            </w:pPr>
            <w:r w:rsidRPr="005B13B8">
              <w:rPr>
                <w:rFonts w:cs="Arial"/>
                <w:caps/>
                <w:spacing w:val="-3"/>
                <w:szCs w:val="20"/>
              </w:rPr>
              <w:t>Jynarque 15</w:t>
            </w:r>
            <w:r>
              <w:rPr>
                <w:rFonts w:cs="Arial"/>
                <w:caps/>
                <w:spacing w:val="-3"/>
                <w:szCs w:val="20"/>
              </w:rPr>
              <w:t xml:space="preserve"> </w:t>
            </w:r>
            <w:r w:rsidRPr="005B13B8">
              <w:rPr>
                <w:rFonts w:cs="Arial"/>
                <w:caps/>
                <w:spacing w:val="-3"/>
                <w:szCs w:val="20"/>
              </w:rPr>
              <w:t>mg tablet</w:t>
            </w:r>
          </w:p>
        </w:tc>
        <w:tc>
          <w:tcPr>
            <w:tcW w:w="1980" w:type="dxa"/>
            <w:tcBorders>
              <w:top w:val="single" w:sz="4" w:space="0" w:color="auto"/>
              <w:left w:val="single" w:sz="4" w:space="0" w:color="auto"/>
              <w:bottom w:val="single" w:sz="4" w:space="0" w:color="auto"/>
              <w:right w:val="single" w:sz="4" w:space="0" w:color="auto"/>
            </w:tcBorders>
            <w:vAlign w:val="center"/>
          </w:tcPr>
          <w:p w14:paraId="30BC2660" w14:textId="77777777" w:rsidR="0080126D" w:rsidRPr="00C2328F" w:rsidRDefault="0080126D" w:rsidP="00990BD1">
            <w:pPr>
              <w:rPr>
                <w:rFonts w:cs="Arial"/>
                <w:caps/>
                <w:color w:val="000000" w:themeColor="text1"/>
              </w:rPr>
            </w:pPr>
            <w:r>
              <w:rPr>
                <w:rFonts w:cs="Arial"/>
                <w:caps/>
                <w:color w:val="000000" w:themeColor="text1"/>
              </w:rPr>
              <w:t>Tolvaptan</w:t>
            </w:r>
          </w:p>
        </w:tc>
        <w:tc>
          <w:tcPr>
            <w:tcW w:w="2430" w:type="dxa"/>
            <w:tcBorders>
              <w:top w:val="single" w:sz="4" w:space="0" w:color="auto"/>
              <w:left w:val="single" w:sz="4" w:space="0" w:color="auto"/>
              <w:bottom w:val="single" w:sz="4" w:space="0" w:color="auto"/>
              <w:right w:val="single" w:sz="4" w:space="0" w:color="auto"/>
            </w:tcBorders>
            <w:vAlign w:val="bottom"/>
          </w:tcPr>
          <w:p w14:paraId="3D190458" w14:textId="77777777" w:rsidR="0080126D" w:rsidRPr="00C2328F" w:rsidRDefault="0080126D" w:rsidP="00990BD1">
            <w:pPr>
              <w:rPr>
                <w:rFonts w:cs="Arial"/>
                <w:color w:val="000000" w:themeColor="text1"/>
              </w:rPr>
            </w:pPr>
            <w:r>
              <w:rPr>
                <w:rFonts w:cs="Arial"/>
                <w:color w:val="000000" w:themeColor="text1"/>
              </w:rPr>
              <w:t>2 TABLETS PER DAY</w:t>
            </w:r>
          </w:p>
        </w:tc>
      </w:tr>
      <w:tr w:rsidR="0080126D" w:rsidRPr="008E4546" w14:paraId="06D70D61" w14:textId="77777777" w:rsidTr="00990BD1">
        <w:trPr>
          <w:trHeight w:val="233"/>
        </w:trPr>
        <w:tc>
          <w:tcPr>
            <w:tcW w:w="3780" w:type="dxa"/>
            <w:tcBorders>
              <w:top w:val="single" w:sz="4" w:space="0" w:color="auto"/>
              <w:left w:val="single" w:sz="4" w:space="0" w:color="auto"/>
              <w:bottom w:val="single" w:sz="4" w:space="0" w:color="auto"/>
              <w:right w:val="single" w:sz="4" w:space="0" w:color="auto"/>
            </w:tcBorders>
            <w:vAlign w:val="center"/>
          </w:tcPr>
          <w:p w14:paraId="3F8EE8DA" w14:textId="77777777" w:rsidR="0080126D" w:rsidRPr="00C2328F" w:rsidRDefault="0080126D" w:rsidP="00990BD1">
            <w:pPr>
              <w:contextualSpacing/>
              <w:rPr>
                <w:rFonts w:cs="Arial"/>
                <w:caps/>
                <w:color w:val="000000" w:themeColor="text1"/>
              </w:rPr>
            </w:pPr>
            <w:r w:rsidRPr="005B13B8">
              <w:rPr>
                <w:rFonts w:cs="Arial"/>
                <w:caps/>
                <w:spacing w:val="-3"/>
                <w:szCs w:val="20"/>
              </w:rPr>
              <w:t>Jynarque 30</w:t>
            </w:r>
            <w:r>
              <w:rPr>
                <w:rFonts w:cs="Arial"/>
                <w:caps/>
                <w:spacing w:val="-3"/>
                <w:szCs w:val="20"/>
              </w:rPr>
              <w:t xml:space="preserve"> </w:t>
            </w:r>
            <w:r w:rsidRPr="005B13B8">
              <w:rPr>
                <w:rFonts w:cs="Arial"/>
                <w:caps/>
                <w:spacing w:val="-3"/>
                <w:szCs w:val="20"/>
              </w:rPr>
              <w:t>mg tablet</w:t>
            </w:r>
          </w:p>
        </w:tc>
        <w:tc>
          <w:tcPr>
            <w:tcW w:w="1980" w:type="dxa"/>
            <w:tcBorders>
              <w:top w:val="single" w:sz="4" w:space="0" w:color="auto"/>
              <w:left w:val="single" w:sz="4" w:space="0" w:color="auto"/>
              <w:bottom w:val="single" w:sz="4" w:space="0" w:color="auto"/>
              <w:right w:val="single" w:sz="4" w:space="0" w:color="auto"/>
            </w:tcBorders>
          </w:tcPr>
          <w:p w14:paraId="6887C7F0" w14:textId="77777777" w:rsidR="0080126D" w:rsidRPr="00C2328F" w:rsidRDefault="0080126D" w:rsidP="00990BD1">
            <w:pPr>
              <w:rPr>
                <w:rFonts w:cs="Arial"/>
                <w:caps/>
                <w:color w:val="000000" w:themeColor="text1"/>
              </w:rPr>
            </w:pPr>
            <w:r w:rsidRPr="002D3D54">
              <w:rPr>
                <w:rFonts w:cs="Arial"/>
                <w:caps/>
                <w:color w:val="000000" w:themeColor="text1"/>
              </w:rPr>
              <w:t>Tolvaptan</w:t>
            </w:r>
          </w:p>
        </w:tc>
        <w:tc>
          <w:tcPr>
            <w:tcW w:w="2430" w:type="dxa"/>
            <w:tcBorders>
              <w:top w:val="single" w:sz="4" w:space="0" w:color="auto"/>
              <w:left w:val="single" w:sz="4" w:space="0" w:color="auto"/>
              <w:bottom w:val="single" w:sz="4" w:space="0" w:color="auto"/>
              <w:right w:val="single" w:sz="4" w:space="0" w:color="auto"/>
            </w:tcBorders>
          </w:tcPr>
          <w:p w14:paraId="3C0E2CBC" w14:textId="77777777" w:rsidR="0080126D" w:rsidRPr="00C2328F" w:rsidRDefault="0080126D" w:rsidP="00990BD1">
            <w:pPr>
              <w:rPr>
                <w:rFonts w:cs="Arial"/>
                <w:color w:val="000000" w:themeColor="text1"/>
              </w:rPr>
            </w:pPr>
            <w:r w:rsidRPr="00417657">
              <w:rPr>
                <w:rFonts w:cs="Arial"/>
                <w:color w:val="000000" w:themeColor="text1"/>
              </w:rPr>
              <w:t>2 TABLETS PER DAY</w:t>
            </w:r>
          </w:p>
        </w:tc>
      </w:tr>
      <w:tr w:rsidR="0080126D" w:rsidRPr="008E4546" w14:paraId="37D76AA0" w14:textId="77777777" w:rsidTr="00990BD1">
        <w:trPr>
          <w:trHeight w:val="233"/>
        </w:trPr>
        <w:tc>
          <w:tcPr>
            <w:tcW w:w="3780" w:type="dxa"/>
            <w:tcBorders>
              <w:top w:val="single" w:sz="4" w:space="0" w:color="auto"/>
              <w:left w:val="single" w:sz="4" w:space="0" w:color="auto"/>
              <w:bottom w:val="single" w:sz="4" w:space="0" w:color="auto"/>
              <w:right w:val="single" w:sz="4" w:space="0" w:color="auto"/>
            </w:tcBorders>
            <w:vAlign w:val="center"/>
          </w:tcPr>
          <w:p w14:paraId="0328F6FE" w14:textId="77777777" w:rsidR="0080126D" w:rsidRPr="00C2328F" w:rsidRDefault="0080126D" w:rsidP="00990BD1">
            <w:pPr>
              <w:contextualSpacing/>
              <w:rPr>
                <w:rFonts w:cs="Arial"/>
                <w:caps/>
                <w:color w:val="000000" w:themeColor="text1"/>
              </w:rPr>
            </w:pPr>
            <w:r w:rsidRPr="005B13B8">
              <w:rPr>
                <w:rFonts w:cs="Arial"/>
                <w:caps/>
                <w:spacing w:val="-3"/>
                <w:szCs w:val="20"/>
              </w:rPr>
              <w:t xml:space="preserve">Jynarque </w:t>
            </w:r>
            <w:r>
              <w:rPr>
                <w:rFonts w:cs="Arial"/>
                <w:caps/>
                <w:spacing w:val="-3"/>
                <w:szCs w:val="20"/>
              </w:rPr>
              <w:t>1</w:t>
            </w:r>
            <w:r w:rsidRPr="005B13B8">
              <w:rPr>
                <w:rFonts w:cs="Arial"/>
                <w:caps/>
                <w:spacing w:val="-3"/>
                <w:szCs w:val="20"/>
              </w:rPr>
              <w:t>5</w:t>
            </w:r>
            <w:r>
              <w:rPr>
                <w:rFonts w:cs="Arial"/>
                <w:caps/>
                <w:spacing w:val="-3"/>
                <w:szCs w:val="20"/>
              </w:rPr>
              <w:t xml:space="preserve"> </w:t>
            </w:r>
            <w:r w:rsidRPr="005B13B8">
              <w:rPr>
                <w:rFonts w:cs="Arial"/>
                <w:caps/>
                <w:spacing w:val="-3"/>
                <w:szCs w:val="20"/>
              </w:rPr>
              <w:t>mg-15</w:t>
            </w:r>
            <w:r>
              <w:rPr>
                <w:rFonts w:cs="Arial"/>
                <w:caps/>
                <w:spacing w:val="-3"/>
                <w:szCs w:val="20"/>
              </w:rPr>
              <w:t xml:space="preserve"> </w:t>
            </w:r>
            <w:r w:rsidRPr="005B13B8">
              <w:rPr>
                <w:rFonts w:cs="Arial"/>
                <w:caps/>
                <w:spacing w:val="-3"/>
                <w:szCs w:val="20"/>
              </w:rPr>
              <w:t>mg pack</w:t>
            </w:r>
          </w:p>
        </w:tc>
        <w:tc>
          <w:tcPr>
            <w:tcW w:w="1980" w:type="dxa"/>
            <w:tcBorders>
              <w:top w:val="single" w:sz="4" w:space="0" w:color="auto"/>
              <w:left w:val="single" w:sz="4" w:space="0" w:color="auto"/>
              <w:bottom w:val="single" w:sz="4" w:space="0" w:color="auto"/>
              <w:right w:val="single" w:sz="4" w:space="0" w:color="auto"/>
            </w:tcBorders>
          </w:tcPr>
          <w:p w14:paraId="55981CF4" w14:textId="77777777" w:rsidR="0080126D" w:rsidRPr="00C2328F" w:rsidRDefault="0080126D" w:rsidP="00990BD1">
            <w:pPr>
              <w:rPr>
                <w:rFonts w:cs="Arial"/>
                <w:caps/>
                <w:color w:val="000000" w:themeColor="text1"/>
              </w:rPr>
            </w:pPr>
            <w:r w:rsidRPr="002D3D54">
              <w:rPr>
                <w:rFonts w:cs="Arial"/>
                <w:caps/>
                <w:color w:val="000000" w:themeColor="text1"/>
              </w:rPr>
              <w:t>Tolvaptan</w:t>
            </w:r>
          </w:p>
        </w:tc>
        <w:tc>
          <w:tcPr>
            <w:tcW w:w="2430" w:type="dxa"/>
            <w:tcBorders>
              <w:top w:val="single" w:sz="4" w:space="0" w:color="auto"/>
              <w:left w:val="single" w:sz="4" w:space="0" w:color="auto"/>
              <w:bottom w:val="single" w:sz="4" w:space="0" w:color="auto"/>
              <w:right w:val="single" w:sz="4" w:space="0" w:color="auto"/>
            </w:tcBorders>
          </w:tcPr>
          <w:p w14:paraId="479B9CB3" w14:textId="77777777" w:rsidR="0080126D" w:rsidRPr="00C2328F" w:rsidRDefault="0080126D" w:rsidP="00990BD1">
            <w:pPr>
              <w:rPr>
                <w:rFonts w:cs="Arial"/>
                <w:color w:val="000000" w:themeColor="text1"/>
              </w:rPr>
            </w:pPr>
            <w:r w:rsidRPr="00417657">
              <w:rPr>
                <w:rFonts w:cs="Arial"/>
                <w:color w:val="000000" w:themeColor="text1"/>
              </w:rPr>
              <w:t>2 TABLETS PER DAY</w:t>
            </w:r>
          </w:p>
        </w:tc>
      </w:tr>
      <w:tr w:rsidR="0080126D" w:rsidRPr="008E4546" w14:paraId="598C9064" w14:textId="77777777" w:rsidTr="00990BD1">
        <w:trPr>
          <w:trHeight w:val="233"/>
        </w:trPr>
        <w:tc>
          <w:tcPr>
            <w:tcW w:w="3780" w:type="dxa"/>
            <w:tcBorders>
              <w:top w:val="single" w:sz="4" w:space="0" w:color="auto"/>
              <w:left w:val="single" w:sz="4" w:space="0" w:color="auto"/>
              <w:bottom w:val="single" w:sz="4" w:space="0" w:color="auto"/>
              <w:right w:val="single" w:sz="4" w:space="0" w:color="auto"/>
            </w:tcBorders>
            <w:vAlign w:val="center"/>
          </w:tcPr>
          <w:p w14:paraId="5E224FAB" w14:textId="77777777" w:rsidR="0080126D" w:rsidRPr="00C2328F" w:rsidRDefault="0080126D" w:rsidP="00990BD1">
            <w:pPr>
              <w:contextualSpacing/>
              <w:rPr>
                <w:rFonts w:cs="Arial"/>
                <w:caps/>
                <w:color w:val="000000" w:themeColor="text1"/>
              </w:rPr>
            </w:pPr>
            <w:r w:rsidRPr="005B13B8">
              <w:rPr>
                <w:rFonts w:cs="Arial"/>
                <w:caps/>
                <w:spacing w:val="-3"/>
                <w:szCs w:val="20"/>
              </w:rPr>
              <w:t xml:space="preserve">Jynarque </w:t>
            </w:r>
            <w:r>
              <w:rPr>
                <w:rFonts w:cs="Arial"/>
                <w:caps/>
                <w:spacing w:val="-3"/>
                <w:szCs w:val="20"/>
              </w:rPr>
              <w:t xml:space="preserve">30 </w:t>
            </w:r>
            <w:r w:rsidRPr="005B13B8">
              <w:rPr>
                <w:rFonts w:cs="Arial"/>
                <w:caps/>
                <w:spacing w:val="-3"/>
                <w:szCs w:val="20"/>
              </w:rPr>
              <w:t>mg-15</w:t>
            </w:r>
            <w:r>
              <w:rPr>
                <w:rFonts w:cs="Arial"/>
                <w:caps/>
                <w:spacing w:val="-3"/>
                <w:szCs w:val="20"/>
              </w:rPr>
              <w:t xml:space="preserve"> </w:t>
            </w:r>
            <w:r w:rsidRPr="005B13B8">
              <w:rPr>
                <w:rFonts w:cs="Arial"/>
                <w:caps/>
                <w:spacing w:val="-3"/>
                <w:szCs w:val="20"/>
              </w:rPr>
              <w:t>mg pack</w:t>
            </w:r>
          </w:p>
        </w:tc>
        <w:tc>
          <w:tcPr>
            <w:tcW w:w="1980" w:type="dxa"/>
            <w:tcBorders>
              <w:top w:val="single" w:sz="4" w:space="0" w:color="auto"/>
              <w:left w:val="single" w:sz="4" w:space="0" w:color="auto"/>
              <w:bottom w:val="single" w:sz="4" w:space="0" w:color="auto"/>
              <w:right w:val="single" w:sz="4" w:space="0" w:color="auto"/>
            </w:tcBorders>
          </w:tcPr>
          <w:p w14:paraId="65574144" w14:textId="77777777" w:rsidR="0080126D" w:rsidRPr="00C2328F" w:rsidRDefault="0080126D" w:rsidP="00990BD1">
            <w:pPr>
              <w:rPr>
                <w:rFonts w:cs="Arial"/>
                <w:caps/>
                <w:color w:val="000000" w:themeColor="text1"/>
              </w:rPr>
            </w:pPr>
            <w:r w:rsidRPr="002D3D54">
              <w:rPr>
                <w:rFonts w:cs="Arial"/>
                <w:caps/>
                <w:color w:val="000000" w:themeColor="text1"/>
              </w:rPr>
              <w:t>Tolvaptan</w:t>
            </w:r>
          </w:p>
        </w:tc>
        <w:tc>
          <w:tcPr>
            <w:tcW w:w="2430" w:type="dxa"/>
            <w:tcBorders>
              <w:top w:val="single" w:sz="4" w:space="0" w:color="auto"/>
              <w:left w:val="single" w:sz="4" w:space="0" w:color="auto"/>
              <w:bottom w:val="single" w:sz="4" w:space="0" w:color="auto"/>
              <w:right w:val="single" w:sz="4" w:space="0" w:color="auto"/>
            </w:tcBorders>
          </w:tcPr>
          <w:p w14:paraId="5F6FA7FD" w14:textId="77777777" w:rsidR="0080126D" w:rsidRPr="00C2328F" w:rsidRDefault="0080126D" w:rsidP="00990BD1">
            <w:pPr>
              <w:rPr>
                <w:rFonts w:cs="Arial"/>
                <w:color w:val="000000" w:themeColor="text1"/>
              </w:rPr>
            </w:pPr>
            <w:r w:rsidRPr="00417657">
              <w:rPr>
                <w:rFonts w:cs="Arial"/>
                <w:color w:val="000000" w:themeColor="text1"/>
              </w:rPr>
              <w:t>2 TABLETS PER DAY</w:t>
            </w:r>
          </w:p>
        </w:tc>
      </w:tr>
      <w:tr w:rsidR="0080126D" w:rsidRPr="008E4546" w14:paraId="14A3C1A2" w14:textId="77777777" w:rsidTr="00990BD1">
        <w:trPr>
          <w:trHeight w:val="233"/>
        </w:trPr>
        <w:tc>
          <w:tcPr>
            <w:tcW w:w="3780" w:type="dxa"/>
            <w:tcBorders>
              <w:top w:val="single" w:sz="4" w:space="0" w:color="auto"/>
              <w:left w:val="single" w:sz="4" w:space="0" w:color="auto"/>
              <w:bottom w:val="single" w:sz="4" w:space="0" w:color="auto"/>
              <w:right w:val="single" w:sz="4" w:space="0" w:color="auto"/>
            </w:tcBorders>
            <w:vAlign w:val="center"/>
          </w:tcPr>
          <w:p w14:paraId="008C335C" w14:textId="77777777" w:rsidR="0080126D" w:rsidRPr="00C2328F" w:rsidRDefault="0080126D" w:rsidP="00990BD1">
            <w:pPr>
              <w:contextualSpacing/>
              <w:rPr>
                <w:rFonts w:cs="Arial"/>
                <w:color w:val="000000" w:themeColor="text1"/>
                <w:szCs w:val="20"/>
              </w:rPr>
            </w:pPr>
            <w:r w:rsidRPr="005B13B8">
              <w:rPr>
                <w:rFonts w:cs="Arial"/>
                <w:caps/>
                <w:spacing w:val="-3"/>
                <w:szCs w:val="20"/>
              </w:rPr>
              <w:t>Jynarque 45</w:t>
            </w:r>
            <w:r>
              <w:rPr>
                <w:rFonts w:cs="Arial"/>
                <w:caps/>
                <w:spacing w:val="-3"/>
                <w:szCs w:val="20"/>
              </w:rPr>
              <w:t xml:space="preserve"> </w:t>
            </w:r>
            <w:r w:rsidRPr="005B13B8">
              <w:rPr>
                <w:rFonts w:cs="Arial"/>
                <w:caps/>
                <w:spacing w:val="-3"/>
                <w:szCs w:val="20"/>
              </w:rPr>
              <w:t>mg-15</w:t>
            </w:r>
            <w:r>
              <w:rPr>
                <w:rFonts w:cs="Arial"/>
                <w:caps/>
                <w:spacing w:val="-3"/>
                <w:szCs w:val="20"/>
              </w:rPr>
              <w:t xml:space="preserve"> </w:t>
            </w:r>
            <w:r w:rsidRPr="005B13B8">
              <w:rPr>
                <w:rFonts w:cs="Arial"/>
                <w:caps/>
                <w:spacing w:val="-3"/>
                <w:szCs w:val="20"/>
              </w:rPr>
              <w:t>mg pack</w:t>
            </w:r>
          </w:p>
        </w:tc>
        <w:tc>
          <w:tcPr>
            <w:tcW w:w="1980" w:type="dxa"/>
            <w:tcBorders>
              <w:top w:val="single" w:sz="4" w:space="0" w:color="auto"/>
              <w:left w:val="single" w:sz="4" w:space="0" w:color="auto"/>
              <w:bottom w:val="single" w:sz="4" w:space="0" w:color="auto"/>
              <w:right w:val="single" w:sz="4" w:space="0" w:color="auto"/>
            </w:tcBorders>
          </w:tcPr>
          <w:p w14:paraId="1D9AFA89" w14:textId="77777777" w:rsidR="0080126D" w:rsidRPr="00C2328F" w:rsidRDefault="0080126D" w:rsidP="00990BD1">
            <w:pPr>
              <w:rPr>
                <w:rFonts w:cs="Arial"/>
                <w:color w:val="000000" w:themeColor="text1"/>
                <w:szCs w:val="20"/>
              </w:rPr>
            </w:pPr>
            <w:r w:rsidRPr="002D3D54">
              <w:rPr>
                <w:rFonts w:cs="Arial"/>
                <w:caps/>
                <w:color w:val="000000" w:themeColor="text1"/>
              </w:rPr>
              <w:t>Tolvaptan</w:t>
            </w:r>
          </w:p>
        </w:tc>
        <w:tc>
          <w:tcPr>
            <w:tcW w:w="2430" w:type="dxa"/>
            <w:tcBorders>
              <w:top w:val="single" w:sz="4" w:space="0" w:color="auto"/>
              <w:left w:val="single" w:sz="4" w:space="0" w:color="auto"/>
              <w:bottom w:val="single" w:sz="4" w:space="0" w:color="auto"/>
              <w:right w:val="single" w:sz="4" w:space="0" w:color="auto"/>
            </w:tcBorders>
          </w:tcPr>
          <w:p w14:paraId="5D8A1064" w14:textId="77777777" w:rsidR="0080126D" w:rsidRPr="00C2328F" w:rsidRDefault="0080126D" w:rsidP="00990BD1">
            <w:pPr>
              <w:rPr>
                <w:rFonts w:cs="Arial"/>
                <w:color w:val="000000" w:themeColor="text1"/>
                <w:szCs w:val="20"/>
              </w:rPr>
            </w:pPr>
            <w:r w:rsidRPr="00417657">
              <w:rPr>
                <w:rFonts w:cs="Arial"/>
                <w:color w:val="000000" w:themeColor="text1"/>
              </w:rPr>
              <w:t>2 TABLETS PER DAY</w:t>
            </w:r>
          </w:p>
        </w:tc>
      </w:tr>
      <w:tr w:rsidR="0080126D" w:rsidRPr="008E4546" w14:paraId="70487170" w14:textId="77777777" w:rsidTr="00990BD1">
        <w:tc>
          <w:tcPr>
            <w:tcW w:w="3780" w:type="dxa"/>
            <w:tcBorders>
              <w:top w:val="single" w:sz="4" w:space="0" w:color="auto"/>
              <w:left w:val="single" w:sz="4" w:space="0" w:color="auto"/>
              <w:bottom w:val="single" w:sz="4" w:space="0" w:color="auto"/>
              <w:right w:val="single" w:sz="4" w:space="0" w:color="auto"/>
            </w:tcBorders>
            <w:vAlign w:val="center"/>
          </w:tcPr>
          <w:p w14:paraId="694811DB" w14:textId="77777777" w:rsidR="0080126D" w:rsidRPr="008E4546" w:rsidRDefault="0080126D" w:rsidP="00990BD1">
            <w:pPr>
              <w:jc w:val="both"/>
              <w:rPr>
                <w:rFonts w:cs="Arial"/>
                <w:caps/>
              </w:rPr>
            </w:pPr>
            <w:r w:rsidRPr="005B13B8">
              <w:rPr>
                <w:rFonts w:cs="Arial"/>
                <w:caps/>
                <w:spacing w:val="-3"/>
                <w:szCs w:val="20"/>
              </w:rPr>
              <w:t>Jynarque 60</w:t>
            </w:r>
            <w:r>
              <w:rPr>
                <w:rFonts w:cs="Arial"/>
                <w:caps/>
                <w:spacing w:val="-3"/>
                <w:szCs w:val="20"/>
              </w:rPr>
              <w:t xml:space="preserve"> </w:t>
            </w:r>
            <w:r w:rsidRPr="005B13B8">
              <w:rPr>
                <w:rFonts w:cs="Arial"/>
                <w:caps/>
                <w:spacing w:val="-3"/>
                <w:szCs w:val="20"/>
              </w:rPr>
              <w:t>mg–30</w:t>
            </w:r>
            <w:r>
              <w:rPr>
                <w:rFonts w:cs="Arial"/>
                <w:caps/>
                <w:spacing w:val="-3"/>
                <w:szCs w:val="20"/>
              </w:rPr>
              <w:t xml:space="preserve"> </w:t>
            </w:r>
            <w:r w:rsidRPr="005B13B8">
              <w:rPr>
                <w:rFonts w:cs="Arial"/>
                <w:caps/>
                <w:spacing w:val="-3"/>
                <w:szCs w:val="20"/>
              </w:rPr>
              <w:t>mg pack</w:t>
            </w:r>
          </w:p>
        </w:tc>
        <w:tc>
          <w:tcPr>
            <w:tcW w:w="1980" w:type="dxa"/>
            <w:tcBorders>
              <w:top w:val="single" w:sz="4" w:space="0" w:color="auto"/>
              <w:left w:val="single" w:sz="4" w:space="0" w:color="auto"/>
              <w:bottom w:val="single" w:sz="4" w:space="0" w:color="auto"/>
              <w:right w:val="single" w:sz="4" w:space="0" w:color="auto"/>
            </w:tcBorders>
          </w:tcPr>
          <w:p w14:paraId="0CE1ECA2" w14:textId="77777777" w:rsidR="0080126D" w:rsidRPr="008E4546" w:rsidRDefault="0080126D" w:rsidP="00990BD1">
            <w:pPr>
              <w:rPr>
                <w:rFonts w:cs="Arial"/>
                <w:caps/>
              </w:rPr>
            </w:pPr>
            <w:r w:rsidRPr="002D3D54">
              <w:rPr>
                <w:rFonts w:cs="Arial"/>
                <w:caps/>
                <w:color w:val="000000" w:themeColor="text1"/>
              </w:rPr>
              <w:t>Tolvaptan</w:t>
            </w:r>
          </w:p>
        </w:tc>
        <w:tc>
          <w:tcPr>
            <w:tcW w:w="2430" w:type="dxa"/>
            <w:tcBorders>
              <w:top w:val="single" w:sz="4" w:space="0" w:color="auto"/>
              <w:left w:val="single" w:sz="4" w:space="0" w:color="auto"/>
              <w:bottom w:val="single" w:sz="4" w:space="0" w:color="auto"/>
              <w:right w:val="single" w:sz="4" w:space="0" w:color="auto"/>
            </w:tcBorders>
          </w:tcPr>
          <w:p w14:paraId="523FAFCF" w14:textId="77777777" w:rsidR="0080126D" w:rsidRPr="008E4546" w:rsidRDefault="0080126D" w:rsidP="00990BD1">
            <w:pPr>
              <w:rPr>
                <w:rFonts w:cs="Arial"/>
              </w:rPr>
            </w:pPr>
            <w:r w:rsidRPr="00417657">
              <w:rPr>
                <w:rFonts w:cs="Arial"/>
                <w:color w:val="000000" w:themeColor="text1"/>
              </w:rPr>
              <w:t>2 TABLETS PER DAY</w:t>
            </w:r>
          </w:p>
        </w:tc>
      </w:tr>
      <w:tr w:rsidR="0080126D" w:rsidRPr="008E4546" w14:paraId="4F2187B1" w14:textId="77777777" w:rsidTr="00990BD1">
        <w:tc>
          <w:tcPr>
            <w:tcW w:w="3780" w:type="dxa"/>
            <w:tcBorders>
              <w:top w:val="single" w:sz="4" w:space="0" w:color="auto"/>
              <w:left w:val="single" w:sz="4" w:space="0" w:color="auto"/>
              <w:bottom w:val="single" w:sz="4" w:space="0" w:color="auto"/>
              <w:right w:val="single" w:sz="4" w:space="0" w:color="auto"/>
            </w:tcBorders>
            <w:vAlign w:val="center"/>
          </w:tcPr>
          <w:p w14:paraId="2634BC57" w14:textId="77777777" w:rsidR="0080126D" w:rsidRPr="008E4546" w:rsidRDefault="0080126D" w:rsidP="00990BD1">
            <w:pPr>
              <w:jc w:val="both"/>
              <w:rPr>
                <w:rFonts w:cs="Arial"/>
                <w:caps/>
                <w:spacing w:val="-3"/>
              </w:rPr>
            </w:pPr>
            <w:r w:rsidRPr="005B13B8">
              <w:rPr>
                <w:rFonts w:cs="Arial"/>
                <w:caps/>
                <w:spacing w:val="-3"/>
                <w:szCs w:val="20"/>
              </w:rPr>
              <w:t>Jynarque 90</w:t>
            </w:r>
            <w:r>
              <w:rPr>
                <w:rFonts w:cs="Arial"/>
                <w:caps/>
                <w:spacing w:val="-3"/>
                <w:szCs w:val="20"/>
              </w:rPr>
              <w:t xml:space="preserve"> </w:t>
            </w:r>
            <w:r w:rsidRPr="005B13B8">
              <w:rPr>
                <w:rFonts w:cs="Arial"/>
                <w:caps/>
                <w:spacing w:val="-3"/>
                <w:szCs w:val="20"/>
              </w:rPr>
              <w:t>mg–30</w:t>
            </w:r>
            <w:r>
              <w:rPr>
                <w:rFonts w:cs="Arial"/>
                <w:caps/>
                <w:spacing w:val="-3"/>
                <w:szCs w:val="20"/>
              </w:rPr>
              <w:t xml:space="preserve"> </w:t>
            </w:r>
            <w:r w:rsidRPr="005B13B8">
              <w:rPr>
                <w:rFonts w:cs="Arial"/>
                <w:caps/>
                <w:spacing w:val="-3"/>
                <w:szCs w:val="20"/>
              </w:rPr>
              <w:t>mg pack</w:t>
            </w:r>
          </w:p>
        </w:tc>
        <w:tc>
          <w:tcPr>
            <w:tcW w:w="1980" w:type="dxa"/>
            <w:tcBorders>
              <w:top w:val="single" w:sz="4" w:space="0" w:color="auto"/>
              <w:left w:val="single" w:sz="4" w:space="0" w:color="auto"/>
              <w:bottom w:val="single" w:sz="4" w:space="0" w:color="auto"/>
              <w:right w:val="single" w:sz="4" w:space="0" w:color="auto"/>
            </w:tcBorders>
          </w:tcPr>
          <w:p w14:paraId="502A29C0" w14:textId="77777777" w:rsidR="0080126D" w:rsidRPr="008E4546" w:rsidRDefault="0080126D" w:rsidP="00990BD1">
            <w:pPr>
              <w:rPr>
                <w:rFonts w:cs="Arial"/>
                <w:caps/>
                <w:spacing w:val="-3"/>
              </w:rPr>
            </w:pPr>
            <w:r w:rsidRPr="002D3D54">
              <w:rPr>
                <w:rFonts w:cs="Arial"/>
                <w:caps/>
                <w:color w:val="000000" w:themeColor="text1"/>
              </w:rPr>
              <w:t>Tolvaptan</w:t>
            </w:r>
          </w:p>
        </w:tc>
        <w:tc>
          <w:tcPr>
            <w:tcW w:w="2430" w:type="dxa"/>
            <w:tcBorders>
              <w:top w:val="single" w:sz="4" w:space="0" w:color="auto"/>
              <w:left w:val="single" w:sz="4" w:space="0" w:color="auto"/>
              <w:bottom w:val="single" w:sz="4" w:space="0" w:color="auto"/>
              <w:right w:val="single" w:sz="4" w:space="0" w:color="auto"/>
            </w:tcBorders>
          </w:tcPr>
          <w:p w14:paraId="7C9083E9" w14:textId="77777777" w:rsidR="0080126D" w:rsidRPr="008E4546" w:rsidRDefault="0080126D" w:rsidP="00990BD1">
            <w:pPr>
              <w:rPr>
                <w:rFonts w:cs="Arial"/>
                <w:spacing w:val="-3"/>
              </w:rPr>
            </w:pPr>
            <w:r w:rsidRPr="00417657">
              <w:rPr>
                <w:rFonts w:cs="Arial"/>
                <w:color w:val="000000" w:themeColor="text1"/>
              </w:rPr>
              <w:t>2 TABLETS PER DAY</w:t>
            </w:r>
          </w:p>
        </w:tc>
      </w:tr>
    </w:tbl>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5A8BD2C9" w14:textId="1340F42F" w:rsidR="0055715A" w:rsidRPr="00C02553" w:rsidRDefault="005F6104" w:rsidP="005F6104">
      <w:r w:rsidRPr="00696E3A">
        <w:rPr>
          <w:b/>
          <w:bCs/>
        </w:rPr>
        <w:t>Rule Type:</w:t>
      </w:r>
      <w:r w:rsidRPr="00C02553">
        <w:t xml:space="preserve"> </w:t>
      </w:r>
      <w:r>
        <w:t>CE</w:t>
      </w:r>
    </w:p>
    <w:p w14:paraId="021FA4FC" w14:textId="77777777" w:rsidR="0055715A" w:rsidRDefault="00343D6B" w:rsidP="0055715A">
      <w:r w:rsidRPr="00696E3A">
        <w:rPr>
          <w:b/>
          <w:bCs/>
        </w:rPr>
        <w:t>Default Approval Period:</w:t>
      </w:r>
      <w:r w:rsidR="00973BD6">
        <w:t xml:space="preserve"> </w:t>
      </w:r>
    </w:p>
    <w:p w14:paraId="75F9E486" w14:textId="6276C991" w:rsidR="0055715A" w:rsidRPr="009F3482" w:rsidRDefault="0055715A" w:rsidP="009F3482">
      <w:pPr>
        <w:pStyle w:val="ListParagraph"/>
        <w:numPr>
          <w:ilvl w:val="0"/>
          <w:numId w:val="17"/>
        </w:numPr>
        <w:rPr>
          <w:rFonts w:cs="Arial"/>
          <w:szCs w:val="20"/>
        </w:rPr>
      </w:pPr>
      <w:r w:rsidRPr="009F3482">
        <w:rPr>
          <w:rFonts w:cs="Arial"/>
          <w:szCs w:val="20"/>
        </w:rPr>
        <w:t xml:space="preserve">6 months for </w:t>
      </w:r>
      <w:proofErr w:type="spellStart"/>
      <w:r w:rsidRPr="009F3482">
        <w:rPr>
          <w:rFonts w:cs="Arial"/>
          <w:szCs w:val="20"/>
        </w:rPr>
        <w:t>Jynarque</w:t>
      </w:r>
      <w:proofErr w:type="spellEnd"/>
    </w:p>
    <w:p w14:paraId="0EC0D94D" w14:textId="77777777" w:rsidR="0055715A" w:rsidRPr="009F3482" w:rsidRDefault="0055715A" w:rsidP="009F3482">
      <w:pPr>
        <w:pStyle w:val="ListParagraph"/>
        <w:numPr>
          <w:ilvl w:val="0"/>
          <w:numId w:val="17"/>
        </w:numPr>
        <w:rPr>
          <w:rFonts w:cs="Arial"/>
          <w:szCs w:val="20"/>
        </w:rPr>
      </w:pPr>
      <w:r w:rsidRPr="009F3482">
        <w:rPr>
          <w:rFonts w:cs="Arial"/>
          <w:szCs w:val="20"/>
        </w:rPr>
        <w:t xml:space="preserve">1 month for </w:t>
      </w:r>
      <w:proofErr w:type="spellStart"/>
      <w:r w:rsidRPr="009F3482">
        <w:rPr>
          <w:rFonts w:cs="Arial"/>
          <w:szCs w:val="20"/>
        </w:rPr>
        <w:t>Samsca</w:t>
      </w:r>
      <w:proofErr w:type="spellEnd"/>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45FCC4B1" w14:textId="77777777" w:rsidR="00713632" w:rsidRDefault="00713632" w:rsidP="00713632">
      <w:pPr>
        <w:pStyle w:val="ListParagraph"/>
      </w:pPr>
      <w:proofErr w:type="spellStart"/>
      <w:r>
        <w:t>Samsca</w:t>
      </w:r>
      <w:proofErr w:type="spellEnd"/>
      <w:r w:rsidRPr="00466617">
        <w:rPr>
          <w:vertAlign w:val="superscript"/>
        </w:rPr>
        <w:t>®</w:t>
      </w:r>
      <w:r>
        <w:t xml:space="preserve"> (tolvaptan) [package insert]. Rockville, MD: Otsuka America Pharmaceutical, Inc.; April 2021.</w:t>
      </w:r>
    </w:p>
    <w:p w14:paraId="0D128A7A" w14:textId="77777777" w:rsidR="00713632" w:rsidRDefault="00713632" w:rsidP="00713632">
      <w:pPr>
        <w:pStyle w:val="ListParagraph"/>
      </w:pPr>
      <w:proofErr w:type="spellStart"/>
      <w:r>
        <w:t>Jynarque</w:t>
      </w:r>
      <w:proofErr w:type="spellEnd"/>
      <w:r w:rsidRPr="00466617">
        <w:rPr>
          <w:vertAlign w:val="superscript"/>
        </w:rPr>
        <w:t>®</w:t>
      </w:r>
      <w:r>
        <w:t xml:space="preserve"> (tolvaptan) [package insert]. Rockville, MD: Otsuka America Pharmaceutical, Inc.; March 2025.</w:t>
      </w:r>
    </w:p>
    <w:p w14:paraId="1B572B70" w14:textId="4F84E5EE" w:rsidR="00713632" w:rsidRDefault="00713632" w:rsidP="00713632">
      <w:pPr>
        <w:pStyle w:val="ListParagraph"/>
      </w:pPr>
      <w:r>
        <w:t>IPD Analytics. Nephrology: Phosphate Binders, Hyponatremia</w:t>
      </w:r>
      <w:r w:rsidR="00466617">
        <w:t xml:space="preserve">. </w:t>
      </w:r>
      <w:r>
        <w:t>Accessed May 27, 202</w:t>
      </w:r>
      <w:r w:rsidR="008A5D4D">
        <w:t>6</w:t>
      </w:r>
      <w:r>
        <w:t>.</w:t>
      </w:r>
    </w:p>
    <w:p w14:paraId="7A2A153E" w14:textId="13CF006B" w:rsidR="00713632" w:rsidRDefault="00713632" w:rsidP="00713632">
      <w:pPr>
        <w:pStyle w:val="ListParagraph"/>
      </w:pPr>
      <w:r>
        <w:lastRenderedPageBreak/>
        <w:t>IPD Analytics. Nephrology: Polycystic Kidney Disease. Accessed June 1, 202</w:t>
      </w:r>
      <w:r w:rsidR="00F061E7">
        <w:t>6</w:t>
      </w:r>
      <w:r>
        <w:t>.</w:t>
      </w:r>
    </w:p>
    <w:p w14:paraId="3B7DD626" w14:textId="062E9631" w:rsidR="00713632" w:rsidRDefault="00713632" w:rsidP="00713632">
      <w:pPr>
        <w:pStyle w:val="ListParagraph"/>
      </w:pPr>
      <w:r>
        <w:t>IPD Analytics. Syndrome of Inappropriate Antidiuretic Hormone (SIADH). May 2020.</w:t>
      </w:r>
    </w:p>
    <w:p w14:paraId="658D3590" w14:textId="074FB9A7" w:rsidR="00713632" w:rsidRDefault="00713632" w:rsidP="00713632">
      <w:pPr>
        <w:pStyle w:val="ListParagraph"/>
      </w:pPr>
      <w:r>
        <w:t xml:space="preserve">IPD Analytics. New Drug Approval: </w:t>
      </w:r>
      <w:proofErr w:type="spellStart"/>
      <w:r>
        <w:t>Jynarque</w:t>
      </w:r>
      <w:proofErr w:type="spellEnd"/>
      <w:r>
        <w:t xml:space="preserve"> (tolvaptan). August 2018.</w:t>
      </w:r>
    </w:p>
    <w:p w14:paraId="754CB345" w14:textId="4E369913" w:rsidR="00713632" w:rsidRDefault="00713632" w:rsidP="00713632">
      <w:pPr>
        <w:pStyle w:val="ListParagraph"/>
      </w:pPr>
      <w:r>
        <w:t>U.S. Food &amp; Drug Administration</w:t>
      </w:r>
      <w:r w:rsidR="00466617">
        <w:t xml:space="preserve">. </w:t>
      </w:r>
      <w:r>
        <w:t xml:space="preserve">FDA Drug Safety Communication: FDA limits duration and usage of </w:t>
      </w:r>
      <w:proofErr w:type="spellStart"/>
      <w:r>
        <w:t>Samsca</w:t>
      </w:r>
      <w:proofErr w:type="spellEnd"/>
      <w:r>
        <w:t xml:space="preserve"> (tolvaptan) due to possible liver injury leading to organ transplant or death.  May 12, 2017</w:t>
      </w:r>
      <w:r w:rsidR="00466617">
        <w:t xml:space="preserve">. </w:t>
      </w:r>
    </w:p>
    <w:p w14:paraId="1A8655BB" w14:textId="77777777" w:rsidR="00713632" w:rsidRDefault="00713632" w:rsidP="00EC6EE4">
      <w:pPr>
        <w:pStyle w:val="ListParagraph"/>
        <w:numPr>
          <w:ilvl w:val="0"/>
          <w:numId w:val="0"/>
        </w:numPr>
        <w:ind w:left="360"/>
      </w:pPr>
      <w:r>
        <w:t>https://www.fda.gov/drugs/drug-safety-and-availability/fda-drug-safety-communication-fda-limits-duration-and-usage-samsca-tolvaptan-due-possible-liver.</w:t>
      </w:r>
    </w:p>
    <w:p w14:paraId="3FA1E7DB" w14:textId="0DAD21F7" w:rsidR="00777CA4" w:rsidRDefault="00777CA4" w:rsidP="00713632">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B80F" w14:textId="77777777" w:rsidR="00806654" w:rsidRPr="00C02553" w:rsidRDefault="00806654" w:rsidP="00AE77DB">
      <w:r w:rsidRPr="00C02553">
        <w:separator/>
      </w:r>
    </w:p>
  </w:endnote>
  <w:endnote w:type="continuationSeparator" w:id="0">
    <w:p w14:paraId="4226861C" w14:textId="77777777" w:rsidR="00806654" w:rsidRPr="00C02553" w:rsidRDefault="00806654" w:rsidP="00AE77DB">
      <w:r w:rsidRPr="00C02553">
        <w:continuationSeparator/>
      </w:r>
    </w:p>
  </w:endnote>
  <w:endnote w:type="continuationNotice" w:id="1">
    <w:p w14:paraId="51B867D5" w14:textId="77777777" w:rsidR="00806654" w:rsidRPr="00C02553" w:rsidRDefault="00806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D32E" w14:textId="77777777" w:rsidR="00806654" w:rsidRPr="00C02553" w:rsidRDefault="00806654" w:rsidP="00AE77DB">
      <w:r w:rsidRPr="00C02553">
        <w:separator/>
      </w:r>
    </w:p>
  </w:footnote>
  <w:footnote w:type="continuationSeparator" w:id="0">
    <w:p w14:paraId="672797AF" w14:textId="77777777" w:rsidR="00806654" w:rsidRPr="00C02553" w:rsidRDefault="00806654" w:rsidP="00AE77DB">
      <w:r w:rsidRPr="00C02553">
        <w:continuationSeparator/>
      </w:r>
    </w:p>
  </w:footnote>
  <w:footnote w:type="continuationNotice" w:id="1">
    <w:p w14:paraId="2999A8B0" w14:textId="77777777" w:rsidR="00806654" w:rsidRPr="00C02553" w:rsidRDefault="00806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F64C0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F64C0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F64C0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59627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1236816084">
    <w:abstractNumId w:val="12"/>
  </w:num>
  <w:num w:numId="17" w16cid:durableId="33392541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9sqImDtHClUBXm9QOqiwchpCTS+5ZMs7VX+MM/cuGM2Vi84rkZCPpWwEDYTSTikqNT95bGfPFSeUhKCfQLZSsw==" w:salt="EDzzP5HKrDMIQNKKOqCMO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4388F"/>
    <w:rsid w:val="00053807"/>
    <w:rsid w:val="000572E5"/>
    <w:rsid w:val="00061541"/>
    <w:rsid w:val="00064162"/>
    <w:rsid w:val="00065C22"/>
    <w:rsid w:val="00074464"/>
    <w:rsid w:val="00076030"/>
    <w:rsid w:val="000821CA"/>
    <w:rsid w:val="00082590"/>
    <w:rsid w:val="000913C3"/>
    <w:rsid w:val="00091854"/>
    <w:rsid w:val="000953B9"/>
    <w:rsid w:val="000A2D17"/>
    <w:rsid w:val="000A413B"/>
    <w:rsid w:val="000A6279"/>
    <w:rsid w:val="000B496B"/>
    <w:rsid w:val="000C3940"/>
    <w:rsid w:val="000C5992"/>
    <w:rsid w:val="000E1479"/>
    <w:rsid w:val="000E231E"/>
    <w:rsid w:val="000E247D"/>
    <w:rsid w:val="000E3D1F"/>
    <w:rsid w:val="000E6B14"/>
    <w:rsid w:val="000E70D8"/>
    <w:rsid w:val="001062F6"/>
    <w:rsid w:val="00112FC7"/>
    <w:rsid w:val="00116446"/>
    <w:rsid w:val="00125F5F"/>
    <w:rsid w:val="00126951"/>
    <w:rsid w:val="00126B60"/>
    <w:rsid w:val="00127EF6"/>
    <w:rsid w:val="001310AD"/>
    <w:rsid w:val="001314A5"/>
    <w:rsid w:val="00132C7F"/>
    <w:rsid w:val="00136626"/>
    <w:rsid w:val="00137C43"/>
    <w:rsid w:val="00143A11"/>
    <w:rsid w:val="00144DBE"/>
    <w:rsid w:val="00152C8B"/>
    <w:rsid w:val="0015636A"/>
    <w:rsid w:val="00172053"/>
    <w:rsid w:val="00177A80"/>
    <w:rsid w:val="001808B8"/>
    <w:rsid w:val="00182561"/>
    <w:rsid w:val="001940F7"/>
    <w:rsid w:val="001A50CB"/>
    <w:rsid w:val="001A74B7"/>
    <w:rsid w:val="001B2D47"/>
    <w:rsid w:val="001B5F66"/>
    <w:rsid w:val="001B7164"/>
    <w:rsid w:val="001C0250"/>
    <w:rsid w:val="001C6DA4"/>
    <w:rsid w:val="001C73B1"/>
    <w:rsid w:val="001D1E7D"/>
    <w:rsid w:val="001D6567"/>
    <w:rsid w:val="001E2CCB"/>
    <w:rsid w:val="001E3E11"/>
    <w:rsid w:val="001E4CBA"/>
    <w:rsid w:val="001E523C"/>
    <w:rsid w:val="001E61DF"/>
    <w:rsid w:val="001F2B9F"/>
    <w:rsid w:val="001F3A35"/>
    <w:rsid w:val="001F5954"/>
    <w:rsid w:val="00202DD3"/>
    <w:rsid w:val="00206E7D"/>
    <w:rsid w:val="00217E14"/>
    <w:rsid w:val="00217EFD"/>
    <w:rsid w:val="00222134"/>
    <w:rsid w:val="0022233F"/>
    <w:rsid w:val="00224690"/>
    <w:rsid w:val="00226275"/>
    <w:rsid w:val="00246564"/>
    <w:rsid w:val="00246A3B"/>
    <w:rsid w:val="00250FBF"/>
    <w:rsid w:val="00255404"/>
    <w:rsid w:val="0025594F"/>
    <w:rsid w:val="00270C5E"/>
    <w:rsid w:val="0027451F"/>
    <w:rsid w:val="002909FE"/>
    <w:rsid w:val="00290A03"/>
    <w:rsid w:val="0029159A"/>
    <w:rsid w:val="00291600"/>
    <w:rsid w:val="002A02F4"/>
    <w:rsid w:val="002B4D17"/>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0168"/>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97A81"/>
    <w:rsid w:val="003A630F"/>
    <w:rsid w:val="003B3958"/>
    <w:rsid w:val="003B43DB"/>
    <w:rsid w:val="003B4820"/>
    <w:rsid w:val="003B5F4B"/>
    <w:rsid w:val="003B682F"/>
    <w:rsid w:val="003C53FC"/>
    <w:rsid w:val="003C7013"/>
    <w:rsid w:val="003D4704"/>
    <w:rsid w:val="003D641B"/>
    <w:rsid w:val="003F227C"/>
    <w:rsid w:val="004023CC"/>
    <w:rsid w:val="00407564"/>
    <w:rsid w:val="00411152"/>
    <w:rsid w:val="004156AA"/>
    <w:rsid w:val="004200C0"/>
    <w:rsid w:val="004253A1"/>
    <w:rsid w:val="004313B6"/>
    <w:rsid w:val="00433339"/>
    <w:rsid w:val="004417B6"/>
    <w:rsid w:val="00445189"/>
    <w:rsid w:val="00446BBC"/>
    <w:rsid w:val="004471BA"/>
    <w:rsid w:val="004472C0"/>
    <w:rsid w:val="00450705"/>
    <w:rsid w:val="00451928"/>
    <w:rsid w:val="0045325D"/>
    <w:rsid w:val="00460B5D"/>
    <w:rsid w:val="00464BB4"/>
    <w:rsid w:val="0046618B"/>
    <w:rsid w:val="00466617"/>
    <w:rsid w:val="00474CD8"/>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1BAC"/>
    <w:rsid w:val="005139E4"/>
    <w:rsid w:val="00515075"/>
    <w:rsid w:val="00516D12"/>
    <w:rsid w:val="00520FE9"/>
    <w:rsid w:val="005233E7"/>
    <w:rsid w:val="00526C8D"/>
    <w:rsid w:val="005328B2"/>
    <w:rsid w:val="00535BD5"/>
    <w:rsid w:val="00540977"/>
    <w:rsid w:val="00551668"/>
    <w:rsid w:val="0055358F"/>
    <w:rsid w:val="0055715A"/>
    <w:rsid w:val="005572D5"/>
    <w:rsid w:val="00566BE4"/>
    <w:rsid w:val="00570D21"/>
    <w:rsid w:val="00575693"/>
    <w:rsid w:val="00576113"/>
    <w:rsid w:val="005804B6"/>
    <w:rsid w:val="005838AB"/>
    <w:rsid w:val="00590652"/>
    <w:rsid w:val="0059235F"/>
    <w:rsid w:val="00594B44"/>
    <w:rsid w:val="00596936"/>
    <w:rsid w:val="005A2F1E"/>
    <w:rsid w:val="005A4232"/>
    <w:rsid w:val="005C1DA0"/>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263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1565"/>
    <w:rsid w:val="006A4BBD"/>
    <w:rsid w:val="006A52F1"/>
    <w:rsid w:val="006B561D"/>
    <w:rsid w:val="006B6D5D"/>
    <w:rsid w:val="006D1693"/>
    <w:rsid w:val="006D2330"/>
    <w:rsid w:val="006D3C9F"/>
    <w:rsid w:val="006E0F8B"/>
    <w:rsid w:val="006E12F7"/>
    <w:rsid w:val="006E29D7"/>
    <w:rsid w:val="007068A4"/>
    <w:rsid w:val="00706D67"/>
    <w:rsid w:val="00713052"/>
    <w:rsid w:val="00713632"/>
    <w:rsid w:val="00721367"/>
    <w:rsid w:val="007231FA"/>
    <w:rsid w:val="00732C67"/>
    <w:rsid w:val="00734418"/>
    <w:rsid w:val="007460DB"/>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0126D"/>
    <w:rsid w:val="00806654"/>
    <w:rsid w:val="00811A70"/>
    <w:rsid w:val="0081406E"/>
    <w:rsid w:val="00814706"/>
    <w:rsid w:val="00832211"/>
    <w:rsid w:val="008325CA"/>
    <w:rsid w:val="008325F4"/>
    <w:rsid w:val="00832AC8"/>
    <w:rsid w:val="00846FA4"/>
    <w:rsid w:val="008524BA"/>
    <w:rsid w:val="00852B74"/>
    <w:rsid w:val="00856928"/>
    <w:rsid w:val="00865538"/>
    <w:rsid w:val="00870875"/>
    <w:rsid w:val="0088225C"/>
    <w:rsid w:val="00884026"/>
    <w:rsid w:val="00884C78"/>
    <w:rsid w:val="008859E1"/>
    <w:rsid w:val="00885EEB"/>
    <w:rsid w:val="00896264"/>
    <w:rsid w:val="008A2549"/>
    <w:rsid w:val="008A5D4D"/>
    <w:rsid w:val="008A5D88"/>
    <w:rsid w:val="008B2851"/>
    <w:rsid w:val="008C000E"/>
    <w:rsid w:val="008D0F2F"/>
    <w:rsid w:val="008D237F"/>
    <w:rsid w:val="008D3FD8"/>
    <w:rsid w:val="008D6B05"/>
    <w:rsid w:val="008E7D2D"/>
    <w:rsid w:val="008F44C0"/>
    <w:rsid w:val="008F5999"/>
    <w:rsid w:val="008F7A2C"/>
    <w:rsid w:val="00903AD6"/>
    <w:rsid w:val="00904D7A"/>
    <w:rsid w:val="00915332"/>
    <w:rsid w:val="009204BB"/>
    <w:rsid w:val="00935918"/>
    <w:rsid w:val="00935EC3"/>
    <w:rsid w:val="009438B8"/>
    <w:rsid w:val="00951097"/>
    <w:rsid w:val="00953C1E"/>
    <w:rsid w:val="0096210F"/>
    <w:rsid w:val="00962401"/>
    <w:rsid w:val="00962633"/>
    <w:rsid w:val="00963187"/>
    <w:rsid w:val="00963ACF"/>
    <w:rsid w:val="00963D1C"/>
    <w:rsid w:val="00964284"/>
    <w:rsid w:val="0097028A"/>
    <w:rsid w:val="00973BD6"/>
    <w:rsid w:val="00984549"/>
    <w:rsid w:val="00985D28"/>
    <w:rsid w:val="00990C61"/>
    <w:rsid w:val="00991BF0"/>
    <w:rsid w:val="00992EA3"/>
    <w:rsid w:val="009A0FB1"/>
    <w:rsid w:val="009A1FAC"/>
    <w:rsid w:val="009B001A"/>
    <w:rsid w:val="009B1A62"/>
    <w:rsid w:val="009C3CC7"/>
    <w:rsid w:val="009D2057"/>
    <w:rsid w:val="009D3D6C"/>
    <w:rsid w:val="009D5551"/>
    <w:rsid w:val="009D62DB"/>
    <w:rsid w:val="009E02E7"/>
    <w:rsid w:val="009E3B42"/>
    <w:rsid w:val="009F348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80896"/>
    <w:rsid w:val="00A81631"/>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57428"/>
    <w:rsid w:val="00B638C2"/>
    <w:rsid w:val="00B6429D"/>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59BE"/>
    <w:rsid w:val="00C25AF5"/>
    <w:rsid w:val="00C26001"/>
    <w:rsid w:val="00C34E72"/>
    <w:rsid w:val="00C43CB6"/>
    <w:rsid w:val="00C56B1F"/>
    <w:rsid w:val="00C61B52"/>
    <w:rsid w:val="00C62745"/>
    <w:rsid w:val="00C654CA"/>
    <w:rsid w:val="00C763BD"/>
    <w:rsid w:val="00C779A8"/>
    <w:rsid w:val="00C82E19"/>
    <w:rsid w:val="00C83B97"/>
    <w:rsid w:val="00C96873"/>
    <w:rsid w:val="00CA1735"/>
    <w:rsid w:val="00CA207E"/>
    <w:rsid w:val="00CA3C4B"/>
    <w:rsid w:val="00CA6390"/>
    <w:rsid w:val="00CA7252"/>
    <w:rsid w:val="00CB2C5A"/>
    <w:rsid w:val="00CE0C1C"/>
    <w:rsid w:val="00CE34AF"/>
    <w:rsid w:val="00CE4A1B"/>
    <w:rsid w:val="00CF00A4"/>
    <w:rsid w:val="00CF25FB"/>
    <w:rsid w:val="00CF614C"/>
    <w:rsid w:val="00D02F34"/>
    <w:rsid w:val="00D13D87"/>
    <w:rsid w:val="00D16590"/>
    <w:rsid w:val="00D20720"/>
    <w:rsid w:val="00D22B74"/>
    <w:rsid w:val="00D232D9"/>
    <w:rsid w:val="00D250D9"/>
    <w:rsid w:val="00D27533"/>
    <w:rsid w:val="00D42DA3"/>
    <w:rsid w:val="00D4546D"/>
    <w:rsid w:val="00D47996"/>
    <w:rsid w:val="00D61118"/>
    <w:rsid w:val="00D614F1"/>
    <w:rsid w:val="00D70D50"/>
    <w:rsid w:val="00D71917"/>
    <w:rsid w:val="00D83A1C"/>
    <w:rsid w:val="00D95E68"/>
    <w:rsid w:val="00DA3A0F"/>
    <w:rsid w:val="00DA4E62"/>
    <w:rsid w:val="00DA6990"/>
    <w:rsid w:val="00DB27BA"/>
    <w:rsid w:val="00DB3009"/>
    <w:rsid w:val="00DB337A"/>
    <w:rsid w:val="00DB69C9"/>
    <w:rsid w:val="00DC034A"/>
    <w:rsid w:val="00DC51CB"/>
    <w:rsid w:val="00DD1192"/>
    <w:rsid w:val="00DD3294"/>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C6EE4"/>
    <w:rsid w:val="00ED760F"/>
    <w:rsid w:val="00ED7B42"/>
    <w:rsid w:val="00EE3EA5"/>
    <w:rsid w:val="00EE613F"/>
    <w:rsid w:val="00EE6BD1"/>
    <w:rsid w:val="00EF0262"/>
    <w:rsid w:val="00EF070C"/>
    <w:rsid w:val="00EF0828"/>
    <w:rsid w:val="00EF6F8B"/>
    <w:rsid w:val="00F03898"/>
    <w:rsid w:val="00F05F20"/>
    <w:rsid w:val="00F061E7"/>
    <w:rsid w:val="00F1527A"/>
    <w:rsid w:val="00F2696B"/>
    <w:rsid w:val="00F27821"/>
    <w:rsid w:val="00F4092A"/>
    <w:rsid w:val="00F41F69"/>
    <w:rsid w:val="00F4352E"/>
    <w:rsid w:val="00F43E41"/>
    <w:rsid w:val="00F4790C"/>
    <w:rsid w:val="00F50C4B"/>
    <w:rsid w:val="00F54C08"/>
    <w:rsid w:val="00F553A2"/>
    <w:rsid w:val="00F6068C"/>
    <w:rsid w:val="00F62F33"/>
    <w:rsid w:val="00F634C1"/>
    <w:rsid w:val="00F63A52"/>
    <w:rsid w:val="00F64C00"/>
    <w:rsid w:val="00F730BA"/>
    <w:rsid w:val="00F77F67"/>
    <w:rsid w:val="00F87CCE"/>
    <w:rsid w:val="00F903BE"/>
    <w:rsid w:val="00F95D04"/>
    <w:rsid w:val="00FA16EC"/>
    <w:rsid w:val="00FA2811"/>
    <w:rsid w:val="00FA4837"/>
    <w:rsid w:val="00FB1D33"/>
    <w:rsid w:val="00FB5E96"/>
    <w:rsid w:val="00FC05A0"/>
    <w:rsid w:val="00FC6758"/>
    <w:rsid w:val="00FD34EA"/>
    <w:rsid w:val="00FE28D3"/>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0821CA"/>
    <w:rPr>
      <w:sz w:val="16"/>
      <w:szCs w:val="16"/>
    </w:rPr>
  </w:style>
  <w:style w:type="paragraph" w:styleId="CommentSubject">
    <w:name w:val="annotation subject"/>
    <w:basedOn w:val="CommentText"/>
    <w:next w:val="CommentText"/>
    <w:link w:val="CommentSubjectChar"/>
    <w:uiPriority w:val="99"/>
    <w:semiHidden/>
    <w:unhideWhenUsed/>
    <w:rsid w:val="000821CA"/>
    <w:rPr>
      <w:b/>
      <w:bCs/>
    </w:rPr>
  </w:style>
  <w:style w:type="character" w:customStyle="1" w:styleId="CommentTextChar">
    <w:name w:val="Comment Text Char"/>
    <w:basedOn w:val="DefaultParagraphFont"/>
    <w:link w:val="CommentText"/>
    <w:semiHidden/>
    <w:rsid w:val="000821CA"/>
    <w:rPr>
      <w:rFonts w:ascii="Arial" w:hAnsi="Arial"/>
    </w:rPr>
  </w:style>
  <w:style w:type="character" w:customStyle="1" w:styleId="CommentSubjectChar">
    <w:name w:val="Comment Subject Char"/>
    <w:basedOn w:val="CommentTextChar"/>
    <w:link w:val="CommentSubject"/>
    <w:uiPriority w:val="99"/>
    <w:semiHidden/>
    <w:rsid w:val="000821C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47A95885-EBEA-4B91-B146-21A0A5C8F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5eefb00-5952-4f7e-8cf8-96f81cfadd01"/>
    <ds:schemaRef ds:uri="http://purl.org/dc/elements/1.1/"/>
    <ds:schemaRef ds:uri="aba01ddc-ae9a-4c9e-819c-7140b4239cde"/>
    <ds:schemaRef ds:uri="http://www.w3.org/XML/1998/namespace"/>
    <ds:schemaRef ds:uri="http://purl.org/dc/te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76</TotalTime>
  <Pages>3</Pages>
  <Words>742</Words>
  <Characters>4413</Characters>
  <Application>Microsoft Office Word</Application>
  <DocSecurity>10</DocSecurity>
  <Lines>36</Lines>
  <Paragraphs>10</Paragraphs>
  <ScaleCrop>false</ScaleCrop>
  <HeadingPairs>
    <vt:vector size="2" baseType="variant">
      <vt:variant>
        <vt:lpstr>Title</vt:lpstr>
      </vt:variant>
      <vt:variant>
        <vt:i4>1</vt:i4>
      </vt:variant>
    </vt:vector>
  </HeadingPairs>
  <TitlesOfParts>
    <vt:vector size="1" baseType="lpstr">
      <vt:lpstr>Tolvaptan_July_2026_Proposal</vt:lpstr>
    </vt:vector>
  </TitlesOfParts>
  <Company>DSS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Tolvaptan_July_2026_Proposal</dc:title>
  <dc:subject/>
  <dc:creator>DMS</dc:creator>
  <cp:keywords/>
  <cp:lastModifiedBy>Heriford, Katherine</cp:lastModifiedBy>
  <cp:revision>69</cp:revision>
  <cp:lastPrinted>2018-10-31T18:17:00Z</cp:lastPrinted>
  <dcterms:created xsi:type="dcterms:W3CDTF">2025-11-19T15:39:00Z</dcterms:created>
  <dcterms:modified xsi:type="dcterms:W3CDTF">2026-07-06T17:26:00Z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