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13BFD8" w14:textId="7F9C5CD2" w:rsidR="00AE77DB" w:rsidRPr="00C02553" w:rsidRDefault="000C3940" w:rsidP="00D02F34">
      <w:pPr>
        <w:pStyle w:val="Heading1"/>
        <w:rPr>
          <w:lang w:val="en-US"/>
        </w:rPr>
      </w:pPr>
      <w:bookmarkStart w:id="0" w:name="_Hlk792159"/>
      <w:proofErr w:type="spellStart"/>
      <w:r w:rsidRPr="00C02553">
        <w:rPr>
          <w:lang w:val="en-US"/>
        </w:rPr>
        <w:t>SmartPA</w:t>
      </w:r>
      <w:proofErr w:type="spellEnd"/>
      <w:r w:rsidRPr="00C02553">
        <w:rPr>
          <w:lang w:val="en-US"/>
        </w:rPr>
        <w:t xml:space="preserve"> Criteria Proposal</w:t>
      </w:r>
      <w:bookmarkEnd w:id="0"/>
    </w:p>
    <w:p w14:paraId="6413BFE7" w14:textId="506D81F7" w:rsidR="00AE77DB" w:rsidRPr="00C02553" w:rsidRDefault="00AE77DB" w:rsidP="00074464">
      <w:pPr>
        <w:rPr>
          <w:rFonts w:cs="Arial"/>
          <w:b/>
          <w:spacing w:val="-3"/>
          <w:szCs w:val="20"/>
        </w:rPr>
      </w:pPr>
    </w:p>
    <w:p w14:paraId="52CF6EBC" w14:textId="7773F436" w:rsidR="004C5767" w:rsidRPr="008859E1" w:rsidRDefault="004C5767" w:rsidP="00D27533">
      <w:pPr>
        <w:pStyle w:val="tbody"/>
        <w:rPr>
          <w:b w:val="0"/>
          <w:bCs/>
        </w:rPr>
      </w:pPr>
      <w:r w:rsidRPr="00C02553">
        <w:t>Drug/Drug Class:</w:t>
      </w:r>
      <w:r w:rsidR="003B4820" w:rsidRPr="00573856">
        <w:rPr>
          <w:b w:val="0"/>
          <w:bCs/>
        </w:rPr>
        <w:t xml:space="preserve"> </w:t>
      </w:r>
      <w:r w:rsidR="00555789" w:rsidRPr="00555789">
        <w:rPr>
          <w:b w:val="0"/>
          <w:bCs/>
        </w:rPr>
        <w:t>Thiazolidinediones &amp; Combination Agents PDL Edit</w:t>
      </w:r>
    </w:p>
    <w:p w14:paraId="7AD7FFCE" w14:textId="02C27443" w:rsidR="004C5767" w:rsidRPr="00C02553" w:rsidRDefault="004C5767" w:rsidP="00D27533">
      <w:pPr>
        <w:pStyle w:val="tbody"/>
      </w:pPr>
      <w:r w:rsidRPr="00C02553">
        <w:t>First Implementation Date:</w:t>
      </w:r>
      <w:r w:rsidRPr="00573856">
        <w:rPr>
          <w:b w:val="0"/>
          <w:bCs/>
        </w:rPr>
        <w:t xml:space="preserve"> </w:t>
      </w:r>
      <w:r w:rsidR="002759C8" w:rsidRPr="002759C8">
        <w:rPr>
          <w:b w:val="0"/>
          <w:bCs/>
        </w:rPr>
        <w:t>January 8, 2009</w:t>
      </w:r>
    </w:p>
    <w:p w14:paraId="4B7D760D" w14:textId="77897316" w:rsidR="004C5767" w:rsidRPr="00057F84" w:rsidRDefault="007E455B" w:rsidP="70E341D6">
      <w:pPr>
        <w:pStyle w:val="tbody"/>
        <w:rPr>
          <w:b w:val="0"/>
        </w:rPr>
      </w:pPr>
      <w:r>
        <w:t>Revised</w:t>
      </w:r>
      <w:r w:rsidR="004C5767">
        <w:t xml:space="preserve"> Date:</w:t>
      </w:r>
      <w:r w:rsidR="00065C22">
        <w:t xml:space="preserve"> </w:t>
      </w:r>
      <w:r>
        <w:rPr>
          <w:b w:val="0"/>
          <w:bCs/>
        </w:rPr>
        <w:t>October</w:t>
      </w:r>
      <w:r w:rsidR="00BD4DC4" w:rsidRPr="00BD4DC4">
        <w:rPr>
          <w:b w:val="0"/>
          <w:bCs/>
        </w:rPr>
        <w:t xml:space="preserve"> 1</w:t>
      </w:r>
      <w:r w:rsidR="00057F84">
        <w:rPr>
          <w:b w:val="0"/>
        </w:rPr>
        <w:t>, 202</w:t>
      </w:r>
      <w:r w:rsidR="6EB7A09E">
        <w:rPr>
          <w:b w:val="0"/>
        </w:rPr>
        <w:t>6</w:t>
      </w:r>
    </w:p>
    <w:p w14:paraId="2726A013" w14:textId="3C40E9DA" w:rsidR="004C5767" w:rsidRPr="00C02553" w:rsidRDefault="004C5767" w:rsidP="00D27533">
      <w:pPr>
        <w:pStyle w:val="tbody"/>
      </w:pPr>
      <w:r w:rsidRPr="00C02553">
        <w:t xml:space="preserve">Prepared For: </w:t>
      </w:r>
      <w:r w:rsidR="00EE613F" w:rsidRPr="00D27533">
        <w:rPr>
          <w:b w:val="0"/>
          <w:bCs/>
        </w:rPr>
        <w:t>MO HealthNet</w:t>
      </w:r>
      <w:r w:rsidRPr="00C02553">
        <w:tab/>
      </w:r>
    </w:p>
    <w:p w14:paraId="0FD7BA18" w14:textId="61E24131" w:rsidR="004C5767" w:rsidRPr="00C02553" w:rsidRDefault="004C5767" w:rsidP="00D27533">
      <w:pPr>
        <w:pStyle w:val="tbody"/>
      </w:pPr>
      <w:r w:rsidRPr="00C02553">
        <w:t xml:space="preserve">Prepared By: </w:t>
      </w:r>
      <w:r w:rsidR="00303B21" w:rsidRPr="00D27533">
        <w:rPr>
          <w:b w:val="0"/>
          <w:bCs/>
        </w:rPr>
        <w:t>MO HealthNet and Conduent</w:t>
      </w:r>
      <w:r w:rsidRPr="00C02553">
        <w:tab/>
      </w:r>
    </w:p>
    <w:p w14:paraId="227AEF75" w14:textId="07909635" w:rsidR="004C5767" w:rsidRPr="00D27533" w:rsidRDefault="004C5767" w:rsidP="00D27533">
      <w:pPr>
        <w:pStyle w:val="tbody"/>
        <w:rPr>
          <w:b w:val="0"/>
          <w:bCs/>
          <w:spacing w:val="-3"/>
        </w:rPr>
      </w:pPr>
      <w:r w:rsidRPr="0096313D">
        <w:t xml:space="preserve">Criteria Status: </w:t>
      </w:r>
      <w:r w:rsidR="00566BE4" w:rsidRPr="0096313D">
        <w:rPr>
          <w:b w:val="0"/>
          <w:bCs/>
          <w:spacing w:val="-3"/>
        </w:rPr>
        <w:t>Existing Criteria</w:t>
      </w:r>
    </w:p>
    <w:p w14:paraId="03479354" w14:textId="77777777" w:rsidR="004C5767" w:rsidRPr="002C2C41" w:rsidRDefault="004C5767" w:rsidP="00E23EC0">
      <w:pPr>
        <w:rPr>
          <w:rFonts w:cs="Arial"/>
          <w:szCs w:val="20"/>
        </w:rPr>
      </w:pPr>
    </w:p>
    <w:p w14:paraId="6413BFE8" w14:textId="77777777" w:rsidR="00AE77DB" w:rsidRPr="00C02553" w:rsidRDefault="00AE77DB" w:rsidP="004C5767">
      <w:pPr>
        <w:pStyle w:val="Heading1"/>
        <w:rPr>
          <w:lang w:val="en-US"/>
        </w:rPr>
      </w:pPr>
      <w:r w:rsidRPr="00C02553">
        <w:rPr>
          <w:lang w:val="en-US"/>
        </w:rPr>
        <w:t xml:space="preserve">Executive Summary </w:t>
      </w:r>
    </w:p>
    <w:p w14:paraId="706FFC95" w14:textId="77777777" w:rsidR="00B33693" w:rsidRPr="00696E3A" w:rsidRDefault="00E23EC0" w:rsidP="00696E3A">
      <w:pPr>
        <w:rPr>
          <w:b/>
          <w:bCs/>
        </w:rPr>
      </w:pPr>
      <w:r w:rsidRPr="00696E3A">
        <w:rPr>
          <w:b/>
          <w:bCs/>
        </w:rPr>
        <w:t>Purpose:</w:t>
      </w:r>
      <w:r w:rsidR="00290A03" w:rsidRPr="00696E3A">
        <w:rPr>
          <w:b/>
          <w:bCs/>
        </w:rPr>
        <w:t xml:space="preserve"> </w:t>
      </w:r>
    </w:p>
    <w:p w14:paraId="33DF7A62" w14:textId="77777777" w:rsidR="00D47996" w:rsidRDefault="00D47996" w:rsidP="00696E3A">
      <w:r w:rsidRPr="00D47996">
        <w:t xml:space="preserve">The MO HealthNet Pharmacy Program will implement a state-specific preferred drug list.  </w:t>
      </w:r>
    </w:p>
    <w:p w14:paraId="2320C114" w14:textId="4452B466" w:rsidR="00E23EC0" w:rsidRPr="002C2C41" w:rsidRDefault="00E23EC0" w:rsidP="00696E3A">
      <w:pPr>
        <w:rPr>
          <w:rFonts w:cs="Arial"/>
          <w:szCs w:val="20"/>
        </w:rPr>
      </w:pPr>
      <w:r w:rsidRPr="00C02553">
        <w:tab/>
      </w:r>
    </w:p>
    <w:p w14:paraId="3A9BE506" w14:textId="11761DC1" w:rsidR="00E23EC0" w:rsidRPr="00696E3A" w:rsidRDefault="00E23EC0" w:rsidP="00696E3A">
      <w:pPr>
        <w:rPr>
          <w:b/>
          <w:bCs/>
        </w:rPr>
      </w:pPr>
      <w:r w:rsidRPr="00696E3A">
        <w:rPr>
          <w:b/>
          <w:bCs/>
        </w:rPr>
        <w:t>Why Issue Selected:</w:t>
      </w:r>
    </w:p>
    <w:p w14:paraId="2DD012EB" w14:textId="77777777" w:rsidR="00595EFC" w:rsidRPr="00777CEE" w:rsidRDefault="00595EFC" w:rsidP="00595EFC">
      <w:pPr>
        <w:pStyle w:val="Header"/>
        <w:tabs>
          <w:tab w:val="clear" w:pos="4320"/>
          <w:tab w:val="clear" w:pos="8640"/>
        </w:tabs>
        <w:rPr>
          <w:rFonts w:cs="Arial"/>
          <w:spacing w:val="-3"/>
          <w:sz w:val="20"/>
        </w:rPr>
      </w:pPr>
      <w:r w:rsidRPr="000C50C2">
        <w:rPr>
          <w:rFonts w:cs="Arial"/>
          <w:spacing w:val="-3"/>
          <w:sz w:val="20"/>
        </w:rPr>
        <w:t xml:space="preserve">Type 2 diabetes mellitus is a </w:t>
      </w:r>
      <w:r>
        <w:rPr>
          <w:rFonts w:cs="Arial"/>
          <w:spacing w:val="-3"/>
          <w:sz w:val="20"/>
        </w:rPr>
        <w:t>significant</w:t>
      </w:r>
      <w:r w:rsidRPr="000C50C2">
        <w:rPr>
          <w:rFonts w:cs="Arial"/>
          <w:spacing w:val="-3"/>
          <w:sz w:val="20"/>
        </w:rPr>
        <w:t xml:space="preserve"> health problem associated with excess</w:t>
      </w:r>
      <w:r>
        <w:rPr>
          <w:rFonts w:cs="Arial"/>
          <w:spacing w:val="-3"/>
          <w:sz w:val="20"/>
        </w:rPr>
        <w:t>ive</w:t>
      </w:r>
      <w:r w:rsidRPr="000C50C2">
        <w:rPr>
          <w:rFonts w:cs="Arial"/>
          <w:spacing w:val="-3"/>
          <w:sz w:val="20"/>
        </w:rPr>
        <w:t xml:space="preserve"> morbidity and mortality. As the prevalence of this metabolic disorder is rapidly increasing and </w:t>
      </w:r>
      <w:r>
        <w:rPr>
          <w:rFonts w:cs="Arial"/>
          <w:spacing w:val="-3"/>
          <w:sz w:val="20"/>
        </w:rPr>
        <w:t xml:space="preserve">as </w:t>
      </w:r>
      <w:r w:rsidRPr="000C50C2">
        <w:rPr>
          <w:rFonts w:cs="Arial"/>
          <w:spacing w:val="-3"/>
          <w:sz w:val="20"/>
        </w:rPr>
        <w:t>older treatment</w:t>
      </w:r>
      <w:r>
        <w:rPr>
          <w:rFonts w:cs="Arial"/>
          <w:spacing w:val="-3"/>
          <w:sz w:val="20"/>
        </w:rPr>
        <w:t>s</w:t>
      </w:r>
      <w:r w:rsidRPr="000C50C2">
        <w:rPr>
          <w:rFonts w:cs="Arial"/>
          <w:spacing w:val="-3"/>
          <w:sz w:val="20"/>
        </w:rPr>
        <w:t xml:space="preserve"> fail to stabilize the disease in many pa</w:t>
      </w:r>
      <w:r>
        <w:rPr>
          <w:rFonts w:cs="Arial"/>
          <w:spacing w:val="-3"/>
          <w:sz w:val="20"/>
        </w:rPr>
        <w:t>rticipants</w:t>
      </w:r>
      <w:r w:rsidRPr="000C50C2">
        <w:rPr>
          <w:rFonts w:cs="Arial"/>
          <w:spacing w:val="-3"/>
          <w:sz w:val="20"/>
        </w:rPr>
        <w:t xml:space="preserve">, prevention and control are considered key objectives. </w:t>
      </w:r>
      <w:r w:rsidRPr="006E3080">
        <w:rPr>
          <w:rFonts w:cs="Arial"/>
          <w:spacing w:val="-3"/>
          <w:sz w:val="20"/>
        </w:rPr>
        <w:t>Thiazolidinediones (TZDs) improve glycemic control by improving insulin sensitivity in muscle and adipose tissue and inhibit</w:t>
      </w:r>
      <w:r>
        <w:rPr>
          <w:rFonts w:cs="Arial"/>
          <w:spacing w:val="-3"/>
          <w:sz w:val="20"/>
        </w:rPr>
        <w:t>ing</w:t>
      </w:r>
      <w:r w:rsidRPr="006E3080">
        <w:rPr>
          <w:rFonts w:cs="Arial"/>
          <w:spacing w:val="-3"/>
          <w:sz w:val="20"/>
        </w:rPr>
        <w:t xml:space="preserve"> hepatic gluconeogenesis. They depend on the presence of insulin for their mechanism of action.</w:t>
      </w:r>
      <w:r>
        <w:rPr>
          <w:rFonts w:cs="Arial"/>
          <w:spacing w:val="-3"/>
          <w:sz w:val="20"/>
        </w:rPr>
        <w:t xml:space="preserve"> TZDs have known significant adverse events, such as new </w:t>
      </w:r>
      <w:proofErr w:type="gramStart"/>
      <w:r>
        <w:rPr>
          <w:rFonts w:cs="Arial"/>
          <w:spacing w:val="-3"/>
          <w:sz w:val="20"/>
        </w:rPr>
        <w:t>onset</w:t>
      </w:r>
      <w:proofErr w:type="gramEnd"/>
      <w:r>
        <w:rPr>
          <w:rFonts w:cs="Arial"/>
          <w:spacing w:val="-3"/>
          <w:sz w:val="20"/>
        </w:rPr>
        <w:t xml:space="preserve"> of congestive heart failure, edema, and hepatic failure. TZDs are contraindicated in individuals with New York Heart Association (NYHA) Class III or IV and are not recommended in those with symptomatic heart failure, as they can cause fluid retention.</w:t>
      </w:r>
      <w:r w:rsidRPr="00FA43D9">
        <w:rPr>
          <w:rFonts w:cs="Arial"/>
          <w:spacing w:val="-3"/>
          <w:sz w:val="20"/>
        </w:rPr>
        <w:t xml:space="preserve"> </w:t>
      </w:r>
      <w:r>
        <w:rPr>
          <w:rFonts w:cs="Arial"/>
          <w:spacing w:val="-3"/>
          <w:sz w:val="20"/>
        </w:rPr>
        <w:t>They should also be used cautiously in patients on insulin therapy, or at risk for osteoporosis, falls or fractures, and/or macular edema. TZDs are available as a single-ingredient entity (pioglitazone) and combination agents (pioglitazone/metformin and pioglitazone/glimepiride).</w:t>
      </w:r>
    </w:p>
    <w:p w14:paraId="7ACECC9F" w14:textId="77777777" w:rsidR="00B56DCC" w:rsidRDefault="00B56DCC" w:rsidP="00696E3A"/>
    <w:p w14:paraId="28C91F1C" w14:textId="548F95B5" w:rsidR="00E354AA" w:rsidRDefault="009A0FB1" w:rsidP="009A0FB1">
      <w:r>
        <w:t>Total program savings for the PDL classes will be regularly reviewed.</w:t>
      </w:r>
    </w:p>
    <w:p w14:paraId="05964CF2" w14:textId="77777777" w:rsidR="007A3034" w:rsidRPr="002C2C41" w:rsidRDefault="007A3034" w:rsidP="009A0FB1">
      <w:pPr>
        <w:rPr>
          <w:rFonts w:cs="Arial"/>
          <w:szCs w:val="20"/>
        </w:rPr>
      </w:pPr>
    </w:p>
    <w:p w14:paraId="6CBEE541" w14:textId="3A362043" w:rsidR="00E90D11" w:rsidRDefault="009A0FB1" w:rsidP="00696E3A">
      <w:pPr>
        <w:rPr>
          <w:b/>
          <w:bCs/>
        </w:rPr>
      </w:pPr>
      <w:r>
        <w:rPr>
          <w:b/>
          <w:bCs/>
        </w:rPr>
        <w:t>Preferred Agents:</w:t>
      </w:r>
    </w:p>
    <w:p w14:paraId="1B21829C" w14:textId="48EFA76E" w:rsidR="00846FA4" w:rsidRPr="000C5A88" w:rsidRDefault="000C5A88" w:rsidP="00846FA4">
      <w:pPr>
        <w:pStyle w:val="ListParagraph"/>
      </w:pPr>
      <w:r w:rsidRPr="000C5A88">
        <w:rPr>
          <w:rFonts w:cs="Arial"/>
          <w:spacing w:val="-3"/>
          <w:szCs w:val="20"/>
        </w:rPr>
        <w:t>Pioglitazone</w:t>
      </w:r>
      <w:r w:rsidRPr="000C5A88">
        <w:rPr>
          <w:vertAlign w:val="superscript"/>
        </w:rPr>
        <w:t xml:space="preserve"> </w:t>
      </w:r>
    </w:p>
    <w:p w14:paraId="47320590" w14:textId="77777777" w:rsidR="00FD34EA" w:rsidRDefault="00FD34EA" w:rsidP="00696E3A">
      <w:pPr>
        <w:rPr>
          <w:rFonts w:cs="Arial"/>
          <w:szCs w:val="20"/>
        </w:rPr>
      </w:pPr>
    </w:p>
    <w:p w14:paraId="56404718" w14:textId="252714AD" w:rsidR="00846FA4" w:rsidRDefault="00846FA4" w:rsidP="00846FA4">
      <w:pPr>
        <w:rPr>
          <w:b/>
          <w:bCs/>
        </w:rPr>
      </w:pPr>
      <w:r>
        <w:rPr>
          <w:b/>
          <w:bCs/>
        </w:rPr>
        <w:t>Non-Preferred Agents:</w:t>
      </w:r>
    </w:p>
    <w:p w14:paraId="05D77E59" w14:textId="77777777" w:rsidR="005C2982" w:rsidRPr="00E8022E" w:rsidRDefault="005C2982" w:rsidP="005C2982">
      <w:pPr>
        <w:pStyle w:val="ListParagraph"/>
      </w:pPr>
      <w:bookmarkStart w:id="1" w:name="_Hlk49852982"/>
      <w:proofErr w:type="spellStart"/>
      <w:r w:rsidRPr="00E8022E">
        <w:t>ActoplusMet</w:t>
      </w:r>
      <w:proofErr w:type="spellEnd"/>
      <w:r w:rsidRPr="00E8022E">
        <w:rPr>
          <w:vertAlign w:val="superscript"/>
        </w:rPr>
        <w:t>®</w:t>
      </w:r>
    </w:p>
    <w:bookmarkEnd w:id="1"/>
    <w:p w14:paraId="3716DD12" w14:textId="77777777" w:rsidR="005C2982" w:rsidRPr="00E8022E" w:rsidRDefault="005C2982" w:rsidP="005C2982">
      <w:pPr>
        <w:pStyle w:val="ListParagraph"/>
      </w:pPr>
      <w:r w:rsidRPr="00E8022E">
        <w:t>Actos</w:t>
      </w:r>
      <w:r w:rsidRPr="00E8022E">
        <w:rPr>
          <w:rFonts w:ascii="Symbol" w:eastAsia="Symbol" w:hAnsi="Symbol" w:cs="Symbol"/>
          <w:vertAlign w:val="superscript"/>
        </w:rPr>
        <w:t>â</w:t>
      </w:r>
    </w:p>
    <w:p w14:paraId="032BD2FC" w14:textId="77777777" w:rsidR="005C2982" w:rsidRPr="00E8022E" w:rsidRDefault="005C2982" w:rsidP="005C2982">
      <w:pPr>
        <w:pStyle w:val="ListParagraph"/>
      </w:pPr>
      <w:bookmarkStart w:id="2" w:name="_Hlk49853060"/>
      <w:proofErr w:type="spellStart"/>
      <w:r w:rsidRPr="00E8022E">
        <w:t>Duetact</w:t>
      </w:r>
      <w:proofErr w:type="spellEnd"/>
      <w:r w:rsidRPr="00E8022E">
        <w:rPr>
          <w:rFonts w:ascii="Symbol" w:eastAsia="Symbol" w:hAnsi="Symbol" w:cs="Symbol"/>
          <w:vertAlign w:val="superscript"/>
        </w:rPr>
        <w:t>â</w:t>
      </w:r>
    </w:p>
    <w:p w14:paraId="4349C00C" w14:textId="77777777" w:rsidR="005C2982" w:rsidRPr="00E8022E" w:rsidRDefault="005C2982" w:rsidP="005C2982">
      <w:pPr>
        <w:pStyle w:val="ListParagraph"/>
      </w:pPr>
      <w:r w:rsidRPr="00E8022E">
        <w:t>Pioglitazone/Glimepiride</w:t>
      </w:r>
    </w:p>
    <w:p w14:paraId="079F807A" w14:textId="3336E91A" w:rsidR="00846FA4" w:rsidRPr="00696E3A" w:rsidRDefault="005C2982" w:rsidP="005C2982">
      <w:pPr>
        <w:pStyle w:val="ListParagraph"/>
      </w:pPr>
      <w:r w:rsidRPr="00E8022E">
        <w:t>Pioglitazone/Metformin</w:t>
      </w:r>
      <w:bookmarkEnd w:id="2"/>
      <w:r w:rsidRPr="00F43E41">
        <w:rPr>
          <w:vertAlign w:val="superscript"/>
        </w:rPr>
        <w:t xml:space="preserve"> </w:t>
      </w:r>
    </w:p>
    <w:p w14:paraId="6D696800" w14:textId="28E4C3DB" w:rsidR="00E23EC0" w:rsidRPr="002C2C41" w:rsidRDefault="00E23EC0" w:rsidP="00314430">
      <w:pPr>
        <w:rPr>
          <w:rFonts w:cs="Arial"/>
          <w:spacing w:val="-3"/>
          <w:szCs w:val="20"/>
        </w:rPr>
      </w:pPr>
    </w:p>
    <w:p w14:paraId="6413C027" w14:textId="18F824F6" w:rsidR="00AE77DB" w:rsidRPr="00C02553" w:rsidRDefault="00AE77DB" w:rsidP="00E354AA">
      <w:pPr>
        <w:pStyle w:val="Heading1"/>
        <w:rPr>
          <w:lang w:val="en-US"/>
        </w:rPr>
      </w:pPr>
      <w:r w:rsidRPr="00C02553">
        <w:rPr>
          <w:lang w:val="en-US"/>
        </w:rPr>
        <w:t xml:space="preserve">Setting &amp; Population </w:t>
      </w:r>
    </w:p>
    <w:p w14:paraId="04B7FBFB" w14:textId="73D14D3A" w:rsidR="0097028A" w:rsidRPr="0079438F" w:rsidRDefault="0097028A" w:rsidP="00696E3A">
      <w:pPr>
        <w:rPr>
          <w:b/>
        </w:rPr>
      </w:pPr>
      <w:r w:rsidRPr="00696E3A">
        <w:rPr>
          <w:b/>
          <w:bCs/>
        </w:rPr>
        <w:t>Drug class for review:</w:t>
      </w:r>
      <w:r w:rsidRPr="00C02553">
        <w:t xml:space="preserve"> </w:t>
      </w:r>
      <w:r w:rsidR="001147AE" w:rsidRPr="001147AE">
        <w:t>Thiazolidinediones &amp; Combination Agents</w:t>
      </w:r>
    </w:p>
    <w:p w14:paraId="26CFE8A0" w14:textId="0FA64B60" w:rsidR="008524BA" w:rsidRDefault="0097028A" w:rsidP="00696E3A">
      <w:pPr>
        <w:rPr>
          <w:rFonts w:cs="Arial"/>
          <w:b/>
        </w:rPr>
      </w:pPr>
      <w:r w:rsidRPr="00696E3A">
        <w:rPr>
          <w:b/>
          <w:bCs/>
        </w:rPr>
        <w:t>Age range:</w:t>
      </w:r>
      <w:r w:rsidRPr="00C02553">
        <w:t xml:space="preserve"> </w:t>
      </w:r>
      <w:r w:rsidR="00551668" w:rsidRPr="00551668">
        <w:rPr>
          <w:rFonts w:cs="Arial"/>
        </w:rPr>
        <w:t>All appropriate MO HealthNet participants</w:t>
      </w:r>
    </w:p>
    <w:p w14:paraId="7F2A9816" w14:textId="77777777" w:rsidR="005328B2" w:rsidRPr="002C2C41" w:rsidRDefault="005328B2" w:rsidP="005328B2">
      <w:pPr>
        <w:rPr>
          <w:rFonts w:cs="Arial"/>
          <w:szCs w:val="20"/>
        </w:rPr>
      </w:pPr>
    </w:p>
    <w:p w14:paraId="6413C035" w14:textId="4FE30429" w:rsidR="00AE77DB" w:rsidRPr="00C02553" w:rsidRDefault="00AE77DB" w:rsidP="0097028A">
      <w:pPr>
        <w:pStyle w:val="Heading1"/>
        <w:rPr>
          <w:lang w:val="en-US"/>
        </w:rPr>
      </w:pPr>
      <w:r w:rsidRPr="00C02553">
        <w:rPr>
          <w:lang w:val="en-US"/>
        </w:rPr>
        <w:t>Approval Criteria</w:t>
      </w:r>
    </w:p>
    <w:p w14:paraId="21A04969" w14:textId="77777777" w:rsidR="00146A72" w:rsidRDefault="00146A72" w:rsidP="00146A72">
      <w:pPr>
        <w:numPr>
          <w:ilvl w:val="0"/>
          <w:numId w:val="16"/>
        </w:numPr>
        <w:rPr>
          <w:rFonts w:cs="Arial"/>
          <w:szCs w:val="20"/>
        </w:rPr>
      </w:pPr>
      <w:r>
        <w:rPr>
          <w:rFonts w:cs="Arial"/>
          <w:szCs w:val="20"/>
        </w:rPr>
        <w:t>Must meet one of the following:</w:t>
      </w:r>
    </w:p>
    <w:p w14:paraId="1D2D03FC" w14:textId="77777777" w:rsidR="00146A72" w:rsidRDefault="00146A72" w:rsidP="00146A72">
      <w:pPr>
        <w:numPr>
          <w:ilvl w:val="1"/>
          <w:numId w:val="16"/>
        </w:numPr>
        <w:rPr>
          <w:rFonts w:cs="Arial"/>
          <w:szCs w:val="20"/>
        </w:rPr>
      </w:pPr>
      <w:r>
        <w:rPr>
          <w:rFonts w:cs="Arial"/>
          <w:szCs w:val="20"/>
        </w:rPr>
        <w:t xml:space="preserve">Claim is for a preferred agent; </w:t>
      </w:r>
      <w:r>
        <w:rPr>
          <w:rFonts w:cs="Arial"/>
          <w:b/>
          <w:bCs/>
          <w:szCs w:val="20"/>
        </w:rPr>
        <w:t>OR</w:t>
      </w:r>
    </w:p>
    <w:p w14:paraId="62FE8EEC" w14:textId="77777777" w:rsidR="00146A72" w:rsidRPr="00C1018C" w:rsidRDefault="00146A72" w:rsidP="00146A72">
      <w:pPr>
        <w:numPr>
          <w:ilvl w:val="1"/>
          <w:numId w:val="16"/>
        </w:numPr>
        <w:rPr>
          <w:rFonts w:cs="Arial"/>
          <w:szCs w:val="20"/>
        </w:rPr>
      </w:pPr>
      <w:r w:rsidRPr="00C1018C">
        <w:rPr>
          <w:rFonts w:cs="Arial"/>
          <w:szCs w:val="20"/>
        </w:rPr>
        <w:lastRenderedPageBreak/>
        <w:t xml:space="preserve">Failure to achieve desired therapeutic outcomes with trial on </w:t>
      </w:r>
      <w:r>
        <w:rPr>
          <w:rFonts w:cs="Arial"/>
          <w:szCs w:val="20"/>
        </w:rPr>
        <w:t>1</w:t>
      </w:r>
      <w:r w:rsidRPr="00C1018C">
        <w:rPr>
          <w:rFonts w:cs="Arial"/>
          <w:szCs w:val="20"/>
        </w:rPr>
        <w:t xml:space="preserve"> or more preferred agents</w:t>
      </w:r>
      <w:r>
        <w:rPr>
          <w:rFonts w:cs="Arial"/>
          <w:szCs w:val="20"/>
        </w:rPr>
        <w:t>;</w:t>
      </w:r>
      <w:r w:rsidRPr="00C1018C">
        <w:rPr>
          <w:rFonts w:cs="Arial"/>
          <w:szCs w:val="20"/>
        </w:rPr>
        <w:t xml:space="preserve"> </w:t>
      </w:r>
    </w:p>
    <w:p w14:paraId="5ABDCC4C" w14:textId="77777777" w:rsidR="00146A72" w:rsidRPr="00C1018C" w:rsidRDefault="00146A72" w:rsidP="00146A72">
      <w:pPr>
        <w:numPr>
          <w:ilvl w:val="2"/>
          <w:numId w:val="16"/>
        </w:numPr>
        <w:jc w:val="both"/>
        <w:rPr>
          <w:rFonts w:cs="Arial"/>
          <w:szCs w:val="20"/>
        </w:rPr>
      </w:pPr>
      <w:r w:rsidRPr="00C1018C">
        <w:rPr>
          <w:rFonts w:cs="Arial"/>
          <w:szCs w:val="20"/>
        </w:rPr>
        <w:t>Documented trial period of preferred agents</w:t>
      </w:r>
      <w:r>
        <w:rPr>
          <w:rFonts w:cs="Arial"/>
          <w:szCs w:val="20"/>
        </w:rPr>
        <w:t xml:space="preserve">; </w:t>
      </w:r>
      <w:r w:rsidRPr="00FE4D52">
        <w:rPr>
          <w:rFonts w:cs="Arial"/>
          <w:b/>
          <w:bCs/>
          <w:szCs w:val="20"/>
        </w:rPr>
        <w:t>OR</w:t>
      </w:r>
    </w:p>
    <w:p w14:paraId="0B0C0D72" w14:textId="3E537446" w:rsidR="005328B2" w:rsidRDefault="00146A72" w:rsidP="00146A72">
      <w:pPr>
        <w:numPr>
          <w:ilvl w:val="2"/>
          <w:numId w:val="16"/>
        </w:numPr>
        <w:jc w:val="both"/>
        <w:rPr>
          <w:rFonts w:cs="Arial"/>
          <w:szCs w:val="20"/>
        </w:rPr>
      </w:pPr>
      <w:r w:rsidRPr="00C1018C">
        <w:rPr>
          <w:rFonts w:cs="Arial"/>
          <w:szCs w:val="20"/>
        </w:rPr>
        <w:t>Documen</w:t>
      </w:r>
      <w:r>
        <w:rPr>
          <w:rFonts w:cs="Arial"/>
          <w:szCs w:val="20"/>
        </w:rPr>
        <w:t>ted ADE/ADR to preferred agents.</w:t>
      </w:r>
    </w:p>
    <w:p w14:paraId="797F3EF9" w14:textId="77777777" w:rsidR="00146A72" w:rsidRPr="002C2C41" w:rsidRDefault="00146A72" w:rsidP="00146A72">
      <w:pPr>
        <w:rPr>
          <w:rFonts w:cs="Arial"/>
          <w:szCs w:val="20"/>
        </w:rPr>
      </w:pPr>
    </w:p>
    <w:p w14:paraId="6413C03A" w14:textId="77777777" w:rsidR="00AE77DB" w:rsidRPr="00C02553" w:rsidRDefault="00AE77DB" w:rsidP="005A2F1E">
      <w:pPr>
        <w:pStyle w:val="Heading1"/>
        <w:rPr>
          <w:lang w:val="en-US"/>
        </w:rPr>
      </w:pPr>
      <w:r w:rsidRPr="00C02553">
        <w:rPr>
          <w:lang w:val="en-US"/>
        </w:rPr>
        <w:t>Denial Criteria</w:t>
      </w:r>
    </w:p>
    <w:p w14:paraId="730C2B10" w14:textId="77777777" w:rsidR="00904D7A" w:rsidRPr="00C722C9" w:rsidRDefault="00904D7A" w:rsidP="00C722C9">
      <w:pPr>
        <w:pStyle w:val="ListParagraph"/>
      </w:pPr>
      <w:r w:rsidRPr="00C722C9">
        <w:t xml:space="preserve">Therapy will deny </w:t>
      </w:r>
      <w:proofErr w:type="gramStart"/>
      <w:r w:rsidRPr="00C722C9">
        <w:t>with</w:t>
      </w:r>
      <w:proofErr w:type="gramEnd"/>
      <w:r w:rsidRPr="00C722C9">
        <w:t xml:space="preserve"> presence of one of the following:</w:t>
      </w:r>
    </w:p>
    <w:p w14:paraId="6FA6A5F2" w14:textId="673932F1" w:rsidR="00146A72" w:rsidRDefault="00904D7A" w:rsidP="00C722C9">
      <w:pPr>
        <w:pStyle w:val="ListParagraph"/>
        <w:numPr>
          <w:ilvl w:val="1"/>
          <w:numId w:val="6"/>
        </w:numPr>
      </w:pPr>
      <w:r w:rsidRPr="005328B2">
        <w:t>Any approval criteria are not met</w:t>
      </w:r>
      <w:r w:rsidR="00146A72">
        <w:t>;</w:t>
      </w:r>
    </w:p>
    <w:p w14:paraId="34DD01B8" w14:textId="6A9ADC3D" w:rsidR="00904D7A" w:rsidRPr="005328B2" w:rsidRDefault="00146A72" w:rsidP="00C722C9">
      <w:pPr>
        <w:pStyle w:val="ListParagraph"/>
        <w:numPr>
          <w:ilvl w:val="1"/>
          <w:numId w:val="6"/>
        </w:numPr>
      </w:pPr>
      <w:r>
        <w:t>Documented diagnosis of heart failure</w:t>
      </w:r>
      <w:r w:rsidR="00904D7A" w:rsidRPr="005328B2">
        <w:t>;</w:t>
      </w:r>
      <w:r w:rsidR="00904D7A">
        <w:t xml:space="preserve"> </w:t>
      </w:r>
      <w:r w:rsidR="00904D7A" w:rsidRPr="005A4232">
        <w:rPr>
          <w:b/>
          <w:bCs/>
        </w:rPr>
        <w:t>OR</w:t>
      </w:r>
    </w:p>
    <w:p w14:paraId="1D97C1E5" w14:textId="77777777" w:rsidR="00904D7A" w:rsidRPr="005328B2" w:rsidRDefault="00904D7A" w:rsidP="00C722C9">
      <w:pPr>
        <w:pStyle w:val="ListParagraph"/>
        <w:numPr>
          <w:ilvl w:val="1"/>
          <w:numId w:val="6"/>
        </w:numPr>
      </w:pPr>
      <w:r w:rsidRPr="005328B2">
        <w:t>Claim exceeds maximum dosing limitations:</w:t>
      </w:r>
    </w:p>
    <w:tbl>
      <w:tblPr>
        <w:tblStyle w:val="TableGrid"/>
        <w:tblW w:w="0" w:type="auto"/>
        <w:tblLook w:val="0620" w:firstRow="1" w:lastRow="0" w:firstColumn="0" w:lastColumn="0" w:noHBand="1" w:noVBand="1"/>
      </w:tblPr>
      <w:tblGrid>
        <w:gridCol w:w="3417"/>
        <w:gridCol w:w="3418"/>
        <w:gridCol w:w="2515"/>
      </w:tblGrid>
      <w:tr w:rsidR="00904D7A" w:rsidRPr="00C02553" w14:paraId="1F6DE132" w14:textId="77777777" w:rsidTr="00493594">
        <w:trPr>
          <w:trHeight w:val="276"/>
        </w:trPr>
        <w:tc>
          <w:tcPr>
            <w:tcW w:w="3417" w:type="dxa"/>
            <w:shd w:val="clear" w:color="auto" w:fill="FABF8F"/>
          </w:tcPr>
          <w:p w14:paraId="61F61DB2" w14:textId="77777777" w:rsidR="00904D7A" w:rsidRPr="00C02553" w:rsidRDefault="00904D7A" w:rsidP="00493594">
            <w:pPr>
              <w:jc w:val="center"/>
              <w:rPr>
                <w:rFonts w:cs="Arial"/>
                <w:b/>
                <w:bCs/>
                <w:szCs w:val="20"/>
              </w:rPr>
            </w:pPr>
            <w:r w:rsidRPr="00C02553">
              <w:rPr>
                <w:rFonts w:cs="Arial"/>
                <w:b/>
                <w:bCs/>
                <w:szCs w:val="20"/>
              </w:rPr>
              <w:t>Drug Description</w:t>
            </w:r>
          </w:p>
        </w:tc>
        <w:tc>
          <w:tcPr>
            <w:tcW w:w="3418" w:type="dxa"/>
            <w:shd w:val="clear" w:color="auto" w:fill="FABF8F"/>
          </w:tcPr>
          <w:p w14:paraId="39DE15A6" w14:textId="77777777" w:rsidR="00904D7A" w:rsidRPr="00C02553" w:rsidRDefault="00904D7A" w:rsidP="00493594">
            <w:pPr>
              <w:jc w:val="center"/>
              <w:rPr>
                <w:rFonts w:cs="Arial"/>
                <w:b/>
                <w:bCs/>
                <w:szCs w:val="20"/>
              </w:rPr>
            </w:pPr>
            <w:r w:rsidRPr="00C02553">
              <w:rPr>
                <w:rFonts w:cs="Arial"/>
                <w:b/>
                <w:bCs/>
                <w:szCs w:val="20"/>
              </w:rPr>
              <w:t>Generic Equivalent</w:t>
            </w:r>
          </w:p>
        </w:tc>
        <w:tc>
          <w:tcPr>
            <w:tcW w:w="2515" w:type="dxa"/>
            <w:shd w:val="clear" w:color="auto" w:fill="FABF8F"/>
          </w:tcPr>
          <w:p w14:paraId="17F14EEF" w14:textId="77777777" w:rsidR="00904D7A" w:rsidRPr="00C02553" w:rsidRDefault="00904D7A" w:rsidP="00493594">
            <w:pPr>
              <w:jc w:val="center"/>
              <w:rPr>
                <w:rFonts w:cs="Arial"/>
                <w:b/>
                <w:bCs/>
                <w:szCs w:val="20"/>
              </w:rPr>
            </w:pPr>
            <w:r w:rsidRPr="00C02553">
              <w:rPr>
                <w:rFonts w:cs="Arial"/>
                <w:b/>
                <w:bCs/>
                <w:szCs w:val="20"/>
              </w:rPr>
              <w:t>Max Dosing Limitation</w:t>
            </w:r>
          </w:p>
        </w:tc>
      </w:tr>
      <w:tr w:rsidR="00275FEF" w:rsidRPr="00C02553" w14:paraId="05C5E883" w14:textId="77777777" w:rsidTr="0050014C">
        <w:trPr>
          <w:trHeight w:val="276"/>
        </w:trPr>
        <w:tc>
          <w:tcPr>
            <w:tcW w:w="3417" w:type="dxa"/>
          </w:tcPr>
          <w:p w14:paraId="556501BF" w14:textId="446B7508" w:rsidR="00275FEF" w:rsidRPr="00F730BA" w:rsidRDefault="00275FEF" w:rsidP="00275FEF">
            <w:pPr>
              <w:rPr>
                <w:rFonts w:cs="Arial"/>
                <w:szCs w:val="20"/>
              </w:rPr>
            </w:pPr>
            <w:r w:rsidRPr="00A94C68">
              <w:rPr>
                <w:rFonts w:cs="Arial"/>
                <w:caps/>
                <w:szCs w:val="20"/>
              </w:rPr>
              <w:t>ActoPlus Met 15mg/500mg</w:t>
            </w:r>
          </w:p>
        </w:tc>
        <w:tc>
          <w:tcPr>
            <w:tcW w:w="3418" w:type="dxa"/>
          </w:tcPr>
          <w:p w14:paraId="1F00DA46" w14:textId="5B14095B" w:rsidR="00275FEF" w:rsidRPr="00F730BA" w:rsidRDefault="00275FEF" w:rsidP="00275FEF">
            <w:pPr>
              <w:rPr>
                <w:rFonts w:cs="Arial"/>
                <w:caps/>
                <w:szCs w:val="20"/>
              </w:rPr>
            </w:pPr>
            <w:r w:rsidRPr="00A94C68">
              <w:rPr>
                <w:rFonts w:cs="Arial"/>
                <w:caps/>
                <w:szCs w:val="20"/>
              </w:rPr>
              <w:t>Pioglitazone/Metformin</w:t>
            </w:r>
          </w:p>
        </w:tc>
        <w:tc>
          <w:tcPr>
            <w:tcW w:w="2515" w:type="dxa"/>
          </w:tcPr>
          <w:p w14:paraId="7EC279C1" w14:textId="667F6742" w:rsidR="00275FEF" w:rsidRPr="00F730BA" w:rsidRDefault="00275FEF" w:rsidP="00275FEF">
            <w:pPr>
              <w:rPr>
                <w:rFonts w:cs="Arial"/>
                <w:szCs w:val="20"/>
              </w:rPr>
            </w:pPr>
            <w:r>
              <w:rPr>
                <w:rFonts w:cs="Arial"/>
                <w:szCs w:val="20"/>
              </w:rPr>
              <w:t>3</w:t>
            </w:r>
            <w:r w:rsidRPr="008B6456">
              <w:rPr>
                <w:rFonts w:cs="Arial"/>
                <w:szCs w:val="20"/>
              </w:rPr>
              <w:t xml:space="preserve"> tablet</w:t>
            </w:r>
            <w:r>
              <w:rPr>
                <w:rFonts w:cs="Arial"/>
                <w:szCs w:val="20"/>
              </w:rPr>
              <w:t>s</w:t>
            </w:r>
            <w:r w:rsidRPr="008B6456">
              <w:rPr>
                <w:rFonts w:cs="Arial"/>
                <w:szCs w:val="20"/>
              </w:rPr>
              <w:t xml:space="preserve"> per day</w:t>
            </w:r>
          </w:p>
        </w:tc>
      </w:tr>
      <w:tr w:rsidR="00275FEF" w:rsidRPr="00C02553" w14:paraId="33D16B79" w14:textId="77777777" w:rsidTr="0050014C">
        <w:trPr>
          <w:trHeight w:val="276"/>
        </w:trPr>
        <w:tc>
          <w:tcPr>
            <w:tcW w:w="3417" w:type="dxa"/>
          </w:tcPr>
          <w:p w14:paraId="490147AF" w14:textId="0414CE97" w:rsidR="00275FEF" w:rsidRPr="00A94C68" w:rsidRDefault="00275FEF" w:rsidP="00275FEF">
            <w:pPr>
              <w:rPr>
                <w:rFonts w:cs="Arial"/>
                <w:caps/>
                <w:szCs w:val="20"/>
              </w:rPr>
            </w:pPr>
            <w:r w:rsidRPr="00A94C68">
              <w:rPr>
                <w:rFonts w:cs="Arial"/>
                <w:caps/>
                <w:szCs w:val="20"/>
              </w:rPr>
              <w:t>ActoPlus Met 15mg/850mg</w:t>
            </w:r>
          </w:p>
        </w:tc>
        <w:tc>
          <w:tcPr>
            <w:tcW w:w="3418" w:type="dxa"/>
          </w:tcPr>
          <w:p w14:paraId="5127D69F" w14:textId="2D461940" w:rsidR="00275FEF" w:rsidRPr="00A94C68" w:rsidRDefault="00275FEF" w:rsidP="00275FEF">
            <w:pPr>
              <w:rPr>
                <w:rFonts w:cs="Arial"/>
                <w:caps/>
                <w:szCs w:val="20"/>
              </w:rPr>
            </w:pPr>
            <w:r w:rsidRPr="00A94C68">
              <w:rPr>
                <w:rFonts w:cs="Arial"/>
                <w:caps/>
                <w:szCs w:val="20"/>
              </w:rPr>
              <w:t>Pioglitazone/Metformin</w:t>
            </w:r>
          </w:p>
        </w:tc>
        <w:tc>
          <w:tcPr>
            <w:tcW w:w="2515" w:type="dxa"/>
          </w:tcPr>
          <w:p w14:paraId="006167A2" w14:textId="75436E09" w:rsidR="00275FEF" w:rsidRDefault="00275FEF" w:rsidP="00275FEF">
            <w:pPr>
              <w:rPr>
                <w:rFonts w:cs="Arial"/>
                <w:szCs w:val="20"/>
              </w:rPr>
            </w:pPr>
            <w:r>
              <w:rPr>
                <w:rFonts w:cs="Arial"/>
                <w:szCs w:val="20"/>
              </w:rPr>
              <w:t>3</w:t>
            </w:r>
            <w:r w:rsidRPr="008B6456">
              <w:rPr>
                <w:rFonts w:cs="Arial"/>
                <w:szCs w:val="20"/>
              </w:rPr>
              <w:t xml:space="preserve"> tablet</w:t>
            </w:r>
            <w:r>
              <w:rPr>
                <w:rFonts w:cs="Arial"/>
                <w:szCs w:val="20"/>
              </w:rPr>
              <w:t>s</w:t>
            </w:r>
            <w:r w:rsidRPr="008B6456">
              <w:rPr>
                <w:rFonts w:cs="Arial"/>
                <w:szCs w:val="20"/>
              </w:rPr>
              <w:t xml:space="preserve"> per day</w:t>
            </w:r>
          </w:p>
        </w:tc>
      </w:tr>
      <w:tr w:rsidR="00275FEF" w:rsidRPr="00C02553" w14:paraId="3319B4E2" w14:textId="77777777" w:rsidTr="0050014C">
        <w:trPr>
          <w:trHeight w:val="276"/>
        </w:trPr>
        <w:tc>
          <w:tcPr>
            <w:tcW w:w="3417" w:type="dxa"/>
          </w:tcPr>
          <w:p w14:paraId="1C6064EC" w14:textId="7C3D1BF0" w:rsidR="00275FEF" w:rsidRPr="00A94C68" w:rsidRDefault="00275FEF" w:rsidP="00275FEF">
            <w:pPr>
              <w:rPr>
                <w:rFonts w:cs="Arial"/>
                <w:caps/>
                <w:szCs w:val="20"/>
              </w:rPr>
            </w:pPr>
            <w:r w:rsidRPr="002158E1">
              <w:rPr>
                <w:rFonts w:cs="Arial"/>
                <w:caps/>
              </w:rPr>
              <w:t>Actos 15 mg</w:t>
            </w:r>
          </w:p>
        </w:tc>
        <w:tc>
          <w:tcPr>
            <w:tcW w:w="3418" w:type="dxa"/>
          </w:tcPr>
          <w:p w14:paraId="390C6789" w14:textId="4F65BE39" w:rsidR="00275FEF" w:rsidRPr="00A94C68" w:rsidRDefault="00275FEF" w:rsidP="00275FEF">
            <w:pPr>
              <w:rPr>
                <w:rFonts w:cs="Arial"/>
                <w:caps/>
                <w:szCs w:val="20"/>
              </w:rPr>
            </w:pPr>
            <w:r w:rsidRPr="002158E1">
              <w:rPr>
                <w:rFonts w:cs="Arial"/>
                <w:caps/>
              </w:rPr>
              <w:t>Pioglitazone</w:t>
            </w:r>
          </w:p>
        </w:tc>
        <w:tc>
          <w:tcPr>
            <w:tcW w:w="2515" w:type="dxa"/>
          </w:tcPr>
          <w:p w14:paraId="2BECB648" w14:textId="0D3F6A40" w:rsidR="00275FEF" w:rsidRDefault="00275FEF" w:rsidP="00275FEF">
            <w:pPr>
              <w:rPr>
                <w:rFonts w:cs="Arial"/>
                <w:szCs w:val="20"/>
              </w:rPr>
            </w:pPr>
            <w:r>
              <w:rPr>
                <w:rFonts w:cs="Arial"/>
                <w:szCs w:val="20"/>
              </w:rPr>
              <w:t>1 tablet per day</w:t>
            </w:r>
          </w:p>
        </w:tc>
      </w:tr>
      <w:tr w:rsidR="00275FEF" w:rsidRPr="00C02553" w14:paraId="760CD516" w14:textId="77777777" w:rsidTr="0050014C">
        <w:trPr>
          <w:trHeight w:val="276"/>
        </w:trPr>
        <w:tc>
          <w:tcPr>
            <w:tcW w:w="3417" w:type="dxa"/>
          </w:tcPr>
          <w:p w14:paraId="11F54186" w14:textId="65579F8E" w:rsidR="00275FEF" w:rsidRPr="002158E1" w:rsidRDefault="00275FEF" w:rsidP="00275FEF">
            <w:pPr>
              <w:rPr>
                <w:rFonts w:cs="Arial"/>
                <w:caps/>
              </w:rPr>
            </w:pPr>
            <w:r w:rsidRPr="002158E1">
              <w:rPr>
                <w:rFonts w:cs="Arial"/>
                <w:caps/>
              </w:rPr>
              <w:t>Actos 30 mg</w:t>
            </w:r>
          </w:p>
        </w:tc>
        <w:tc>
          <w:tcPr>
            <w:tcW w:w="3418" w:type="dxa"/>
          </w:tcPr>
          <w:p w14:paraId="08DF5D11" w14:textId="6D910072" w:rsidR="00275FEF" w:rsidRPr="002158E1" w:rsidRDefault="00275FEF" w:rsidP="00275FEF">
            <w:pPr>
              <w:rPr>
                <w:rFonts w:cs="Arial"/>
                <w:caps/>
              </w:rPr>
            </w:pPr>
            <w:r w:rsidRPr="002158E1">
              <w:rPr>
                <w:rFonts w:cs="Arial"/>
                <w:caps/>
              </w:rPr>
              <w:t>Pioglitazone</w:t>
            </w:r>
          </w:p>
        </w:tc>
        <w:tc>
          <w:tcPr>
            <w:tcW w:w="2515" w:type="dxa"/>
          </w:tcPr>
          <w:p w14:paraId="7C020F2B" w14:textId="6ECB0AE6" w:rsidR="00275FEF" w:rsidRDefault="00275FEF" w:rsidP="00275FEF">
            <w:pPr>
              <w:rPr>
                <w:rFonts w:cs="Arial"/>
                <w:szCs w:val="20"/>
              </w:rPr>
            </w:pPr>
            <w:r w:rsidRPr="008B6456">
              <w:rPr>
                <w:rFonts w:cs="Arial"/>
                <w:szCs w:val="20"/>
              </w:rPr>
              <w:t>1 tablet per day</w:t>
            </w:r>
          </w:p>
        </w:tc>
      </w:tr>
      <w:tr w:rsidR="00275FEF" w:rsidRPr="00C02553" w14:paraId="1A8A37A4" w14:textId="77777777" w:rsidTr="0050014C">
        <w:trPr>
          <w:trHeight w:val="276"/>
        </w:trPr>
        <w:tc>
          <w:tcPr>
            <w:tcW w:w="3417" w:type="dxa"/>
          </w:tcPr>
          <w:p w14:paraId="570482AF" w14:textId="438552D7" w:rsidR="00275FEF" w:rsidRPr="002158E1" w:rsidRDefault="00275FEF" w:rsidP="00275FEF">
            <w:pPr>
              <w:rPr>
                <w:rFonts w:cs="Arial"/>
                <w:caps/>
              </w:rPr>
            </w:pPr>
            <w:r w:rsidRPr="002158E1">
              <w:rPr>
                <w:rFonts w:cs="Arial"/>
                <w:caps/>
              </w:rPr>
              <w:t>Actos 45 mg</w:t>
            </w:r>
          </w:p>
        </w:tc>
        <w:tc>
          <w:tcPr>
            <w:tcW w:w="3418" w:type="dxa"/>
          </w:tcPr>
          <w:p w14:paraId="63165AC0" w14:textId="6CC7C7C9" w:rsidR="00275FEF" w:rsidRPr="002158E1" w:rsidRDefault="00275FEF" w:rsidP="00275FEF">
            <w:pPr>
              <w:rPr>
                <w:rFonts w:cs="Arial"/>
                <w:caps/>
              </w:rPr>
            </w:pPr>
            <w:r w:rsidRPr="002158E1">
              <w:rPr>
                <w:rFonts w:cs="Arial"/>
                <w:caps/>
              </w:rPr>
              <w:t>Pioglitazone</w:t>
            </w:r>
          </w:p>
        </w:tc>
        <w:tc>
          <w:tcPr>
            <w:tcW w:w="2515" w:type="dxa"/>
          </w:tcPr>
          <w:p w14:paraId="6BA45628" w14:textId="47486760" w:rsidR="00275FEF" w:rsidRPr="008B6456" w:rsidRDefault="00275FEF" w:rsidP="00275FEF">
            <w:pPr>
              <w:rPr>
                <w:rFonts w:cs="Arial"/>
                <w:szCs w:val="20"/>
              </w:rPr>
            </w:pPr>
            <w:r w:rsidRPr="008B6456">
              <w:rPr>
                <w:rFonts w:cs="Arial"/>
                <w:szCs w:val="20"/>
              </w:rPr>
              <w:t>1 tablet per day</w:t>
            </w:r>
          </w:p>
        </w:tc>
      </w:tr>
      <w:tr w:rsidR="00275FEF" w:rsidRPr="00C02553" w14:paraId="7C766416" w14:textId="77777777" w:rsidTr="0050014C">
        <w:trPr>
          <w:trHeight w:val="276"/>
        </w:trPr>
        <w:tc>
          <w:tcPr>
            <w:tcW w:w="3417" w:type="dxa"/>
          </w:tcPr>
          <w:p w14:paraId="383C4E6A" w14:textId="64EA9B06" w:rsidR="00275FEF" w:rsidRPr="002158E1" w:rsidRDefault="00275FEF" w:rsidP="00275FEF">
            <w:pPr>
              <w:rPr>
                <w:rFonts w:cs="Arial"/>
                <w:caps/>
              </w:rPr>
            </w:pPr>
            <w:r w:rsidRPr="00F96737">
              <w:rPr>
                <w:rFonts w:cs="Arial"/>
                <w:caps/>
              </w:rPr>
              <w:t>duetact 30-4 mg tablet</w:t>
            </w:r>
          </w:p>
        </w:tc>
        <w:tc>
          <w:tcPr>
            <w:tcW w:w="3418" w:type="dxa"/>
          </w:tcPr>
          <w:p w14:paraId="7C9910D8" w14:textId="174A18E9" w:rsidR="00275FEF" w:rsidRPr="002158E1" w:rsidRDefault="00275FEF" w:rsidP="00275FEF">
            <w:pPr>
              <w:rPr>
                <w:rFonts w:cs="Arial"/>
                <w:caps/>
              </w:rPr>
            </w:pPr>
            <w:r w:rsidRPr="00F96737">
              <w:rPr>
                <w:rFonts w:cs="Arial"/>
                <w:caps/>
              </w:rPr>
              <w:t>pioglitazone/glimepiride</w:t>
            </w:r>
          </w:p>
        </w:tc>
        <w:tc>
          <w:tcPr>
            <w:tcW w:w="2515" w:type="dxa"/>
          </w:tcPr>
          <w:p w14:paraId="17283498" w14:textId="10AA736C" w:rsidR="00275FEF" w:rsidRPr="008B6456" w:rsidRDefault="00275FEF" w:rsidP="00275FEF">
            <w:pPr>
              <w:rPr>
                <w:rFonts w:cs="Arial"/>
                <w:szCs w:val="20"/>
              </w:rPr>
            </w:pPr>
            <w:r w:rsidRPr="00F96737">
              <w:rPr>
                <w:rFonts w:cs="Arial"/>
                <w:szCs w:val="20"/>
              </w:rPr>
              <w:t>1 tablet per day</w:t>
            </w:r>
          </w:p>
        </w:tc>
      </w:tr>
      <w:tr w:rsidR="00275FEF" w:rsidRPr="00C02553" w14:paraId="773A3C15" w14:textId="77777777" w:rsidTr="0050014C">
        <w:trPr>
          <w:trHeight w:val="276"/>
        </w:trPr>
        <w:tc>
          <w:tcPr>
            <w:tcW w:w="3417" w:type="dxa"/>
          </w:tcPr>
          <w:p w14:paraId="1F14085C" w14:textId="101FE83E" w:rsidR="00275FEF" w:rsidRPr="00F96737" w:rsidRDefault="00275FEF" w:rsidP="00275FEF">
            <w:pPr>
              <w:rPr>
                <w:rFonts w:cs="Arial"/>
                <w:caps/>
              </w:rPr>
            </w:pPr>
            <w:r w:rsidRPr="00F96737">
              <w:rPr>
                <w:rFonts w:cs="Arial"/>
                <w:caps/>
              </w:rPr>
              <w:t>duetact 30-2 mg tablet</w:t>
            </w:r>
          </w:p>
        </w:tc>
        <w:tc>
          <w:tcPr>
            <w:tcW w:w="3418" w:type="dxa"/>
          </w:tcPr>
          <w:p w14:paraId="5E9183FE" w14:textId="331D5AAE" w:rsidR="00275FEF" w:rsidRPr="00F96737" w:rsidRDefault="00275FEF" w:rsidP="00275FEF">
            <w:pPr>
              <w:rPr>
                <w:rFonts w:cs="Arial"/>
                <w:caps/>
              </w:rPr>
            </w:pPr>
            <w:r w:rsidRPr="00F96737">
              <w:rPr>
                <w:rFonts w:cs="Arial"/>
                <w:caps/>
              </w:rPr>
              <w:t>pioglitazone/glimepiride</w:t>
            </w:r>
          </w:p>
        </w:tc>
        <w:tc>
          <w:tcPr>
            <w:tcW w:w="2515" w:type="dxa"/>
          </w:tcPr>
          <w:p w14:paraId="0F81878F" w14:textId="082C9BFB" w:rsidR="00275FEF" w:rsidRPr="00F96737" w:rsidRDefault="00275FEF" w:rsidP="00275FEF">
            <w:pPr>
              <w:rPr>
                <w:rFonts w:cs="Arial"/>
                <w:szCs w:val="20"/>
              </w:rPr>
            </w:pPr>
            <w:r w:rsidRPr="00F96737">
              <w:rPr>
                <w:rFonts w:cs="Arial"/>
                <w:szCs w:val="20"/>
              </w:rPr>
              <w:t>1 tablet per day</w:t>
            </w:r>
          </w:p>
        </w:tc>
      </w:tr>
    </w:tbl>
    <w:p w14:paraId="4D21EAF1" w14:textId="77777777" w:rsidR="001E4CBA" w:rsidRPr="002C2C41" w:rsidRDefault="001E4CBA" w:rsidP="001C73B1">
      <w:pPr>
        <w:pStyle w:val="ListParagraph"/>
        <w:numPr>
          <w:ilvl w:val="0"/>
          <w:numId w:val="0"/>
        </w:numPr>
        <w:ind w:left="360"/>
        <w:rPr>
          <w:rFonts w:cs="Arial"/>
          <w:szCs w:val="22"/>
        </w:rPr>
      </w:pPr>
    </w:p>
    <w:p w14:paraId="050492C1" w14:textId="77777777" w:rsidR="00BC5635" w:rsidRPr="00C02553" w:rsidRDefault="00BC5635" w:rsidP="00343D6B">
      <w:pPr>
        <w:pStyle w:val="Heading1"/>
        <w:rPr>
          <w:lang w:val="en-US"/>
        </w:rPr>
      </w:pPr>
      <w:bookmarkStart w:id="3" w:name="_Hlk34120952"/>
      <w:r w:rsidRPr="00C02553">
        <w:rPr>
          <w:lang w:val="en-US"/>
        </w:rPr>
        <w:t>Disposition of Edit</w:t>
      </w:r>
    </w:p>
    <w:p w14:paraId="2A6C8BA0" w14:textId="2F3144DB" w:rsidR="00BC5635" w:rsidRPr="00C02553" w:rsidRDefault="00C26001" w:rsidP="00696E3A">
      <w:r w:rsidRPr="00696E3A">
        <w:rPr>
          <w:b/>
          <w:bCs/>
        </w:rPr>
        <w:t>Denial:</w:t>
      </w:r>
      <w:r w:rsidR="00074464" w:rsidRPr="00C02553">
        <w:t xml:space="preserve"> </w:t>
      </w:r>
      <w:r w:rsidR="00973BD6" w:rsidRPr="00973BD6">
        <w:t>Exception Code “0</w:t>
      </w:r>
      <w:r w:rsidR="00126B60">
        <w:t>160</w:t>
      </w:r>
      <w:r w:rsidR="00973BD6" w:rsidRPr="00973BD6">
        <w:t>” (</w:t>
      </w:r>
      <w:r w:rsidR="00126B60">
        <w:t>Preferred Drug List</w:t>
      </w:r>
      <w:r w:rsidR="00973BD6" w:rsidRPr="00973BD6">
        <w:t>)</w:t>
      </w:r>
    </w:p>
    <w:p w14:paraId="297E1B37" w14:textId="7EFB55E8" w:rsidR="002A02F4" w:rsidRPr="00C02553" w:rsidRDefault="00C26001" w:rsidP="00696E3A">
      <w:r w:rsidRPr="00696E3A">
        <w:rPr>
          <w:b/>
          <w:bCs/>
        </w:rPr>
        <w:t>Rule Type:</w:t>
      </w:r>
      <w:r w:rsidR="00074464" w:rsidRPr="00C02553">
        <w:t xml:space="preserve"> </w:t>
      </w:r>
      <w:r w:rsidR="00126B60">
        <w:t>PDL</w:t>
      </w:r>
    </w:p>
    <w:p w14:paraId="5D43D3D3" w14:textId="5BBFBF7D" w:rsidR="00343D6B" w:rsidRPr="00C02553" w:rsidRDefault="00343D6B" w:rsidP="00696E3A">
      <w:r w:rsidRPr="00696E3A">
        <w:rPr>
          <w:b/>
          <w:bCs/>
        </w:rPr>
        <w:t>Default Approval Period:</w:t>
      </w:r>
      <w:r w:rsidR="00973BD6">
        <w:t xml:space="preserve"> </w:t>
      </w:r>
      <w:r w:rsidR="00126B60">
        <w:t>1 year</w:t>
      </w:r>
    </w:p>
    <w:p w14:paraId="6649BF8C" w14:textId="77777777" w:rsidR="00343D6B" w:rsidRPr="002C2C41" w:rsidRDefault="00343D6B" w:rsidP="00343D6B">
      <w:pPr>
        <w:rPr>
          <w:rFonts w:cs="Arial"/>
          <w:szCs w:val="20"/>
        </w:rPr>
      </w:pPr>
    </w:p>
    <w:bookmarkEnd w:id="3"/>
    <w:p w14:paraId="6413C0CF" w14:textId="530C1EC9" w:rsidR="00AE77DB" w:rsidRPr="00C02553" w:rsidRDefault="00AE77DB" w:rsidP="00343D6B">
      <w:pPr>
        <w:pStyle w:val="Heading1"/>
        <w:rPr>
          <w:lang w:val="en-US"/>
        </w:rPr>
      </w:pPr>
      <w:r w:rsidRPr="00C02553">
        <w:rPr>
          <w:lang w:val="en-US"/>
        </w:rPr>
        <w:t>References</w:t>
      </w:r>
    </w:p>
    <w:p w14:paraId="18C888A0" w14:textId="77777777" w:rsidR="00840AF6" w:rsidRPr="008178D8" w:rsidRDefault="00840AF6" w:rsidP="00840AF6">
      <w:pPr>
        <w:pStyle w:val="ListParagraph"/>
      </w:pPr>
      <w:bookmarkStart w:id="4" w:name="_Hlk134790252"/>
      <w:r w:rsidRPr="008178D8">
        <w:t xml:space="preserve">Evidence-Based Medicine and Fiscal Analysis: “Therapeutic Class Review: </w:t>
      </w:r>
      <w:r w:rsidRPr="00426243">
        <w:t>ENDOCRINE AND METABOLIC AGENTS: Antihyperglycemic, Thiazolidinediones (TZDs) &amp; Combination Agents</w:t>
      </w:r>
      <w:r w:rsidRPr="008178D8">
        <w:t xml:space="preserve">”, Gainwell Technologies; Last updated </w:t>
      </w:r>
      <w:r>
        <w:t>April 4, 2024</w:t>
      </w:r>
      <w:r w:rsidRPr="008178D8">
        <w:t>.</w:t>
      </w:r>
    </w:p>
    <w:p w14:paraId="602E17B2" w14:textId="5B59F2FD" w:rsidR="00840AF6" w:rsidRPr="00A97E55" w:rsidRDefault="00840AF6" w:rsidP="00840AF6">
      <w:pPr>
        <w:pStyle w:val="ListParagraph"/>
      </w:pPr>
      <w:r>
        <w:t>Evidence-Based Medicine Analysis: “Thiazolidinediones”, UMKC-DIC; May 202</w:t>
      </w:r>
      <w:r w:rsidR="6154CF6F">
        <w:t>6</w:t>
      </w:r>
      <w:r>
        <w:t>.</w:t>
      </w:r>
    </w:p>
    <w:bookmarkEnd w:id="4"/>
    <w:p w14:paraId="635002FF" w14:textId="77777777" w:rsidR="00840AF6" w:rsidRPr="00950FD3" w:rsidRDefault="00840AF6" w:rsidP="00840AF6">
      <w:pPr>
        <w:pStyle w:val="ListParagraph"/>
      </w:pPr>
      <w:r w:rsidRPr="001344EA">
        <w:t>American Diabetes Association Professional Practice Committee. Standards of Medical Care in Diabetes. Diabetes Care. 202</w:t>
      </w:r>
      <w:r>
        <w:t>5</w:t>
      </w:r>
      <w:r w:rsidRPr="001344EA">
        <w:t>; 4</w:t>
      </w:r>
      <w:r>
        <w:t>8</w:t>
      </w:r>
      <w:r w:rsidRPr="001344EA">
        <w:t>(suppl 1</w:t>
      </w:r>
      <w:proofErr w:type="gramStart"/>
      <w:r w:rsidRPr="001344EA">
        <w:t>):s</w:t>
      </w:r>
      <w:proofErr w:type="gramEnd"/>
      <w:r w:rsidRPr="001344EA">
        <w:t>1-s</w:t>
      </w:r>
      <w:r>
        <w:t>372</w:t>
      </w:r>
      <w:r w:rsidRPr="001344EA">
        <w:t>.</w:t>
      </w:r>
    </w:p>
    <w:p w14:paraId="0F8FC9BB" w14:textId="1D5928CC" w:rsidR="00840AF6" w:rsidRPr="00700A44" w:rsidRDefault="00840AF6" w:rsidP="00840AF6">
      <w:pPr>
        <w:pStyle w:val="ListParagraph"/>
        <w:rPr>
          <w:rStyle w:val="normaltextrun"/>
          <w:rFonts w:cs="Arial"/>
        </w:rPr>
      </w:pPr>
      <w:r>
        <w:t>USPDI, Micromedex; 202</w:t>
      </w:r>
      <w:r w:rsidR="444B62CF">
        <w:t>6</w:t>
      </w:r>
      <w:r>
        <w:t xml:space="preserve">. </w:t>
      </w:r>
    </w:p>
    <w:p w14:paraId="3FA1E7DB" w14:textId="700661F6" w:rsidR="00777CA4" w:rsidRDefault="00840AF6" w:rsidP="00840AF6">
      <w:pPr>
        <w:pStyle w:val="ListParagraph"/>
      </w:pPr>
      <w:r w:rsidRPr="42346A81">
        <w:rPr>
          <w:rStyle w:val="normaltextrun"/>
          <w:rFonts w:cs="Arial"/>
        </w:rPr>
        <w:t>Facts and Comparisons </w:t>
      </w:r>
      <w:proofErr w:type="spellStart"/>
      <w:r w:rsidRPr="42346A81">
        <w:rPr>
          <w:rStyle w:val="spellingerror"/>
          <w:rFonts w:cs="Arial"/>
        </w:rPr>
        <w:t>eAnswers</w:t>
      </w:r>
      <w:proofErr w:type="spellEnd"/>
      <w:r w:rsidRPr="42346A81">
        <w:rPr>
          <w:rStyle w:val="normaltextrun"/>
          <w:rFonts w:cs="Arial"/>
        </w:rPr>
        <w:t> (online); 202</w:t>
      </w:r>
      <w:r w:rsidR="20B94AF3" w:rsidRPr="42346A81">
        <w:rPr>
          <w:rStyle w:val="normaltextrun"/>
          <w:rFonts w:cs="Arial"/>
        </w:rPr>
        <w:t>6</w:t>
      </w:r>
      <w:r w:rsidRPr="42346A81">
        <w:rPr>
          <w:rStyle w:val="normaltextrun"/>
          <w:rFonts w:cs="Arial"/>
        </w:rPr>
        <w:t xml:space="preserve"> Clinical Drug Information, LLC</w:t>
      </w:r>
      <w:r w:rsidR="00777CA4">
        <w:t>.</w:t>
      </w:r>
    </w:p>
    <w:sectPr w:rsidR="00777CA4" w:rsidSect="00AB0B9F">
      <w:headerReference w:type="even" r:id="rId11"/>
      <w:headerReference w:type="default" r:id="rId12"/>
      <w:footerReference w:type="even" r:id="rId13"/>
      <w:footerReference w:type="default" r:id="rId14"/>
      <w:headerReference w:type="first" r:id="rId15"/>
      <w:footerReference w:type="first" r:id="rId16"/>
      <w:type w:val="continuous"/>
      <w:pgSz w:w="12240" w:h="15840"/>
      <w:pgMar w:top="1440" w:right="1440" w:bottom="1440" w:left="1440" w:header="432" w:footer="432"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458E6D" w14:textId="77777777" w:rsidR="00F157D6" w:rsidRPr="00C02553" w:rsidRDefault="00F157D6" w:rsidP="00AE77DB">
      <w:r w:rsidRPr="00C02553">
        <w:separator/>
      </w:r>
    </w:p>
  </w:endnote>
  <w:endnote w:type="continuationSeparator" w:id="0">
    <w:p w14:paraId="53F2487F" w14:textId="77777777" w:rsidR="00F157D6" w:rsidRPr="00C02553" w:rsidRDefault="00F157D6" w:rsidP="00AE77DB">
      <w:r w:rsidRPr="00C02553">
        <w:continuationSeparator/>
      </w:r>
    </w:p>
  </w:endnote>
  <w:endnote w:type="continuationNotice" w:id="1">
    <w:p w14:paraId="342A6F7D" w14:textId="77777777" w:rsidR="00F157D6" w:rsidRPr="00C02553" w:rsidRDefault="00F157D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3C0EC" w14:textId="77777777" w:rsidR="00006A61" w:rsidRPr="00C02553" w:rsidRDefault="00006A61">
    <w:pPr>
      <w:pStyle w:val="Footer"/>
      <w:framePr w:wrap="around" w:vAnchor="text" w:hAnchor="margin" w:xAlign="right" w:y="1"/>
      <w:rPr>
        <w:rStyle w:val="PageNumber"/>
        <w:rFonts w:ascii="Times New Roman" w:hAnsi="Times New Roman"/>
      </w:rPr>
    </w:pPr>
    <w:r w:rsidRPr="00C02553">
      <w:rPr>
        <w:rStyle w:val="PageNumber"/>
        <w:rFonts w:ascii="Times New Roman" w:hAnsi="Times New Roman"/>
      </w:rPr>
      <w:fldChar w:fldCharType="begin"/>
    </w:r>
    <w:r w:rsidRPr="00C02553">
      <w:rPr>
        <w:rStyle w:val="PageNumber"/>
        <w:rFonts w:ascii="Times New Roman" w:hAnsi="Times New Roman"/>
      </w:rPr>
      <w:instrText xml:space="preserve">PAGE  </w:instrText>
    </w:r>
    <w:r w:rsidRPr="00C02553">
      <w:rPr>
        <w:rStyle w:val="PageNumber"/>
        <w:rFonts w:ascii="Times New Roman" w:hAnsi="Times New Roman"/>
      </w:rPr>
      <w:fldChar w:fldCharType="separate"/>
    </w:r>
    <w:r w:rsidRPr="00C02553">
      <w:rPr>
        <w:rStyle w:val="PageNumber"/>
        <w:rFonts w:ascii="Times New Roman" w:hAnsi="Times New Roman"/>
      </w:rPr>
      <w:t>2</w:t>
    </w:r>
    <w:r w:rsidRPr="00C02553">
      <w:rPr>
        <w:rStyle w:val="PageNumber"/>
        <w:rFonts w:ascii="Times New Roman" w:hAnsi="Times New Roman"/>
      </w:rPr>
      <w:fldChar w:fldCharType="end"/>
    </w:r>
  </w:p>
  <w:p w14:paraId="6413C0ED" w14:textId="77777777" w:rsidR="00006A61" w:rsidRPr="00C02553" w:rsidRDefault="00006A61">
    <w:pPr>
      <w:pStyle w:val="Footer"/>
      <w:ind w:right="360"/>
      <w:rPr>
        <w:rFonts w:ascii="Times New Roman" w:hAnsi="Times New Roman"/>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077ECE" w14:textId="2F12D58C" w:rsidR="00811A70" w:rsidRPr="00C02553" w:rsidRDefault="00811A70" w:rsidP="00811A70">
    <w:pPr>
      <w:pStyle w:val="Footer"/>
      <w:tabs>
        <w:tab w:val="clear" w:pos="8640"/>
        <w:tab w:val="right" w:pos="9360"/>
      </w:tabs>
      <w:rPr>
        <w:rFonts w:cs="Arial"/>
        <w:sz w:val="16"/>
        <w:szCs w:val="16"/>
      </w:rPr>
    </w:pPr>
    <w:proofErr w:type="spellStart"/>
    <w:r w:rsidRPr="00C02553">
      <w:rPr>
        <w:rFonts w:cs="Arial"/>
        <w:sz w:val="16"/>
        <w:szCs w:val="16"/>
      </w:rPr>
      <w:t>SmartPA</w:t>
    </w:r>
    <w:proofErr w:type="spellEnd"/>
    <w:r w:rsidRPr="00C02553">
      <w:rPr>
        <w:rFonts w:cs="Arial"/>
        <w:sz w:val="16"/>
        <w:szCs w:val="16"/>
      </w:rPr>
      <w:t xml:space="preserve"> </w:t>
    </w:r>
    <w:r w:rsidR="00AE27F9">
      <w:rPr>
        <w:rFonts w:cs="Arial"/>
        <w:sz w:val="16"/>
        <w:szCs w:val="16"/>
      </w:rPr>
      <w:t>Clinical</w:t>
    </w:r>
    <w:r w:rsidRPr="00C02553">
      <w:rPr>
        <w:rFonts w:cs="Arial"/>
        <w:sz w:val="16"/>
        <w:szCs w:val="16"/>
      </w:rPr>
      <w:t xml:space="preserve"> Proposal Form</w:t>
    </w:r>
  </w:p>
  <w:p w14:paraId="64986366" w14:textId="56923C2A" w:rsidR="00811A70" w:rsidRPr="00C02553" w:rsidRDefault="00811A70" w:rsidP="00811A70">
    <w:pPr>
      <w:rPr>
        <w:rFonts w:cs="Arial"/>
        <w:sz w:val="16"/>
        <w:szCs w:val="16"/>
      </w:rPr>
    </w:pPr>
    <w:r w:rsidRPr="00C02553">
      <w:rPr>
        <w:rFonts w:cs="Arial"/>
        <w:sz w:val="16"/>
        <w:szCs w:val="16"/>
      </w:rPr>
      <w:t>© 202</w:t>
    </w:r>
    <w:r w:rsidR="0066374F">
      <w:rPr>
        <w:rFonts w:cs="Arial"/>
        <w:sz w:val="16"/>
        <w:szCs w:val="16"/>
      </w:rPr>
      <w:t>6</w:t>
    </w:r>
    <w:r w:rsidRPr="00C02553">
      <w:rPr>
        <w:rFonts w:cs="Arial"/>
        <w:sz w:val="16"/>
        <w:szCs w:val="16"/>
      </w:rPr>
      <w:t xml:space="preserve"> Conduent Business Services, LLC. All rights reserved. Conduent™ and Conduent Design™ are trademarks of Conduent Business Services, LLC in the United States and/or other countries.</w:t>
    </w:r>
  </w:p>
  <w:p w14:paraId="55B904FD" w14:textId="452A3398" w:rsidR="00811A70" w:rsidRPr="00C02553" w:rsidRDefault="00811A70" w:rsidP="00811A70">
    <w:pPr>
      <w:pStyle w:val="Footer"/>
    </w:pPr>
    <w:r w:rsidRPr="00C02553">
      <w:rPr>
        <w:rFonts w:cs="Arial"/>
        <w:sz w:val="16"/>
        <w:szCs w:val="16"/>
      </w:rPr>
      <w:t>Other company trademarks are also acknowledged.</w:t>
    </w:r>
  </w:p>
  <w:sdt>
    <w:sdtPr>
      <w:id w:val="-1253112024"/>
      <w:docPartObj>
        <w:docPartGallery w:val="Page Numbers (Bottom of Page)"/>
        <w:docPartUnique/>
      </w:docPartObj>
    </w:sdtPr>
    <w:sdtEndPr/>
    <w:sdtContent>
      <w:p w14:paraId="6B0566A7" w14:textId="62FB1748" w:rsidR="00811A70" w:rsidRPr="00C02553" w:rsidRDefault="00811A70">
        <w:pPr>
          <w:pStyle w:val="Footer"/>
          <w:jc w:val="right"/>
        </w:pPr>
        <w:r w:rsidRPr="00C02553">
          <w:fldChar w:fldCharType="begin"/>
        </w:r>
        <w:r w:rsidRPr="00C02553">
          <w:instrText xml:space="preserve"> PAGE   \* MERGEFORMAT </w:instrText>
        </w:r>
        <w:r w:rsidRPr="00C02553">
          <w:fldChar w:fldCharType="separate"/>
        </w:r>
        <w:r w:rsidRPr="00C02553">
          <w:t>2</w:t>
        </w:r>
        <w:r w:rsidRPr="00C02553">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7132A3" w14:textId="7267A10D" w:rsidR="005058CB" w:rsidRPr="00C02553" w:rsidRDefault="005058CB" w:rsidP="005058CB">
    <w:pPr>
      <w:pStyle w:val="Footer"/>
      <w:tabs>
        <w:tab w:val="clear" w:pos="8640"/>
        <w:tab w:val="right" w:pos="9360"/>
      </w:tabs>
      <w:jc w:val="both"/>
      <w:rPr>
        <w:rFonts w:cs="Arial"/>
        <w:sz w:val="16"/>
        <w:szCs w:val="16"/>
      </w:rPr>
    </w:pPr>
    <w:proofErr w:type="spellStart"/>
    <w:r w:rsidRPr="00C02553">
      <w:rPr>
        <w:rFonts w:cs="Arial"/>
        <w:sz w:val="16"/>
        <w:szCs w:val="16"/>
      </w:rPr>
      <w:t>SmartPA</w:t>
    </w:r>
    <w:proofErr w:type="spellEnd"/>
    <w:r w:rsidR="00AE27F9">
      <w:rPr>
        <w:rFonts w:cs="Arial"/>
        <w:sz w:val="16"/>
        <w:szCs w:val="16"/>
      </w:rPr>
      <w:t xml:space="preserve"> Clinical</w:t>
    </w:r>
    <w:r w:rsidRPr="00C02553">
      <w:rPr>
        <w:rFonts w:cs="Arial"/>
        <w:sz w:val="16"/>
        <w:szCs w:val="16"/>
      </w:rPr>
      <w:t xml:space="preserve"> Proposal Form</w:t>
    </w:r>
  </w:p>
  <w:p w14:paraId="4BB04B71" w14:textId="6D51E804" w:rsidR="005058CB" w:rsidRPr="00C02553" w:rsidRDefault="005058CB" w:rsidP="005058CB">
    <w:pPr>
      <w:jc w:val="both"/>
      <w:rPr>
        <w:rFonts w:cs="Arial"/>
        <w:sz w:val="16"/>
        <w:szCs w:val="16"/>
      </w:rPr>
    </w:pPr>
    <w:r w:rsidRPr="00C02553">
      <w:rPr>
        <w:rFonts w:cs="Arial"/>
        <w:sz w:val="16"/>
        <w:szCs w:val="16"/>
      </w:rPr>
      <w:t>© 202</w:t>
    </w:r>
    <w:r w:rsidR="0066374F">
      <w:rPr>
        <w:rFonts w:cs="Arial"/>
        <w:sz w:val="16"/>
        <w:szCs w:val="16"/>
      </w:rPr>
      <w:t>6</w:t>
    </w:r>
    <w:r w:rsidRPr="00C02553">
      <w:rPr>
        <w:rFonts w:cs="Arial"/>
        <w:sz w:val="16"/>
        <w:szCs w:val="16"/>
      </w:rPr>
      <w:t xml:space="preserve"> Conduent Business Services, LLC. All rights reserved. Conduent™ and Conduent Design™ are trademarks of Conduent Business Services, LLC in the United States and/or other countries.</w:t>
    </w:r>
  </w:p>
  <w:p w14:paraId="02F12BA7" w14:textId="454AF8AF" w:rsidR="005058CB" w:rsidRPr="00C02553" w:rsidRDefault="005058CB" w:rsidP="005058CB">
    <w:pPr>
      <w:pStyle w:val="Footer"/>
      <w:tabs>
        <w:tab w:val="clear" w:pos="4320"/>
        <w:tab w:val="clear" w:pos="8640"/>
        <w:tab w:val="left" w:pos="3298"/>
      </w:tabs>
      <w:jc w:val="both"/>
    </w:pPr>
    <w:r w:rsidRPr="00C02553">
      <w:rPr>
        <w:rFonts w:cs="Arial"/>
        <w:sz w:val="16"/>
        <w:szCs w:val="16"/>
      </w:rPr>
      <w:t>Other company trademarks are also acknowledged.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142D65" w14:textId="77777777" w:rsidR="00F157D6" w:rsidRPr="00C02553" w:rsidRDefault="00F157D6" w:rsidP="00AE77DB">
      <w:r w:rsidRPr="00C02553">
        <w:separator/>
      </w:r>
    </w:p>
  </w:footnote>
  <w:footnote w:type="continuationSeparator" w:id="0">
    <w:p w14:paraId="05E898ED" w14:textId="77777777" w:rsidR="00F157D6" w:rsidRPr="00C02553" w:rsidRDefault="00F157D6" w:rsidP="00AE77DB">
      <w:r w:rsidRPr="00C02553">
        <w:continuationSeparator/>
      </w:r>
    </w:p>
  </w:footnote>
  <w:footnote w:type="continuationNotice" w:id="1">
    <w:p w14:paraId="677D0E03" w14:textId="77777777" w:rsidR="00F157D6" w:rsidRPr="00C02553" w:rsidRDefault="00F157D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3C0EA" w14:textId="0A1FE53E" w:rsidR="00006A61" w:rsidRPr="00C02553" w:rsidRDefault="00006A61">
    <w:pPr>
      <w:pStyle w:val="Header"/>
      <w:framePr w:wrap="around" w:vAnchor="text" w:hAnchor="margin" w:xAlign="right" w:y="1"/>
      <w:rPr>
        <w:rStyle w:val="PageNumber"/>
        <w:rFonts w:ascii="Times New Roman" w:hAnsi="Times New Roman"/>
      </w:rPr>
    </w:pPr>
    <w:r w:rsidRPr="00C02553">
      <w:rPr>
        <w:rStyle w:val="PageNumber"/>
        <w:rFonts w:ascii="Times New Roman" w:hAnsi="Times New Roman"/>
      </w:rPr>
      <w:fldChar w:fldCharType="begin"/>
    </w:r>
    <w:r w:rsidRPr="00C02553">
      <w:rPr>
        <w:rStyle w:val="PageNumber"/>
        <w:rFonts w:ascii="Times New Roman" w:hAnsi="Times New Roman"/>
      </w:rPr>
      <w:instrText xml:space="preserve">PAGE  </w:instrText>
    </w:r>
    <w:r w:rsidRPr="00C02553">
      <w:rPr>
        <w:rStyle w:val="PageNumber"/>
        <w:rFonts w:ascii="Times New Roman" w:hAnsi="Times New Roman"/>
      </w:rPr>
      <w:fldChar w:fldCharType="separate"/>
    </w:r>
    <w:r w:rsidRPr="00C02553">
      <w:rPr>
        <w:rStyle w:val="PageNumber"/>
        <w:rFonts w:ascii="Times New Roman" w:hAnsi="Times New Roman"/>
      </w:rPr>
      <w:t>2</w:t>
    </w:r>
    <w:r w:rsidRPr="00C02553">
      <w:rPr>
        <w:rStyle w:val="PageNumber"/>
        <w:rFonts w:ascii="Times New Roman" w:hAnsi="Times New Roman"/>
      </w:rPr>
      <w:fldChar w:fldCharType="end"/>
    </w:r>
  </w:p>
  <w:p w14:paraId="6413C0EB" w14:textId="77777777" w:rsidR="00006A61" w:rsidRPr="00C02553" w:rsidRDefault="00006A61">
    <w:pPr>
      <w:pStyle w:val="Header"/>
      <w:ind w:right="360"/>
      <w:rPr>
        <w:rFonts w:ascii="Times New Roman" w:hAnsi="Times New Roman"/>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4B5C89" w14:textId="04AA2C4E" w:rsidR="00596936" w:rsidRDefault="0059693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3C0F5" w14:textId="5BACAAC3" w:rsidR="00006A61" w:rsidRPr="00C02553" w:rsidRDefault="00AB0B9F">
    <w:pPr>
      <w:pStyle w:val="Header"/>
      <w:rPr>
        <w:rFonts w:ascii="Times New Roman" w:hAnsi="Times New Roman"/>
      </w:rPr>
    </w:pPr>
    <w:r w:rsidRPr="00C02553">
      <w:rPr>
        <w:noProof/>
      </w:rPr>
      <w:drawing>
        <wp:anchor distT="0" distB="0" distL="114300" distR="114300" simplePos="0" relativeHeight="251658240" behindDoc="0" locked="0" layoutInCell="1" allowOverlap="1" wp14:anchorId="5FC91FEB" wp14:editId="34B93FD0">
          <wp:simplePos x="0" y="0"/>
          <wp:positionH relativeFrom="margin">
            <wp:posOffset>3844562</wp:posOffset>
          </wp:positionH>
          <wp:positionV relativeFrom="topMargin">
            <wp:posOffset>280035</wp:posOffset>
          </wp:positionV>
          <wp:extent cx="2247900" cy="823595"/>
          <wp:effectExtent l="0" t="0" r="0" b="0"/>
          <wp:wrapNone/>
          <wp:docPr id="1097982338" name="Picture 109798233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7982338" name="Picture 1097982338">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2247900" cy="823595"/>
                  </a:xfrm>
                  <a:prstGeom prst="rect">
                    <a:avLst/>
                  </a:prstGeom>
                  <a:extLst>
                    <a:ext uri="{FAA26D3D-D897-4be2-8F04-BA451C77F1D7}">
                      <ma14:placeholderFlag xmlns:adec="http://schemas.microsoft.com/office/drawing/2017/decorative" xmlns:a14="http://schemas.microsoft.com/office/drawing/2010/main"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page">
            <wp14:pctWidth>0</wp14:pctWidth>
          </wp14:sizeRelH>
          <wp14:sizeRelV relativeFrom="page">
            <wp14:pctHeight>0</wp14:pctHeight>
          </wp14:sizeRelV>
        </wp:anchor>
      </w:drawing>
    </w:r>
    <w:r w:rsidR="00172053">
      <w:rPr>
        <w:noProof/>
      </w:rPr>
      <w:drawing>
        <wp:inline distT="0" distB="0" distL="0" distR="0" wp14:anchorId="7324E1DB" wp14:editId="55411647">
          <wp:extent cx="2887345" cy="937260"/>
          <wp:effectExtent l="0" t="0" r="8255" b="0"/>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0" y="0"/>
                    <a:ext cx="2887345" cy="93726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2EB0A36E"/>
    <w:lvl w:ilvl="0">
      <w:start w:val="1"/>
      <w:numFmt w:val="bullet"/>
      <w:pStyle w:val="ListBullet3"/>
      <w:lvlText w:val=""/>
      <w:lvlJc w:val="left"/>
      <w:pPr>
        <w:tabs>
          <w:tab w:val="num" w:pos="1080"/>
        </w:tabs>
        <w:ind w:left="1080" w:hanging="360"/>
      </w:pPr>
      <w:rPr>
        <w:rFonts w:ascii="Symbol" w:hAnsi="Symbol" w:hint="default"/>
      </w:rPr>
    </w:lvl>
  </w:abstractNum>
  <w:abstractNum w:abstractNumId="1" w15:restartNumberingAfterBreak="0">
    <w:nsid w:val="FFFFFF83"/>
    <w:multiLevelType w:val="singleLevel"/>
    <w:tmpl w:val="49E4FEB8"/>
    <w:lvl w:ilvl="0">
      <w:start w:val="1"/>
      <w:numFmt w:val="bullet"/>
      <w:pStyle w:val="ListBullet2"/>
      <w:lvlText w:val=""/>
      <w:lvlJc w:val="left"/>
      <w:pPr>
        <w:tabs>
          <w:tab w:val="num" w:pos="720"/>
        </w:tabs>
        <w:ind w:left="720" w:hanging="360"/>
      </w:pPr>
      <w:rPr>
        <w:rFonts w:ascii="Symbol" w:hAnsi="Symbol" w:hint="default"/>
      </w:rPr>
    </w:lvl>
  </w:abstractNum>
  <w:abstractNum w:abstractNumId="2" w15:restartNumberingAfterBreak="0">
    <w:nsid w:val="FFFFFF89"/>
    <w:multiLevelType w:val="singleLevel"/>
    <w:tmpl w:val="C9D228E4"/>
    <w:lvl w:ilvl="0">
      <w:start w:val="1"/>
      <w:numFmt w:val="bullet"/>
      <w:pStyle w:val="ListBullet"/>
      <w:lvlText w:val=""/>
      <w:lvlJc w:val="left"/>
      <w:pPr>
        <w:tabs>
          <w:tab w:val="num" w:pos="360"/>
        </w:tabs>
        <w:ind w:left="360" w:hanging="360"/>
      </w:pPr>
      <w:rPr>
        <w:rFonts w:ascii="Symbol" w:hAnsi="Symbol" w:hint="default"/>
      </w:rPr>
    </w:lvl>
  </w:abstractNum>
  <w:abstractNum w:abstractNumId="3" w15:restartNumberingAfterBreak="0">
    <w:nsid w:val="024E114E"/>
    <w:multiLevelType w:val="multilevel"/>
    <w:tmpl w:val="0409001D"/>
    <w:styleLink w:val="ProposalCriteria"/>
    <w:lvl w:ilvl="0">
      <w:start w:val="1"/>
      <w:numFmt w:val="bullet"/>
      <w:lvlText w:val=""/>
      <w:lvlJc w:val="left"/>
      <w:pPr>
        <w:ind w:left="360" w:hanging="360"/>
      </w:pPr>
      <w:rPr>
        <w:rFonts w:ascii="Symbol" w:hAnsi="Symbol" w:hint="default"/>
        <w:sz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048D40C3"/>
    <w:multiLevelType w:val="multilevel"/>
    <w:tmpl w:val="E1A2A51C"/>
    <w:numStyleLink w:val="References"/>
  </w:abstractNum>
  <w:abstractNum w:abstractNumId="5" w15:restartNumberingAfterBreak="0">
    <w:nsid w:val="0DCD1C09"/>
    <w:multiLevelType w:val="hybridMultilevel"/>
    <w:tmpl w:val="5B486294"/>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126033C6"/>
    <w:multiLevelType w:val="hybridMultilevel"/>
    <w:tmpl w:val="446AE50C"/>
    <w:lvl w:ilvl="0" w:tplc="04090001">
      <w:start w:val="1"/>
      <w:numFmt w:val="bullet"/>
      <w:lvlText w:val=""/>
      <w:lvlJc w:val="left"/>
      <w:pPr>
        <w:tabs>
          <w:tab w:val="num" w:pos="360"/>
        </w:tabs>
        <w:ind w:left="360" w:hanging="360"/>
      </w:pPr>
      <w:rPr>
        <w:rFonts w:ascii="Symbol" w:hAnsi="Symbol" w:hint="default"/>
      </w:rPr>
    </w:lvl>
    <w:lvl w:ilvl="1" w:tplc="FFFFFFFF" w:tentative="1">
      <w:start w:val="1"/>
      <w:numFmt w:val="lowerLetter"/>
      <w:lvlText w:val="%2."/>
      <w:lvlJc w:val="left"/>
      <w:pPr>
        <w:tabs>
          <w:tab w:val="num" w:pos="1080"/>
        </w:tabs>
        <w:ind w:left="1080" w:hanging="360"/>
      </w:p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7" w15:restartNumberingAfterBreak="0">
    <w:nsid w:val="18040D15"/>
    <w:multiLevelType w:val="hybridMultilevel"/>
    <w:tmpl w:val="EF7A9B7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CD006A3"/>
    <w:multiLevelType w:val="multilevel"/>
    <w:tmpl w:val="0409001D"/>
    <w:styleLink w:val="ProposalCriteria2"/>
    <w:lvl w:ilvl="0">
      <w:start w:val="1"/>
      <w:numFmt w:val="bullet"/>
      <w:lvlText w:val=""/>
      <w:lvlJc w:val="left"/>
      <w:pPr>
        <w:ind w:left="360" w:hanging="360"/>
      </w:pPr>
      <w:rPr>
        <w:rFonts w:ascii="Symbol" w:hAnsi="Symbol" w:hint="default"/>
        <w:sz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29CC27D0"/>
    <w:multiLevelType w:val="multilevel"/>
    <w:tmpl w:val="0409001D"/>
    <w:styleLink w:val="ListProposal"/>
    <w:lvl w:ilvl="0">
      <w:start w:val="1"/>
      <w:numFmt w:val="decimal"/>
      <w:lvlText w:val="%1)"/>
      <w:lvlJc w:val="left"/>
      <w:pPr>
        <w:ind w:left="360" w:hanging="360"/>
      </w:pPr>
      <w:rPr>
        <w:rFonts w:ascii="Arial" w:hAnsi="Arial"/>
        <w:sz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AF357E0"/>
    <w:multiLevelType w:val="hybridMultilevel"/>
    <w:tmpl w:val="EC80857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E8538EC"/>
    <w:multiLevelType w:val="hybridMultilevel"/>
    <w:tmpl w:val="5F84E76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4D643976"/>
    <w:multiLevelType w:val="hybridMultilevel"/>
    <w:tmpl w:val="B88699D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720" w:hanging="360"/>
      </w:pPr>
      <w:rPr>
        <w:rFonts w:ascii="Courier New" w:hAnsi="Courier New" w:cs="Courier New" w:hint="default"/>
      </w:rPr>
    </w:lvl>
    <w:lvl w:ilvl="2" w:tplc="04090005">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522B1329"/>
    <w:multiLevelType w:val="multilevel"/>
    <w:tmpl w:val="7B304AD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60112A3E"/>
    <w:multiLevelType w:val="multilevel"/>
    <w:tmpl w:val="DDB4D214"/>
    <w:lvl w:ilvl="0">
      <w:start w:val="1"/>
      <w:numFmt w:val="bullet"/>
      <w:pStyle w:val="ListParagraph"/>
      <w:lvlText w:val=""/>
      <w:lvlJc w:val="left"/>
      <w:pPr>
        <w:ind w:left="360" w:hanging="360"/>
      </w:pPr>
      <w:rPr>
        <w:rFonts w:ascii="Symbol" w:hAnsi="Symbol" w:hint="default"/>
      </w:rPr>
    </w:lvl>
    <w:lvl w:ilvl="1">
      <w:start w:val="1"/>
      <w:numFmt w:val="bullet"/>
      <w:lvlText w:val="o"/>
      <w:lvlJc w:val="left"/>
      <w:pPr>
        <w:ind w:left="720" w:hanging="360"/>
      </w:pPr>
      <w:rPr>
        <w:rFonts w:ascii="Courier New" w:hAnsi="Courier New" w:cs="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5" w15:restartNumberingAfterBreak="0">
    <w:nsid w:val="66E70934"/>
    <w:multiLevelType w:val="hybridMultilevel"/>
    <w:tmpl w:val="FDAC3E5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786A5174"/>
    <w:multiLevelType w:val="multilevel"/>
    <w:tmpl w:val="E1A2A51C"/>
    <w:styleLink w:val="References"/>
    <w:lvl w:ilvl="0">
      <w:start w:val="1"/>
      <w:numFmt w:val="bullet"/>
      <w:lvlText w:val=""/>
      <w:lvlJc w:val="left"/>
      <w:pPr>
        <w:ind w:left="360" w:hanging="360"/>
      </w:pPr>
      <w:rPr>
        <w:rFonts w:ascii="Symbol" w:hAnsi="Symbol" w:hint="default"/>
      </w:rPr>
    </w:lvl>
    <w:lvl w:ilvl="1">
      <w:start w:val="1"/>
      <w:numFmt w:val="bullet"/>
      <w:lvlText w:val="o"/>
      <w:lvlJc w:val="left"/>
      <w:pPr>
        <w:ind w:left="720" w:hanging="360"/>
      </w:pPr>
      <w:rPr>
        <w:rFonts w:ascii="Courier New" w:hAnsi="Courier New" w:cs="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num w:numId="1" w16cid:durableId="367994657">
    <w:abstractNumId w:val="0"/>
  </w:num>
  <w:num w:numId="2" w16cid:durableId="517891239">
    <w:abstractNumId w:val="16"/>
  </w:num>
  <w:num w:numId="3" w16cid:durableId="1729067566">
    <w:abstractNumId w:val="4"/>
  </w:num>
  <w:num w:numId="4" w16cid:durableId="320159068">
    <w:abstractNumId w:val="9"/>
  </w:num>
  <w:num w:numId="5" w16cid:durableId="1769498754">
    <w:abstractNumId w:val="3"/>
  </w:num>
  <w:num w:numId="6" w16cid:durableId="1094596320">
    <w:abstractNumId w:val="14"/>
  </w:num>
  <w:num w:numId="7" w16cid:durableId="2110008555">
    <w:abstractNumId w:val="2"/>
  </w:num>
  <w:num w:numId="8" w16cid:durableId="489712751">
    <w:abstractNumId w:val="8"/>
  </w:num>
  <w:num w:numId="9" w16cid:durableId="1085147965">
    <w:abstractNumId w:val="11"/>
  </w:num>
  <w:num w:numId="10" w16cid:durableId="917518096">
    <w:abstractNumId w:val="10"/>
  </w:num>
  <w:num w:numId="11" w16cid:durableId="1894998475">
    <w:abstractNumId w:val="1"/>
  </w:num>
  <w:num w:numId="12" w16cid:durableId="1418215296">
    <w:abstractNumId w:val="15"/>
  </w:num>
  <w:num w:numId="13" w16cid:durableId="604729665">
    <w:abstractNumId w:val="7"/>
  </w:num>
  <w:num w:numId="14" w16cid:durableId="1805081292">
    <w:abstractNumId w:val="13"/>
  </w:num>
  <w:num w:numId="15" w16cid:durableId="754521697">
    <w:abstractNumId w:val="5"/>
  </w:num>
  <w:num w:numId="16" w16cid:durableId="1415735822">
    <w:abstractNumId w:val="12"/>
  </w:num>
  <w:num w:numId="17" w16cid:durableId="1583250718">
    <w:abstractNumId w:val="6"/>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proofState w:spelling="clean" w:grammar="clean"/>
  <w:stylePaneFormatFilter w:val="1724" w:allStyles="0" w:customStyles="0" w:latentStyles="1" w:stylesInUse="0" w:headingStyles="1" w:numberingStyles="0" w:tableStyles="0" w:directFormattingOnRuns="1" w:directFormattingOnParagraphs="1" w:directFormattingOnNumbering="1" w:directFormattingOnTables="0" w:clearFormatting="1" w:top3HeadingStyles="0" w:visibleStyles="0" w:alternateStyleNames="0"/>
  <w:stylePaneSortMethod w:val="0000"/>
  <w:documentProtection w:edit="readOnly" w:formatting="1" w:enforcement="1" w:cryptProviderType="rsaAES" w:cryptAlgorithmClass="hash" w:cryptAlgorithmType="typeAny" w:cryptAlgorithmSid="14" w:cryptSpinCount="100000" w:hash="ocabNF80daHudUZjIgvuJz1x9LZDwHit92rk52Xc3T9F7jiX4i0Hil7iJuTJ2W7bOXa3WWyCuvTXTp6EA9E1UA==" w:salt="LDVYp8HEAZvU1y519M1bhw=="/>
  <w:defaultTabStop w:val="72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77DB"/>
    <w:rsid w:val="0000390A"/>
    <w:rsid w:val="0000457E"/>
    <w:rsid w:val="00006A61"/>
    <w:rsid w:val="000276D9"/>
    <w:rsid w:val="000344C5"/>
    <w:rsid w:val="00040AD3"/>
    <w:rsid w:val="00053807"/>
    <w:rsid w:val="000572E5"/>
    <w:rsid w:val="00057F84"/>
    <w:rsid w:val="00061541"/>
    <w:rsid w:val="00064162"/>
    <w:rsid w:val="00065C22"/>
    <w:rsid w:val="00066885"/>
    <w:rsid w:val="00074464"/>
    <w:rsid w:val="00076030"/>
    <w:rsid w:val="00077647"/>
    <w:rsid w:val="00082590"/>
    <w:rsid w:val="000913C3"/>
    <w:rsid w:val="000953B9"/>
    <w:rsid w:val="000A413B"/>
    <w:rsid w:val="000A6279"/>
    <w:rsid w:val="000B496B"/>
    <w:rsid w:val="000C3940"/>
    <w:rsid w:val="000C5992"/>
    <w:rsid w:val="000C5A88"/>
    <w:rsid w:val="000E1479"/>
    <w:rsid w:val="000E231E"/>
    <w:rsid w:val="000E247D"/>
    <w:rsid w:val="000E6B14"/>
    <w:rsid w:val="000E70D8"/>
    <w:rsid w:val="000F7D04"/>
    <w:rsid w:val="00102167"/>
    <w:rsid w:val="001062F6"/>
    <w:rsid w:val="00112FC7"/>
    <w:rsid w:val="001147AE"/>
    <w:rsid w:val="00125F5F"/>
    <w:rsid w:val="00126951"/>
    <w:rsid w:val="00126B60"/>
    <w:rsid w:val="001273EB"/>
    <w:rsid w:val="00127EF6"/>
    <w:rsid w:val="001310AD"/>
    <w:rsid w:val="001314A5"/>
    <w:rsid w:val="00132C7F"/>
    <w:rsid w:val="00144DBE"/>
    <w:rsid w:val="00146A72"/>
    <w:rsid w:val="00152C8B"/>
    <w:rsid w:val="0015636A"/>
    <w:rsid w:val="00172053"/>
    <w:rsid w:val="00177A80"/>
    <w:rsid w:val="001A50CB"/>
    <w:rsid w:val="001A74B7"/>
    <w:rsid w:val="001B2D47"/>
    <w:rsid w:val="001C0250"/>
    <w:rsid w:val="001C6DA4"/>
    <w:rsid w:val="001C73B1"/>
    <w:rsid w:val="001D131D"/>
    <w:rsid w:val="001D1E7D"/>
    <w:rsid w:val="001D6567"/>
    <w:rsid w:val="001E2CCB"/>
    <w:rsid w:val="001E4CBA"/>
    <w:rsid w:val="001E523C"/>
    <w:rsid w:val="001E61DF"/>
    <w:rsid w:val="001F2B9F"/>
    <w:rsid w:val="001F5954"/>
    <w:rsid w:val="00202DD3"/>
    <w:rsid w:val="00206E7D"/>
    <w:rsid w:val="00217E14"/>
    <w:rsid w:val="00217EFD"/>
    <w:rsid w:val="00222134"/>
    <w:rsid w:val="0022233F"/>
    <w:rsid w:val="00226275"/>
    <w:rsid w:val="00246564"/>
    <w:rsid w:val="00246A3B"/>
    <w:rsid w:val="00254F9F"/>
    <w:rsid w:val="00255404"/>
    <w:rsid w:val="0025594F"/>
    <w:rsid w:val="00270C5E"/>
    <w:rsid w:val="002759C8"/>
    <w:rsid w:val="00275FEF"/>
    <w:rsid w:val="00290A03"/>
    <w:rsid w:val="0029159A"/>
    <w:rsid w:val="00291600"/>
    <w:rsid w:val="002A02F4"/>
    <w:rsid w:val="002C2C41"/>
    <w:rsid w:val="002C62E7"/>
    <w:rsid w:val="002E05E2"/>
    <w:rsid w:val="002E2DD6"/>
    <w:rsid w:val="002E3F28"/>
    <w:rsid w:val="002F0E52"/>
    <w:rsid w:val="002F2274"/>
    <w:rsid w:val="002F2405"/>
    <w:rsid w:val="002F690F"/>
    <w:rsid w:val="0030301F"/>
    <w:rsid w:val="00303B21"/>
    <w:rsid w:val="00313701"/>
    <w:rsid w:val="00314430"/>
    <w:rsid w:val="00316188"/>
    <w:rsid w:val="003171AF"/>
    <w:rsid w:val="00317469"/>
    <w:rsid w:val="0032215C"/>
    <w:rsid w:val="0032616B"/>
    <w:rsid w:val="00326687"/>
    <w:rsid w:val="003275F9"/>
    <w:rsid w:val="003355AC"/>
    <w:rsid w:val="00343D6B"/>
    <w:rsid w:val="00347FB5"/>
    <w:rsid w:val="00355515"/>
    <w:rsid w:val="003608B5"/>
    <w:rsid w:val="003613AF"/>
    <w:rsid w:val="003663B5"/>
    <w:rsid w:val="00386D35"/>
    <w:rsid w:val="003878C1"/>
    <w:rsid w:val="00396C0B"/>
    <w:rsid w:val="003A630F"/>
    <w:rsid w:val="003B3958"/>
    <w:rsid w:val="003B4820"/>
    <w:rsid w:val="003B5F4B"/>
    <w:rsid w:val="003B682F"/>
    <w:rsid w:val="003C53FC"/>
    <w:rsid w:val="003C7013"/>
    <w:rsid w:val="003D641B"/>
    <w:rsid w:val="003F227C"/>
    <w:rsid w:val="004023CC"/>
    <w:rsid w:val="00407564"/>
    <w:rsid w:val="00411152"/>
    <w:rsid w:val="004156AA"/>
    <w:rsid w:val="004253A1"/>
    <w:rsid w:val="004313B6"/>
    <w:rsid w:val="00433339"/>
    <w:rsid w:val="00446BBC"/>
    <w:rsid w:val="004472C0"/>
    <w:rsid w:val="00450705"/>
    <w:rsid w:val="00451928"/>
    <w:rsid w:val="0046618B"/>
    <w:rsid w:val="004762CB"/>
    <w:rsid w:val="0048608C"/>
    <w:rsid w:val="00496E57"/>
    <w:rsid w:val="004B3E10"/>
    <w:rsid w:val="004C0F5D"/>
    <w:rsid w:val="004C375A"/>
    <w:rsid w:val="004C4954"/>
    <w:rsid w:val="004C5767"/>
    <w:rsid w:val="004D5322"/>
    <w:rsid w:val="004D78B0"/>
    <w:rsid w:val="004E611F"/>
    <w:rsid w:val="004F2A79"/>
    <w:rsid w:val="004F4D37"/>
    <w:rsid w:val="00501A14"/>
    <w:rsid w:val="00501DE3"/>
    <w:rsid w:val="005058CB"/>
    <w:rsid w:val="0051044D"/>
    <w:rsid w:val="005139E4"/>
    <w:rsid w:val="00515075"/>
    <w:rsid w:val="00520FE9"/>
    <w:rsid w:val="005233E7"/>
    <w:rsid w:val="005328B2"/>
    <w:rsid w:val="00535305"/>
    <w:rsid w:val="00535BD5"/>
    <w:rsid w:val="00537AC0"/>
    <w:rsid w:val="00540977"/>
    <w:rsid w:val="00551668"/>
    <w:rsid w:val="00555789"/>
    <w:rsid w:val="005572D5"/>
    <w:rsid w:val="00566BE4"/>
    <w:rsid w:val="00570D21"/>
    <w:rsid w:val="00573856"/>
    <w:rsid w:val="00576113"/>
    <w:rsid w:val="00590652"/>
    <w:rsid w:val="0059235F"/>
    <w:rsid w:val="00595EFC"/>
    <w:rsid w:val="00596936"/>
    <w:rsid w:val="005A2F1E"/>
    <w:rsid w:val="005A4232"/>
    <w:rsid w:val="005C2982"/>
    <w:rsid w:val="005C3616"/>
    <w:rsid w:val="005D36B2"/>
    <w:rsid w:val="005D52E7"/>
    <w:rsid w:val="005D78B5"/>
    <w:rsid w:val="005E3572"/>
    <w:rsid w:val="005E45E4"/>
    <w:rsid w:val="005F0A81"/>
    <w:rsid w:val="005F0FCF"/>
    <w:rsid w:val="0060042F"/>
    <w:rsid w:val="0060067D"/>
    <w:rsid w:val="006008BC"/>
    <w:rsid w:val="00602CFD"/>
    <w:rsid w:val="00606B55"/>
    <w:rsid w:val="00612A7B"/>
    <w:rsid w:val="00616E5E"/>
    <w:rsid w:val="006173A4"/>
    <w:rsid w:val="00617E50"/>
    <w:rsid w:val="006205AD"/>
    <w:rsid w:val="00625C3A"/>
    <w:rsid w:val="00635DDB"/>
    <w:rsid w:val="0064149A"/>
    <w:rsid w:val="00646DFE"/>
    <w:rsid w:val="00650530"/>
    <w:rsid w:val="00650C96"/>
    <w:rsid w:val="00653788"/>
    <w:rsid w:val="0065477F"/>
    <w:rsid w:val="00656896"/>
    <w:rsid w:val="00661656"/>
    <w:rsid w:val="0066374F"/>
    <w:rsid w:val="00677C65"/>
    <w:rsid w:val="00693152"/>
    <w:rsid w:val="00694FAE"/>
    <w:rsid w:val="00696E3A"/>
    <w:rsid w:val="006A0834"/>
    <w:rsid w:val="006A2CB3"/>
    <w:rsid w:val="006A4BBD"/>
    <w:rsid w:val="006A52F1"/>
    <w:rsid w:val="006B561D"/>
    <w:rsid w:val="006B6D5D"/>
    <w:rsid w:val="006D1693"/>
    <w:rsid w:val="006D2330"/>
    <w:rsid w:val="006E0F8B"/>
    <w:rsid w:val="006E12F7"/>
    <w:rsid w:val="006E29D7"/>
    <w:rsid w:val="007068A4"/>
    <w:rsid w:val="00706D67"/>
    <w:rsid w:val="00713052"/>
    <w:rsid w:val="00721367"/>
    <w:rsid w:val="007231FA"/>
    <w:rsid w:val="00732C67"/>
    <w:rsid w:val="00734418"/>
    <w:rsid w:val="00757826"/>
    <w:rsid w:val="007632B7"/>
    <w:rsid w:val="0076382F"/>
    <w:rsid w:val="00765768"/>
    <w:rsid w:val="00765D10"/>
    <w:rsid w:val="00766AC8"/>
    <w:rsid w:val="00767486"/>
    <w:rsid w:val="0077070E"/>
    <w:rsid w:val="0077296A"/>
    <w:rsid w:val="00777CA4"/>
    <w:rsid w:val="00792DF0"/>
    <w:rsid w:val="0079438F"/>
    <w:rsid w:val="007A3034"/>
    <w:rsid w:val="007A527E"/>
    <w:rsid w:val="007A53E7"/>
    <w:rsid w:val="007A78F7"/>
    <w:rsid w:val="007B3333"/>
    <w:rsid w:val="007B379F"/>
    <w:rsid w:val="007B37D6"/>
    <w:rsid w:val="007B5D30"/>
    <w:rsid w:val="007D2920"/>
    <w:rsid w:val="007D42DD"/>
    <w:rsid w:val="007E455B"/>
    <w:rsid w:val="007E6A37"/>
    <w:rsid w:val="007F1774"/>
    <w:rsid w:val="007F6915"/>
    <w:rsid w:val="00811A70"/>
    <w:rsid w:val="0081406E"/>
    <w:rsid w:val="00832211"/>
    <w:rsid w:val="008325F4"/>
    <w:rsid w:val="00832AC8"/>
    <w:rsid w:val="00840AF6"/>
    <w:rsid w:val="00844981"/>
    <w:rsid w:val="00846FA4"/>
    <w:rsid w:val="008524BA"/>
    <w:rsid w:val="00852B74"/>
    <w:rsid w:val="00856928"/>
    <w:rsid w:val="00865538"/>
    <w:rsid w:val="00870875"/>
    <w:rsid w:val="0088225C"/>
    <w:rsid w:val="00884026"/>
    <w:rsid w:val="00884C78"/>
    <w:rsid w:val="008859E1"/>
    <w:rsid w:val="00896264"/>
    <w:rsid w:val="008A5D88"/>
    <w:rsid w:val="008B2851"/>
    <w:rsid w:val="008C000E"/>
    <w:rsid w:val="008D0F2F"/>
    <w:rsid w:val="008D237F"/>
    <w:rsid w:val="008D6B05"/>
    <w:rsid w:val="008E7D2D"/>
    <w:rsid w:val="008F44C0"/>
    <w:rsid w:val="008F5999"/>
    <w:rsid w:val="00903AD6"/>
    <w:rsid w:val="00904D7A"/>
    <w:rsid w:val="00915332"/>
    <w:rsid w:val="009204BB"/>
    <w:rsid w:val="00935918"/>
    <w:rsid w:val="00935EC3"/>
    <w:rsid w:val="00951097"/>
    <w:rsid w:val="00953C1E"/>
    <w:rsid w:val="0096210F"/>
    <w:rsid w:val="00962633"/>
    <w:rsid w:val="0096313D"/>
    <w:rsid w:val="00963187"/>
    <w:rsid w:val="00963ACF"/>
    <w:rsid w:val="00963D1C"/>
    <w:rsid w:val="00964284"/>
    <w:rsid w:val="0097028A"/>
    <w:rsid w:val="00973BD6"/>
    <w:rsid w:val="00984549"/>
    <w:rsid w:val="00985D28"/>
    <w:rsid w:val="00991BF0"/>
    <w:rsid w:val="009A0FB1"/>
    <w:rsid w:val="009A1FAC"/>
    <w:rsid w:val="009B001A"/>
    <w:rsid w:val="009B1A62"/>
    <w:rsid w:val="009C3CC7"/>
    <w:rsid w:val="009D2057"/>
    <w:rsid w:val="009D3D6C"/>
    <w:rsid w:val="009D5551"/>
    <w:rsid w:val="009D62DB"/>
    <w:rsid w:val="009E3B42"/>
    <w:rsid w:val="00A05B60"/>
    <w:rsid w:val="00A13266"/>
    <w:rsid w:val="00A14FA6"/>
    <w:rsid w:val="00A15D64"/>
    <w:rsid w:val="00A20575"/>
    <w:rsid w:val="00A32452"/>
    <w:rsid w:val="00A32BBF"/>
    <w:rsid w:val="00A37444"/>
    <w:rsid w:val="00A4192C"/>
    <w:rsid w:val="00A4281A"/>
    <w:rsid w:val="00A459CF"/>
    <w:rsid w:val="00A5014D"/>
    <w:rsid w:val="00A53E96"/>
    <w:rsid w:val="00A56F18"/>
    <w:rsid w:val="00A628F8"/>
    <w:rsid w:val="00A62BAA"/>
    <w:rsid w:val="00A66172"/>
    <w:rsid w:val="00A744C3"/>
    <w:rsid w:val="00AA70AB"/>
    <w:rsid w:val="00AB0B9F"/>
    <w:rsid w:val="00AB1713"/>
    <w:rsid w:val="00AB63BE"/>
    <w:rsid w:val="00AC1EBC"/>
    <w:rsid w:val="00AC2599"/>
    <w:rsid w:val="00AC2DE9"/>
    <w:rsid w:val="00AD0F62"/>
    <w:rsid w:val="00AD2C5F"/>
    <w:rsid w:val="00AE1481"/>
    <w:rsid w:val="00AE27F9"/>
    <w:rsid w:val="00AE77DB"/>
    <w:rsid w:val="00AF7453"/>
    <w:rsid w:val="00B00FFF"/>
    <w:rsid w:val="00B04A72"/>
    <w:rsid w:val="00B06084"/>
    <w:rsid w:val="00B16735"/>
    <w:rsid w:val="00B17EDE"/>
    <w:rsid w:val="00B22585"/>
    <w:rsid w:val="00B33693"/>
    <w:rsid w:val="00B34C53"/>
    <w:rsid w:val="00B507A5"/>
    <w:rsid w:val="00B52475"/>
    <w:rsid w:val="00B535DA"/>
    <w:rsid w:val="00B56DCC"/>
    <w:rsid w:val="00B56F54"/>
    <w:rsid w:val="00B638C2"/>
    <w:rsid w:val="00B758AB"/>
    <w:rsid w:val="00B76277"/>
    <w:rsid w:val="00B772AB"/>
    <w:rsid w:val="00B80395"/>
    <w:rsid w:val="00B80B56"/>
    <w:rsid w:val="00B86372"/>
    <w:rsid w:val="00BA1C17"/>
    <w:rsid w:val="00BA1D65"/>
    <w:rsid w:val="00BB3B4D"/>
    <w:rsid w:val="00BC351E"/>
    <w:rsid w:val="00BC3F77"/>
    <w:rsid w:val="00BC5635"/>
    <w:rsid w:val="00BC5675"/>
    <w:rsid w:val="00BD081C"/>
    <w:rsid w:val="00BD277B"/>
    <w:rsid w:val="00BD47CA"/>
    <w:rsid w:val="00BD4DC4"/>
    <w:rsid w:val="00BD62C7"/>
    <w:rsid w:val="00BE020D"/>
    <w:rsid w:val="00BE354A"/>
    <w:rsid w:val="00BF5EEF"/>
    <w:rsid w:val="00C02553"/>
    <w:rsid w:val="00C03299"/>
    <w:rsid w:val="00C04EB6"/>
    <w:rsid w:val="00C056F9"/>
    <w:rsid w:val="00C1018C"/>
    <w:rsid w:val="00C1150E"/>
    <w:rsid w:val="00C14D52"/>
    <w:rsid w:val="00C2586C"/>
    <w:rsid w:val="00C26001"/>
    <w:rsid w:val="00C34E72"/>
    <w:rsid w:val="00C56B1F"/>
    <w:rsid w:val="00C61B52"/>
    <w:rsid w:val="00C62745"/>
    <w:rsid w:val="00C654CA"/>
    <w:rsid w:val="00C722C9"/>
    <w:rsid w:val="00C763BD"/>
    <w:rsid w:val="00C779A8"/>
    <w:rsid w:val="00C82E19"/>
    <w:rsid w:val="00C96873"/>
    <w:rsid w:val="00CA1735"/>
    <w:rsid w:val="00CA3C4B"/>
    <w:rsid w:val="00CA7252"/>
    <w:rsid w:val="00CB2C5A"/>
    <w:rsid w:val="00CE0C1C"/>
    <w:rsid w:val="00CE34AF"/>
    <w:rsid w:val="00CF00A4"/>
    <w:rsid w:val="00CF25FB"/>
    <w:rsid w:val="00CF614C"/>
    <w:rsid w:val="00D02F34"/>
    <w:rsid w:val="00D13D87"/>
    <w:rsid w:val="00D16590"/>
    <w:rsid w:val="00D20720"/>
    <w:rsid w:val="00D250D9"/>
    <w:rsid w:val="00D27533"/>
    <w:rsid w:val="00D42DA3"/>
    <w:rsid w:val="00D4546D"/>
    <w:rsid w:val="00D47996"/>
    <w:rsid w:val="00D5024A"/>
    <w:rsid w:val="00D61118"/>
    <w:rsid w:val="00D614F1"/>
    <w:rsid w:val="00D70D50"/>
    <w:rsid w:val="00D71917"/>
    <w:rsid w:val="00DA3A0F"/>
    <w:rsid w:val="00DA4E62"/>
    <w:rsid w:val="00DA6990"/>
    <w:rsid w:val="00DB27BA"/>
    <w:rsid w:val="00DB337A"/>
    <w:rsid w:val="00DC4601"/>
    <w:rsid w:val="00DC51CB"/>
    <w:rsid w:val="00DD4819"/>
    <w:rsid w:val="00DD4B8A"/>
    <w:rsid w:val="00DD5403"/>
    <w:rsid w:val="00DE1388"/>
    <w:rsid w:val="00DE7501"/>
    <w:rsid w:val="00DF3146"/>
    <w:rsid w:val="00DF57C3"/>
    <w:rsid w:val="00E008D9"/>
    <w:rsid w:val="00E02FE0"/>
    <w:rsid w:val="00E07ABE"/>
    <w:rsid w:val="00E11A3F"/>
    <w:rsid w:val="00E1386E"/>
    <w:rsid w:val="00E2369B"/>
    <w:rsid w:val="00E23EC0"/>
    <w:rsid w:val="00E34158"/>
    <w:rsid w:val="00E354AA"/>
    <w:rsid w:val="00E43D54"/>
    <w:rsid w:val="00E442FB"/>
    <w:rsid w:val="00E529DB"/>
    <w:rsid w:val="00E53A5E"/>
    <w:rsid w:val="00E6466A"/>
    <w:rsid w:val="00E72221"/>
    <w:rsid w:val="00E83428"/>
    <w:rsid w:val="00E84C58"/>
    <w:rsid w:val="00E873A5"/>
    <w:rsid w:val="00E90D11"/>
    <w:rsid w:val="00E915E5"/>
    <w:rsid w:val="00EB0367"/>
    <w:rsid w:val="00EB4FB9"/>
    <w:rsid w:val="00EB5BC8"/>
    <w:rsid w:val="00EC2738"/>
    <w:rsid w:val="00ED7B42"/>
    <w:rsid w:val="00EE3EA5"/>
    <w:rsid w:val="00EE613F"/>
    <w:rsid w:val="00EE6BD1"/>
    <w:rsid w:val="00EF0262"/>
    <w:rsid w:val="00EF0828"/>
    <w:rsid w:val="00EF6F8B"/>
    <w:rsid w:val="00F03898"/>
    <w:rsid w:val="00F1527A"/>
    <w:rsid w:val="00F157D6"/>
    <w:rsid w:val="00F2696B"/>
    <w:rsid w:val="00F27821"/>
    <w:rsid w:val="00F4092A"/>
    <w:rsid w:val="00F41F69"/>
    <w:rsid w:val="00F43E41"/>
    <w:rsid w:val="00F4790C"/>
    <w:rsid w:val="00F50C4B"/>
    <w:rsid w:val="00F54C08"/>
    <w:rsid w:val="00F553A2"/>
    <w:rsid w:val="00F6068C"/>
    <w:rsid w:val="00F62F33"/>
    <w:rsid w:val="00F63A52"/>
    <w:rsid w:val="00F730BA"/>
    <w:rsid w:val="00F80E20"/>
    <w:rsid w:val="00F903BE"/>
    <w:rsid w:val="00F95D04"/>
    <w:rsid w:val="00FA0EFB"/>
    <w:rsid w:val="00FA16EC"/>
    <w:rsid w:val="00FA2811"/>
    <w:rsid w:val="00FA2CFB"/>
    <w:rsid w:val="00FA4837"/>
    <w:rsid w:val="00FB1D33"/>
    <w:rsid w:val="00FB5E96"/>
    <w:rsid w:val="00FC008C"/>
    <w:rsid w:val="00FC05A0"/>
    <w:rsid w:val="00FC6758"/>
    <w:rsid w:val="00FD3014"/>
    <w:rsid w:val="00FD34EA"/>
    <w:rsid w:val="00FE3F3E"/>
    <w:rsid w:val="00FE4D52"/>
    <w:rsid w:val="00FE5AEE"/>
    <w:rsid w:val="00FF106B"/>
    <w:rsid w:val="137C6FA9"/>
    <w:rsid w:val="20B94AF3"/>
    <w:rsid w:val="42346A81"/>
    <w:rsid w:val="444B62CF"/>
    <w:rsid w:val="6154CF6F"/>
    <w:rsid w:val="6EB7A09E"/>
    <w:rsid w:val="70E341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413BFD7"/>
  <w15:docId w15:val="{474DC3D9-3E32-46A9-B0F4-7115DB588E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semiHidden="1" w:uiPriority="9" w:unhideWhenUsed="1" w:qFormat="1"/>
    <w:lsdException w:name="heading 8" w:semiHidden="1" w:uiPriority="9" w:unhideWhenUsed="1"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96E3A"/>
    <w:rPr>
      <w:rFonts w:ascii="Arial" w:hAnsi="Arial"/>
      <w:szCs w:val="24"/>
    </w:rPr>
  </w:style>
  <w:style w:type="paragraph" w:styleId="Heading1">
    <w:name w:val="heading 1"/>
    <w:basedOn w:val="Title2"/>
    <w:next w:val="Normal"/>
    <w:qFormat/>
    <w:rsid w:val="00E23EC0"/>
    <w:pPr>
      <w:framePr w:hSpace="0" w:wrap="auto" w:vAnchor="margin" w:xAlign="left" w:yAlign="inline"/>
      <w:jc w:val="center"/>
      <w:outlineLvl w:val="0"/>
    </w:pPr>
    <w:rPr>
      <w:b/>
      <w:sz w:val="40"/>
      <w:szCs w:val="40"/>
    </w:rPr>
  </w:style>
  <w:style w:type="paragraph" w:styleId="Heading2">
    <w:name w:val="heading 2"/>
    <w:basedOn w:val="Normal"/>
    <w:next w:val="Normal"/>
    <w:link w:val="Heading2Char"/>
    <w:qFormat/>
    <w:rsid w:val="00D02F34"/>
    <w:pPr>
      <w:keepNext/>
      <w:pBdr>
        <w:top w:val="single" w:sz="4" w:space="1" w:color="auto" w:shadow="1"/>
        <w:left w:val="single" w:sz="4" w:space="4" w:color="auto" w:shadow="1"/>
        <w:bottom w:val="single" w:sz="4" w:space="1" w:color="auto" w:shadow="1"/>
        <w:right w:val="single" w:sz="4" w:space="4" w:color="auto" w:shadow="1"/>
      </w:pBdr>
      <w:shd w:val="clear" w:color="auto" w:fill="000099"/>
      <w:ind w:left="-187"/>
      <w:outlineLvl w:val="1"/>
    </w:pPr>
    <w:rPr>
      <w:rFonts w:cs="Arial"/>
      <w:b/>
      <w:spacing w:val="-3"/>
      <w:szCs w:val="20"/>
      <w14:shadow w14:blurRad="50800" w14:dist="38100" w14:dir="2700000" w14:sx="100000" w14:sy="100000" w14:kx="0" w14:ky="0" w14:algn="tl">
        <w14:srgbClr w14:val="000000">
          <w14:alpha w14:val="60000"/>
        </w14:srgbClr>
      </w14:shadow>
      <w14:textFill>
        <w14:solidFill>
          <w14:srgbClr w14:val="FFFFFF"/>
        </w14:solidFill>
      </w14:textFill>
    </w:rPr>
  </w:style>
  <w:style w:type="paragraph" w:styleId="Heading3">
    <w:name w:val="heading 3"/>
    <w:basedOn w:val="Normal"/>
    <w:next w:val="Normal"/>
    <w:qFormat/>
    <w:rsid w:val="00E23EC0"/>
    <w:pPr>
      <w:keepNext/>
      <w:outlineLvl w:val="2"/>
    </w:pPr>
    <w:rPr>
      <w:b/>
      <w:noProof/>
      <w:szCs w:val="20"/>
    </w:rPr>
  </w:style>
  <w:style w:type="paragraph" w:styleId="Heading4">
    <w:name w:val="heading 4"/>
    <w:basedOn w:val="Normal"/>
    <w:next w:val="Normal"/>
    <w:qFormat/>
    <w:rsid w:val="00E915E5"/>
    <w:pPr>
      <w:keepNext/>
      <w:outlineLvl w:val="3"/>
    </w:pPr>
    <w:rPr>
      <w:rFonts w:cs="Arial"/>
      <w:b/>
      <w:bCs/>
    </w:rPr>
  </w:style>
  <w:style w:type="paragraph" w:styleId="Heading5">
    <w:name w:val="heading 5"/>
    <w:basedOn w:val="Normal"/>
    <w:next w:val="Normal"/>
    <w:qFormat/>
    <w:rsid w:val="00B56DCC"/>
    <w:pPr>
      <w:keepNext/>
      <w:outlineLvl w:val="4"/>
    </w:pPr>
    <w:rPr>
      <w:bCs/>
      <w:spacing w:val="-3"/>
      <w:szCs w:val="20"/>
    </w:rPr>
  </w:style>
  <w:style w:type="paragraph" w:styleId="Heading6">
    <w:name w:val="heading 6"/>
    <w:basedOn w:val="Normal"/>
    <w:next w:val="Normal"/>
    <w:qFormat/>
    <w:rsid w:val="00E915E5"/>
    <w:pPr>
      <w:keepNext/>
      <w:ind w:left="-180"/>
      <w:jc w:val="center"/>
      <w:outlineLvl w:val="5"/>
    </w:pPr>
    <w:rPr>
      <w:b/>
      <w:bCs/>
      <w:sz w:val="22"/>
      <w:szCs w:val="20"/>
    </w:rPr>
  </w:style>
  <w:style w:type="paragraph" w:styleId="Heading9">
    <w:name w:val="heading 9"/>
    <w:basedOn w:val="Normal"/>
    <w:next w:val="Normal"/>
    <w:qFormat/>
    <w:rsid w:val="00E915E5"/>
    <w:pPr>
      <w:keepNext/>
      <w:outlineLvl w:val="8"/>
    </w:pPr>
    <w:rPr>
      <w:rFonts w:cs="Arial"/>
      <w:spacing w:val="-3"/>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semiHidden/>
    <w:rsid w:val="00E915E5"/>
    <w:rPr>
      <w:szCs w:val="20"/>
    </w:rPr>
  </w:style>
  <w:style w:type="paragraph" w:styleId="Header">
    <w:name w:val="header"/>
    <w:basedOn w:val="Normal"/>
    <w:link w:val="HeaderChar"/>
    <w:rsid w:val="00E915E5"/>
    <w:pPr>
      <w:tabs>
        <w:tab w:val="center" w:pos="4320"/>
        <w:tab w:val="right" w:pos="8640"/>
      </w:tabs>
    </w:pPr>
    <w:rPr>
      <w:sz w:val="22"/>
      <w:szCs w:val="20"/>
    </w:rPr>
  </w:style>
  <w:style w:type="paragraph" w:styleId="BodyText2">
    <w:name w:val="Body Text 2"/>
    <w:basedOn w:val="Normal"/>
    <w:semiHidden/>
    <w:rsid w:val="00E915E5"/>
    <w:rPr>
      <w:rFonts w:cs="Arial"/>
      <w:szCs w:val="20"/>
    </w:rPr>
  </w:style>
  <w:style w:type="character" w:styleId="Hyperlink">
    <w:name w:val="Hyperlink"/>
    <w:basedOn w:val="DefaultParagraphFont"/>
    <w:rsid w:val="00E915E5"/>
    <w:rPr>
      <w:color w:val="0000FF"/>
      <w:u w:val="single"/>
    </w:rPr>
  </w:style>
  <w:style w:type="character" w:styleId="PageNumber">
    <w:name w:val="page number"/>
    <w:basedOn w:val="DefaultParagraphFont"/>
    <w:semiHidden/>
    <w:rsid w:val="00E915E5"/>
  </w:style>
  <w:style w:type="paragraph" w:styleId="Footer">
    <w:name w:val="footer"/>
    <w:aliases w:val="f"/>
    <w:basedOn w:val="Normal"/>
    <w:link w:val="FooterChar"/>
    <w:uiPriority w:val="99"/>
    <w:rsid w:val="00E915E5"/>
    <w:pPr>
      <w:tabs>
        <w:tab w:val="center" w:pos="4320"/>
        <w:tab w:val="right" w:pos="8640"/>
      </w:tabs>
    </w:pPr>
    <w:rPr>
      <w:sz w:val="22"/>
      <w:szCs w:val="20"/>
    </w:rPr>
  </w:style>
  <w:style w:type="paragraph" w:styleId="BalloonText">
    <w:name w:val="Balloon Text"/>
    <w:basedOn w:val="Normal"/>
    <w:link w:val="BalloonTextChar"/>
    <w:uiPriority w:val="99"/>
    <w:semiHidden/>
    <w:unhideWhenUsed/>
    <w:rsid w:val="00E11A3F"/>
    <w:rPr>
      <w:rFonts w:ascii="Tahoma" w:hAnsi="Tahoma" w:cs="Tahoma"/>
      <w:sz w:val="16"/>
      <w:szCs w:val="16"/>
    </w:rPr>
  </w:style>
  <w:style w:type="character" w:customStyle="1" w:styleId="BalloonTextChar">
    <w:name w:val="Balloon Text Char"/>
    <w:basedOn w:val="DefaultParagraphFont"/>
    <w:link w:val="BalloonText"/>
    <w:uiPriority w:val="99"/>
    <w:semiHidden/>
    <w:rsid w:val="00E11A3F"/>
    <w:rPr>
      <w:rFonts w:ascii="Tahoma" w:hAnsi="Tahoma" w:cs="Tahoma"/>
      <w:sz w:val="16"/>
      <w:szCs w:val="16"/>
    </w:rPr>
  </w:style>
  <w:style w:type="paragraph" w:styleId="ListParagraph">
    <w:name w:val="List Paragraph"/>
    <w:basedOn w:val="Normal"/>
    <w:uiPriority w:val="1"/>
    <w:qFormat/>
    <w:rsid w:val="005328B2"/>
    <w:pPr>
      <w:numPr>
        <w:numId w:val="6"/>
      </w:numPr>
      <w:contextualSpacing/>
    </w:pPr>
  </w:style>
  <w:style w:type="table" w:styleId="TableGrid">
    <w:name w:val="Table Grid"/>
    <w:basedOn w:val="TableNormal"/>
    <w:uiPriority w:val="39"/>
    <w:rsid w:val="004C0F5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aliases w:val="f Char"/>
    <w:link w:val="Footer"/>
    <w:uiPriority w:val="99"/>
    <w:rsid w:val="000E231E"/>
    <w:rPr>
      <w:rFonts w:ascii="Arial" w:hAnsi="Arial"/>
      <w:sz w:val="22"/>
    </w:rPr>
  </w:style>
  <w:style w:type="paragraph" w:styleId="NormalWeb">
    <w:name w:val="Normal (Web)"/>
    <w:basedOn w:val="Normal"/>
    <w:uiPriority w:val="99"/>
    <w:semiHidden/>
    <w:unhideWhenUsed/>
    <w:rsid w:val="00E53A5E"/>
    <w:pPr>
      <w:spacing w:before="100" w:beforeAutospacing="1" w:after="100" w:afterAutospacing="1"/>
    </w:pPr>
    <w:rPr>
      <w:rFonts w:eastAsiaTheme="minorEastAsia"/>
    </w:rPr>
  </w:style>
  <w:style w:type="table" w:styleId="TableGridLight">
    <w:name w:val="Grid Table Light"/>
    <w:basedOn w:val="TableNormal"/>
    <w:uiPriority w:val="40"/>
    <w:rsid w:val="00661656"/>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Title">
    <w:name w:val="Title"/>
    <w:basedOn w:val="Normal"/>
    <w:next w:val="Normal"/>
    <w:link w:val="TitleChar"/>
    <w:rsid w:val="000C3940"/>
    <w:pPr>
      <w:framePr w:hSpace="180" w:wrap="around" w:vAnchor="page" w:hAnchor="text" w:xAlign="center" w:y="2851"/>
      <w:suppressAutoHyphens/>
      <w:spacing w:after="60" w:line="820" w:lineRule="exact"/>
    </w:pPr>
    <w:rPr>
      <w:rFonts w:cs="Arial"/>
      <w:color w:val="2895D5"/>
      <w:sz w:val="76"/>
      <w:szCs w:val="66"/>
    </w:rPr>
  </w:style>
  <w:style w:type="character" w:customStyle="1" w:styleId="TitleChar">
    <w:name w:val="Title Char"/>
    <w:basedOn w:val="DefaultParagraphFont"/>
    <w:link w:val="Title"/>
    <w:rsid w:val="000C3940"/>
    <w:rPr>
      <w:rFonts w:ascii="Arial" w:hAnsi="Arial" w:cs="Arial"/>
      <w:color w:val="2895D5"/>
      <w:sz w:val="76"/>
      <w:szCs w:val="66"/>
    </w:rPr>
  </w:style>
  <w:style w:type="paragraph" w:customStyle="1" w:styleId="Title2">
    <w:name w:val="Title2"/>
    <w:basedOn w:val="Normal"/>
    <w:next w:val="Normal"/>
    <w:rsid w:val="000C3940"/>
    <w:pPr>
      <w:framePr w:hSpace="180" w:wrap="around" w:vAnchor="page" w:hAnchor="text" w:xAlign="center" w:y="2851"/>
      <w:suppressAutoHyphens/>
      <w:spacing w:after="60" w:line="520" w:lineRule="exact"/>
    </w:pPr>
    <w:rPr>
      <w:rFonts w:cs="Arial"/>
      <w:color w:val="595959"/>
      <w:sz w:val="46"/>
      <w:szCs w:val="66"/>
      <w:lang w:val="it-IT"/>
    </w:rPr>
  </w:style>
  <w:style w:type="paragraph" w:customStyle="1" w:styleId="theader">
    <w:name w:val="theader"/>
    <w:basedOn w:val="Normal"/>
    <w:rsid w:val="000C3940"/>
    <w:pPr>
      <w:tabs>
        <w:tab w:val="left" w:pos="2400"/>
      </w:tabs>
      <w:suppressAutoHyphens/>
      <w:spacing w:before="60" w:after="60" w:line="220" w:lineRule="exact"/>
    </w:pPr>
    <w:rPr>
      <w:b/>
      <w:color w:val="FFFFFF"/>
      <w:sz w:val="18"/>
      <w:szCs w:val="20"/>
    </w:rPr>
  </w:style>
  <w:style w:type="paragraph" w:customStyle="1" w:styleId="tbody">
    <w:name w:val="tbody"/>
    <w:basedOn w:val="Normal"/>
    <w:qFormat/>
    <w:rsid w:val="00D27533"/>
    <w:pPr>
      <w:suppressAutoHyphens/>
      <w:spacing w:before="60" w:after="60"/>
    </w:pPr>
    <w:rPr>
      <w:b/>
      <w:szCs w:val="20"/>
    </w:rPr>
  </w:style>
  <w:style w:type="paragraph" w:customStyle="1" w:styleId="Style1">
    <w:name w:val="Style1"/>
    <w:basedOn w:val="Heading2"/>
    <w:link w:val="Style1Char"/>
    <w:qFormat/>
    <w:rsid w:val="000913C3"/>
    <w:rPr>
      <w:sz w:val="28"/>
    </w:rPr>
  </w:style>
  <w:style w:type="character" w:customStyle="1" w:styleId="Heading2Char">
    <w:name w:val="Heading 2 Char"/>
    <w:basedOn w:val="DefaultParagraphFont"/>
    <w:link w:val="Heading2"/>
    <w:rsid w:val="00D02F34"/>
    <w:rPr>
      <w:rFonts w:ascii="Arial" w:hAnsi="Arial" w:cs="Arial"/>
      <w:b/>
      <w:color w:val="auto"/>
      <w:spacing w:val="-3"/>
      <w:sz w:val="24"/>
      <w:shd w:val="clear" w:color="auto" w:fill="000099"/>
      <w14:shadow w14:blurRad="50800" w14:dist="38100" w14:dir="2700000" w14:sx="100000" w14:sy="100000" w14:kx="0" w14:ky="0" w14:algn="tl">
        <w14:srgbClr w14:val="000000">
          <w14:alpha w14:val="60000"/>
        </w14:srgbClr>
      </w14:shadow>
      <w14:textFill>
        <w14:solidFill>
          <w14:srgbClr w14:val="FFFFFF"/>
        </w14:solidFill>
      </w14:textFill>
    </w:rPr>
  </w:style>
  <w:style w:type="character" w:customStyle="1" w:styleId="Style1Char">
    <w:name w:val="Style1 Char"/>
    <w:basedOn w:val="Heading2Char"/>
    <w:link w:val="Style1"/>
    <w:rsid w:val="000913C3"/>
    <w:rPr>
      <w:rFonts w:ascii="Arial" w:hAnsi="Arial" w:cs="Arial"/>
      <w:b/>
      <w:color w:val="auto"/>
      <w:spacing w:val="-3"/>
      <w:sz w:val="28"/>
      <w:shd w:val="clear" w:color="auto" w:fill="000099"/>
      <w14:shadow w14:blurRad="50800" w14:dist="38100" w14:dir="2700000" w14:sx="100000" w14:sy="100000" w14:kx="0" w14:ky="0" w14:algn="tl">
        <w14:srgbClr w14:val="000000">
          <w14:alpha w14:val="60000"/>
        </w14:srgbClr>
      </w14:shadow>
      <w14:textFill>
        <w14:solidFill>
          <w14:srgbClr w14:val="FFFFFF"/>
        </w14:solidFill>
      </w14:textFill>
    </w:rPr>
  </w:style>
  <w:style w:type="character" w:customStyle="1" w:styleId="normaltextrun">
    <w:name w:val="normaltextrun"/>
    <w:basedOn w:val="DefaultParagraphFont"/>
    <w:rsid w:val="00D71917"/>
  </w:style>
  <w:style w:type="character" w:customStyle="1" w:styleId="eop">
    <w:name w:val="eop"/>
    <w:basedOn w:val="DefaultParagraphFont"/>
    <w:rsid w:val="00D71917"/>
  </w:style>
  <w:style w:type="paragraph" w:customStyle="1" w:styleId="paragraph">
    <w:name w:val="paragraph"/>
    <w:basedOn w:val="Normal"/>
    <w:rsid w:val="00653788"/>
    <w:pPr>
      <w:spacing w:before="100" w:beforeAutospacing="1" w:after="100" w:afterAutospacing="1"/>
    </w:pPr>
  </w:style>
  <w:style w:type="paragraph" w:styleId="List2">
    <w:name w:val="List 2"/>
    <w:basedOn w:val="Normal"/>
    <w:rsid w:val="00A32452"/>
    <w:pPr>
      <w:ind w:left="720" w:hanging="360"/>
    </w:pPr>
  </w:style>
  <w:style w:type="character" w:styleId="Emphasis">
    <w:name w:val="Emphasis"/>
    <w:basedOn w:val="DefaultParagraphFont"/>
    <w:uiPriority w:val="20"/>
    <w:qFormat/>
    <w:rsid w:val="003C7013"/>
    <w:rPr>
      <w:i/>
      <w:iCs/>
    </w:rPr>
  </w:style>
  <w:style w:type="paragraph" w:styleId="ListBullet3">
    <w:name w:val="List Bullet 3"/>
    <w:basedOn w:val="Normal"/>
    <w:rsid w:val="00B52475"/>
    <w:pPr>
      <w:numPr>
        <w:numId w:val="1"/>
      </w:numPr>
    </w:pPr>
  </w:style>
  <w:style w:type="character" w:customStyle="1" w:styleId="HeaderChar">
    <w:name w:val="Header Char"/>
    <w:basedOn w:val="DefaultParagraphFont"/>
    <w:link w:val="Header"/>
    <w:rsid w:val="00F62F33"/>
    <w:rPr>
      <w:rFonts w:ascii="Arial" w:hAnsi="Arial"/>
      <w:sz w:val="22"/>
    </w:rPr>
  </w:style>
  <w:style w:type="numbering" w:customStyle="1" w:styleId="References">
    <w:name w:val="References"/>
    <w:basedOn w:val="NoList"/>
    <w:uiPriority w:val="99"/>
    <w:rsid w:val="00F95D04"/>
    <w:pPr>
      <w:numPr>
        <w:numId w:val="2"/>
      </w:numPr>
    </w:pPr>
  </w:style>
  <w:style w:type="numbering" w:customStyle="1" w:styleId="ListProposal">
    <w:name w:val="List Proposal"/>
    <w:basedOn w:val="NoList"/>
    <w:uiPriority w:val="99"/>
    <w:rsid w:val="003A630F"/>
    <w:pPr>
      <w:numPr>
        <w:numId w:val="4"/>
      </w:numPr>
    </w:pPr>
  </w:style>
  <w:style w:type="numbering" w:customStyle="1" w:styleId="ProposalCriteria">
    <w:name w:val="Proposal Criteria"/>
    <w:basedOn w:val="ListProposal"/>
    <w:uiPriority w:val="99"/>
    <w:rsid w:val="00D20720"/>
    <w:pPr>
      <w:numPr>
        <w:numId w:val="5"/>
      </w:numPr>
    </w:pPr>
  </w:style>
  <w:style w:type="paragraph" w:styleId="List">
    <w:name w:val="List"/>
    <w:basedOn w:val="Normal"/>
    <w:uiPriority w:val="99"/>
    <w:unhideWhenUsed/>
    <w:rsid w:val="005F0FCF"/>
    <w:pPr>
      <w:ind w:left="360" w:hanging="360"/>
      <w:contextualSpacing/>
    </w:pPr>
  </w:style>
  <w:style w:type="paragraph" w:styleId="ListBullet">
    <w:name w:val="List Bullet"/>
    <w:basedOn w:val="Normal"/>
    <w:uiPriority w:val="99"/>
    <w:unhideWhenUsed/>
    <w:rsid w:val="005F0FCF"/>
    <w:pPr>
      <w:numPr>
        <w:numId w:val="7"/>
      </w:numPr>
      <w:contextualSpacing/>
    </w:pPr>
  </w:style>
  <w:style w:type="numbering" w:customStyle="1" w:styleId="ProposalCriteria2">
    <w:name w:val="Proposal Criteria 2"/>
    <w:basedOn w:val="ListProposal"/>
    <w:uiPriority w:val="99"/>
    <w:rsid w:val="0015636A"/>
    <w:pPr>
      <w:numPr>
        <w:numId w:val="8"/>
      </w:numPr>
    </w:pPr>
  </w:style>
  <w:style w:type="character" w:styleId="UnresolvedMention">
    <w:name w:val="Unresolved Mention"/>
    <w:basedOn w:val="DefaultParagraphFont"/>
    <w:uiPriority w:val="99"/>
    <w:semiHidden/>
    <w:unhideWhenUsed/>
    <w:rsid w:val="005A4232"/>
    <w:rPr>
      <w:color w:val="605E5C"/>
      <w:shd w:val="clear" w:color="auto" w:fill="E1DFDD"/>
    </w:rPr>
  </w:style>
  <w:style w:type="paragraph" w:styleId="NoSpacing">
    <w:name w:val="No Spacing"/>
    <w:uiPriority w:val="1"/>
    <w:qFormat/>
    <w:rsid w:val="003B3958"/>
    <w:rPr>
      <w:rFonts w:ascii="Arial" w:eastAsia="Arial" w:hAnsi="Arial"/>
      <w:sz w:val="22"/>
      <w:szCs w:val="22"/>
    </w:rPr>
  </w:style>
  <w:style w:type="paragraph" w:styleId="ListBullet2">
    <w:name w:val="List Bullet 2"/>
    <w:basedOn w:val="Normal"/>
    <w:rsid w:val="001E4CBA"/>
    <w:pPr>
      <w:numPr>
        <w:numId w:val="11"/>
      </w:numPr>
      <w:tabs>
        <w:tab w:val="clear" w:pos="720"/>
      </w:tabs>
      <w:ind w:left="0" w:firstLine="0"/>
    </w:pPr>
    <w:rPr>
      <w:rFonts w:ascii="Times New Roman" w:hAnsi="Times New Roman"/>
      <w:sz w:val="24"/>
    </w:rPr>
  </w:style>
  <w:style w:type="character" w:customStyle="1" w:styleId="spellingerror">
    <w:name w:val="spellingerror"/>
    <w:basedOn w:val="DefaultParagraphFont"/>
    <w:rsid w:val="00840AF6"/>
  </w:style>
  <w:style w:type="character" w:styleId="CommentReference">
    <w:name w:val="annotation reference"/>
    <w:basedOn w:val="DefaultParagraphFont"/>
    <w:uiPriority w:val="99"/>
    <w:semiHidden/>
    <w:unhideWhenUsed/>
    <w:rsid w:val="0096313D"/>
    <w:rPr>
      <w:sz w:val="16"/>
      <w:szCs w:val="16"/>
    </w:rPr>
  </w:style>
  <w:style w:type="paragraph" w:styleId="CommentSubject">
    <w:name w:val="annotation subject"/>
    <w:basedOn w:val="CommentText"/>
    <w:next w:val="CommentText"/>
    <w:link w:val="CommentSubjectChar"/>
    <w:uiPriority w:val="99"/>
    <w:semiHidden/>
    <w:unhideWhenUsed/>
    <w:rsid w:val="0096313D"/>
    <w:rPr>
      <w:b/>
      <w:bCs/>
    </w:rPr>
  </w:style>
  <w:style w:type="character" w:customStyle="1" w:styleId="CommentTextChar">
    <w:name w:val="Comment Text Char"/>
    <w:basedOn w:val="DefaultParagraphFont"/>
    <w:link w:val="CommentText"/>
    <w:semiHidden/>
    <w:rsid w:val="0096313D"/>
    <w:rPr>
      <w:rFonts w:ascii="Arial" w:hAnsi="Arial"/>
    </w:rPr>
  </w:style>
  <w:style w:type="character" w:customStyle="1" w:styleId="CommentSubjectChar">
    <w:name w:val="Comment Subject Char"/>
    <w:basedOn w:val="CommentTextChar"/>
    <w:link w:val="CommentSubject"/>
    <w:uiPriority w:val="99"/>
    <w:semiHidden/>
    <w:rsid w:val="0096313D"/>
    <w:rPr>
      <w:rFonts w:ascii="Arial" w:hAnsi="Arial"/>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1686790">
      <w:bodyDiv w:val="1"/>
      <w:marLeft w:val="0"/>
      <w:marRight w:val="0"/>
      <w:marTop w:val="0"/>
      <w:marBottom w:val="0"/>
      <w:divBdr>
        <w:top w:val="none" w:sz="0" w:space="0" w:color="auto"/>
        <w:left w:val="none" w:sz="0" w:space="0" w:color="auto"/>
        <w:bottom w:val="none" w:sz="0" w:space="0" w:color="auto"/>
        <w:right w:val="none" w:sz="0" w:space="0" w:color="auto"/>
      </w:divBdr>
    </w:div>
    <w:div w:id="325213048">
      <w:bodyDiv w:val="1"/>
      <w:marLeft w:val="0"/>
      <w:marRight w:val="0"/>
      <w:marTop w:val="0"/>
      <w:marBottom w:val="0"/>
      <w:divBdr>
        <w:top w:val="none" w:sz="0" w:space="0" w:color="auto"/>
        <w:left w:val="none" w:sz="0" w:space="0" w:color="auto"/>
        <w:bottom w:val="none" w:sz="0" w:space="0" w:color="auto"/>
        <w:right w:val="none" w:sz="0" w:space="0" w:color="auto"/>
      </w:divBdr>
    </w:div>
    <w:div w:id="461311194">
      <w:bodyDiv w:val="1"/>
      <w:marLeft w:val="0"/>
      <w:marRight w:val="0"/>
      <w:marTop w:val="0"/>
      <w:marBottom w:val="0"/>
      <w:divBdr>
        <w:top w:val="none" w:sz="0" w:space="0" w:color="auto"/>
        <w:left w:val="none" w:sz="0" w:space="0" w:color="auto"/>
        <w:bottom w:val="none" w:sz="0" w:space="0" w:color="auto"/>
        <w:right w:val="none" w:sz="0" w:space="0" w:color="auto"/>
      </w:divBdr>
    </w:div>
    <w:div w:id="719330083">
      <w:bodyDiv w:val="1"/>
      <w:marLeft w:val="0"/>
      <w:marRight w:val="0"/>
      <w:marTop w:val="0"/>
      <w:marBottom w:val="0"/>
      <w:divBdr>
        <w:top w:val="none" w:sz="0" w:space="0" w:color="auto"/>
        <w:left w:val="none" w:sz="0" w:space="0" w:color="auto"/>
        <w:bottom w:val="none" w:sz="0" w:space="0" w:color="auto"/>
        <w:right w:val="none" w:sz="0" w:space="0" w:color="auto"/>
      </w:divBdr>
    </w:div>
    <w:div w:id="1320885899">
      <w:bodyDiv w:val="1"/>
      <w:marLeft w:val="0"/>
      <w:marRight w:val="0"/>
      <w:marTop w:val="0"/>
      <w:marBottom w:val="0"/>
      <w:divBdr>
        <w:top w:val="none" w:sz="0" w:space="0" w:color="auto"/>
        <w:left w:val="none" w:sz="0" w:space="0" w:color="auto"/>
        <w:bottom w:val="none" w:sz="0" w:space="0" w:color="auto"/>
        <w:right w:val="none" w:sz="0" w:space="0" w:color="auto"/>
      </w:divBdr>
    </w:div>
    <w:div w:id="1634797980">
      <w:bodyDiv w:val="1"/>
      <w:marLeft w:val="0"/>
      <w:marRight w:val="0"/>
      <w:marTop w:val="0"/>
      <w:marBottom w:val="0"/>
      <w:divBdr>
        <w:top w:val="none" w:sz="0" w:space="0" w:color="auto"/>
        <w:left w:val="none" w:sz="0" w:space="0" w:color="auto"/>
        <w:bottom w:val="none" w:sz="0" w:space="0" w:color="auto"/>
        <w:right w:val="none" w:sz="0" w:space="0" w:color="auto"/>
      </w:divBdr>
    </w:div>
    <w:div w:id="1740398260">
      <w:bodyDiv w:val="1"/>
      <w:marLeft w:val="0"/>
      <w:marRight w:val="0"/>
      <w:marTop w:val="0"/>
      <w:marBottom w:val="0"/>
      <w:divBdr>
        <w:top w:val="none" w:sz="0" w:space="0" w:color="auto"/>
        <w:left w:val="none" w:sz="0" w:space="0" w:color="auto"/>
        <w:bottom w:val="none" w:sz="0" w:space="0" w:color="auto"/>
        <w:right w:val="none" w:sz="0" w:space="0" w:color="auto"/>
      </w:divBdr>
      <w:divsChild>
        <w:div w:id="1749108382">
          <w:marLeft w:val="0"/>
          <w:marRight w:val="0"/>
          <w:marTop w:val="0"/>
          <w:marBottom w:val="0"/>
          <w:divBdr>
            <w:top w:val="none" w:sz="0" w:space="0" w:color="auto"/>
            <w:left w:val="none" w:sz="0" w:space="0" w:color="auto"/>
            <w:bottom w:val="none" w:sz="0" w:space="0" w:color="auto"/>
            <w:right w:val="none" w:sz="0" w:space="0" w:color="auto"/>
          </w:divBdr>
        </w:div>
        <w:div w:id="739523108">
          <w:marLeft w:val="0"/>
          <w:marRight w:val="0"/>
          <w:marTop w:val="0"/>
          <w:marBottom w:val="0"/>
          <w:divBdr>
            <w:top w:val="none" w:sz="0" w:space="0" w:color="auto"/>
            <w:left w:val="none" w:sz="0" w:space="0" w:color="auto"/>
            <w:bottom w:val="none" w:sz="0" w:space="0" w:color="auto"/>
            <w:right w:val="none" w:sz="0" w:space="0" w:color="auto"/>
          </w:divBdr>
        </w:div>
        <w:div w:id="477067656">
          <w:marLeft w:val="0"/>
          <w:marRight w:val="0"/>
          <w:marTop w:val="0"/>
          <w:marBottom w:val="0"/>
          <w:divBdr>
            <w:top w:val="none" w:sz="0" w:space="0" w:color="auto"/>
            <w:left w:val="none" w:sz="0" w:space="0" w:color="auto"/>
            <w:bottom w:val="none" w:sz="0" w:space="0" w:color="auto"/>
            <w:right w:val="none" w:sz="0" w:space="0" w:color="auto"/>
          </w:divBdr>
        </w:div>
        <w:div w:id="2038775292">
          <w:marLeft w:val="0"/>
          <w:marRight w:val="0"/>
          <w:marTop w:val="0"/>
          <w:marBottom w:val="0"/>
          <w:divBdr>
            <w:top w:val="none" w:sz="0" w:space="0" w:color="auto"/>
            <w:left w:val="none" w:sz="0" w:space="0" w:color="auto"/>
            <w:bottom w:val="none" w:sz="0" w:space="0" w:color="auto"/>
            <w:right w:val="none" w:sz="0" w:space="0" w:color="auto"/>
          </w:divBdr>
        </w:div>
        <w:div w:id="1983119559">
          <w:marLeft w:val="0"/>
          <w:marRight w:val="0"/>
          <w:marTop w:val="0"/>
          <w:marBottom w:val="0"/>
          <w:divBdr>
            <w:top w:val="none" w:sz="0" w:space="0" w:color="auto"/>
            <w:left w:val="none" w:sz="0" w:space="0" w:color="auto"/>
            <w:bottom w:val="none" w:sz="0" w:space="0" w:color="auto"/>
            <w:right w:val="none" w:sz="0" w:space="0" w:color="auto"/>
          </w:divBdr>
        </w:div>
        <w:div w:id="1823496248">
          <w:marLeft w:val="0"/>
          <w:marRight w:val="0"/>
          <w:marTop w:val="0"/>
          <w:marBottom w:val="0"/>
          <w:divBdr>
            <w:top w:val="none" w:sz="0" w:space="0" w:color="auto"/>
            <w:left w:val="none" w:sz="0" w:space="0" w:color="auto"/>
            <w:bottom w:val="none" w:sz="0" w:space="0" w:color="auto"/>
            <w:right w:val="none" w:sz="0" w:space="0" w:color="auto"/>
          </w:divBdr>
        </w:div>
        <w:div w:id="2057772465">
          <w:marLeft w:val="0"/>
          <w:marRight w:val="0"/>
          <w:marTop w:val="0"/>
          <w:marBottom w:val="0"/>
          <w:divBdr>
            <w:top w:val="none" w:sz="0" w:space="0" w:color="auto"/>
            <w:left w:val="none" w:sz="0" w:space="0" w:color="auto"/>
            <w:bottom w:val="none" w:sz="0" w:space="0" w:color="auto"/>
            <w:right w:val="none" w:sz="0" w:space="0" w:color="auto"/>
          </w:divBdr>
        </w:div>
        <w:div w:id="546063287">
          <w:marLeft w:val="0"/>
          <w:marRight w:val="0"/>
          <w:marTop w:val="0"/>
          <w:marBottom w:val="0"/>
          <w:divBdr>
            <w:top w:val="none" w:sz="0" w:space="0" w:color="auto"/>
            <w:left w:val="none" w:sz="0" w:space="0" w:color="auto"/>
            <w:bottom w:val="none" w:sz="0" w:space="0" w:color="auto"/>
            <w:right w:val="none" w:sz="0" w:space="0" w:color="auto"/>
          </w:divBdr>
        </w:div>
      </w:divsChild>
    </w:div>
    <w:div w:id="20147958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DC0DC7DF98B8BA4EA314349B5720FCC5" ma:contentTypeVersion="14" ma:contentTypeDescription="Create a new document." ma:contentTypeScope="" ma:versionID="de390def39a4db9ef69de04daecb8dd4">
  <xsd:schema xmlns:xsd="http://www.w3.org/2001/XMLSchema" xmlns:xs="http://www.w3.org/2001/XMLSchema" xmlns:p="http://schemas.microsoft.com/office/2006/metadata/properties" xmlns:ns1="http://schemas.microsoft.com/sharepoint/v3" xmlns:ns2="aba01ddc-ae9a-4c9e-819c-7140b4239cde" xmlns:ns3="f5eefb00-5952-4f7e-8cf8-96f81cfadd01" targetNamespace="http://schemas.microsoft.com/office/2006/metadata/properties" ma:root="true" ma:fieldsID="11fef7f73cac9dabe8a63254546dce04" ns1:_="" ns2:_="" ns3:_="">
    <xsd:import namespace="http://schemas.microsoft.com/sharepoint/v3"/>
    <xsd:import namespace="aba01ddc-ae9a-4c9e-819c-7140b4239cde"/>
    <xsd:import namespace="f5eefb00-5952-4f7e-8cf8-96f81cfadd0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ba01ddc-ae9a-4c9e-819c-7140b4239cd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4b9d60a-532b-456f-bc59-f515255dcd7d"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5eefb00-5952-4f7e-8cf8-96f81cfadd0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66737BE-2F73-408C-A12D-12E22498BD92}" ma:internalName="TaxCatchAll" ma:showField="CatchAllData" ma:web="{a1603744-bc25-4bc5-9997-e689a712d7a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f5eefb00-5952-4f7e-8cf8-96f81cfadd01" xsi:nil="true"/>
    <lcf76f155ced4ddcb4097134ff3c332f xmlns="aba01ddc-ae9a-4c9e-819c-7140b4239cde">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639153C-6C98-4F71-850E-F854570ADBF3}">
  <ds:schemaRefs>
    <ds:schemaRef ds:uri="http://schemas.openxmlformats.org/officeDocument/2006/bibliography"/>
  </ds:schemaRefs>
</ds:datastoreItem>
</file>

<file path=customXml/itemProps2.xml><?xml version="1.0" encoding="utf-8"?>
<ds:datastoreItem xmlns:ds="http://schemas.openxmlformats.org/officeDocument/2006/customXml" ds:itemID="{37D1EDD5-2555-4010-B018-B973F56C474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ba01ddc-ae9a-4c9e-819c-7140b4239cde"/>
    <ds:schemaRef ds:uri="f5eefb00-5952-4f7e-8cf8-96f81cfadd0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F9992BC-7C11-4A83-A97F-D2E41AE80BFC}">
  <ds:schemaRefs>
    <ds:schemaRef ds:uri="http://schemas.microsoft.com/office/2006/metadata/properties"/>
    <ds:schemaRef ds:uri="http://schemas.microsoft.com/office/infopath/2007/PartnerControls"/>
    <ds:schemaRef ds:uri="http://schemas.microsoft.com/sharepoint/v3"/>
    <ds:schemaRef ds:uri="f5eefb00-5952-4f7e-8cf8-96f81cfadd01"/>
    <ds:schemaRef ds:uri="aba01ddc-ae9a-4c9e-819c-7140b4239cde"/>
  </ds:schemaRefs>
</ds:datastoreItem>
</file>

<file path=customXml/itemProps4.xml><?xml version="1.0" encoding="utf-8"?>
<ds:datastoreItem xmlns:ds="http://schemas.openxmlformats.org/officeDocument/2006/customXml" ds:itemID="{20443CD0-BAC0-4286-8661-ED5329119F53}">
  <ds:schemaRefs>
    <ds:schemaRef ds:uri="http://schemas.microsoft.com/sharepoint/v3/contenttype/forms"/>
  </ds:schemaRefs>
</ds:datastoreItem>
</file>

<file path=docMetadata/LabelInfo.xml><?xml version="1.0" encoding="utf-8"?>
<clbl:labelList xmlns:clbl="http://schemas.microsoft.com/office/2020/mipLabelMetadata">
  <clbl:label id="{1aed4588-b8ce-43a8-a775-989538fd30d8}" enabled="0" method="" siteId="{1aed4588-b8ce-43a8-a775-989538fd30d8}" removed="1"/>
</clbl:labelList>
</file>

<file path=docProps/app.xml><?xml version="1.0" encoding="utf-8"?>
<Properties xmlns="http://schemas.openxmlformats.org/officeDocument/2006/extended-properties" xmlns:vt="http://schemas.openxmlformats.org/officeDocument/2006/docPropsVTypes">
  <Template>Normal</Template>
  <TotalTime>2</TotalTime>
  <Pages>2</Pages>
  <Words>517</Words>
  <Characters>2949</Characters>
  <Application>Microsoft Office Word</Application>
  <DocSecurity>10</DocSecurity>
  <Lines>24</Lines>
  <Paragraphs>6</Paragraphs>
  <ScaleCrop>false</ScaleCrop>
  <HeadingPairs>
    <vt:vector size="2" baseType="variant">
      <vt:variant>
        <vt:lpstr>Title</vt:lpstr>
      </vt:variant>
      <vt:variant>
        <vt:i4>1</vt:i4>
      </vt:variant>
    </vt:vector>
  </HeadingPairs>
  <TitlesOfParts>
    <vt:vector size="1" baseType="lpstr">
      <vt:lpstr>Thiazolidinediones &amp; Combination Agents PDL Edit</vt:lpstr>
    </vt:vector>
  </TitlesOfParts>
  <Company>DSS</Company>
  <LinksUpToDate>false</LinksUpToDate>
  <CharactersWithSpaces>3460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Thiazolidinediones &amp; Combination Agents PDL Edit</dc:title>
  <dc:creator>DMS</dc:creator>
  <cp:lastModifiedBy>Hammond, Chelsea</cp:lastModifiedBy>
  <cp:revision>2</cp:revision>
  <cp:lastPrinted>2018-10-31T20:17:00Z</cp:lastPrinted>
  <dcterms:created xsi:type="dcterms:W3CDTF">2026-09-23T14:25:00Z</dcterms:created>
  <dcterms:modified xsi:type="dcterms:W3CDTF">2026-09-23T14:25:00Z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0x010100DC0DC7DF98B8BA4EA314349B5720FCC5</vt:lpwstr>
  </property>
  <property fmtid="{D5CDD505-2E9C-101B-9397-08002B2CF9AE}" pid="3" name="ComplianceAssetId">
    <vt:lpwstr/>
  </property>
  <property fmtid="{D5CDD505-2E9C-101B-9397-08002B2CF9AE}" pid="4" name="_ExtendedDescription">
    <vt:lpwstr/>
  </property>
  <property fmtid="{D5CDD505-2E9C-101B-9397-08002B2CF9AE}" pid="5" name="TriggerFlowInfo">
    <vt:lpwstr/>
  </property>
  <property fmtid="{D5CDD505-2E9C-101B-9397-08002B2CF9AE}" pid="6" name="MediaServiceImageTags">
    <vt:lpwstr/>
  </property>
  <property fmtid="{D5CDD505-2E9C-101B-9397-08002B2CF9AE}" pid="7" name="GrammarlyDocumentId">
    <vt:lpwstr>ee222a54-e4a6-4a11-9b70-8a564c335962</vt:lpwstr>
  </property>
</Properties>
</file>